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</w:t>
      </w:r>
      <w:bookmarkStart w:id="0" w:name="_GoBack"/>
      <w:bookmarkEnd w:id="0"/>
      <w:r>
        <w:rPr>
          <w:rFonts w:hint="default"/>
          <w:lang w:val="en-US" w:eastAsia="zh-CN"/>
        </w:rPr>
        <w:t>.时间序列对行情的影响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总原则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逢7必变，极限为9（周线级别、日线级别均遵循此总原则，执行标准完全一致）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日线级别具体规则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若一段日线级别趋势呈现连续上涨7天，或连续下跌7天的走势，那么第8天行情出现变盘的概率极高，该信号必须在行情分析过程中重点解读</w:t>
      </w:r>
      <w:r>
        <w:rPr>
          <w:rFonts w:hint="eastAsia"/>
          <w:lang w:val="en-US" w:eastAsia="zh-CN"/>
        </w:rPr>
        <w:t>，在“行情分析报告”中明确标注</w:t>
      </w:r>
      <w:r>
        <w:rPr>
          <w:rFonts w:hint="default"/>
          <w:lang w:val="en-US" w:eastAsia="zh-CN"/>
        </w:rPr>
        <w:t>。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若第8天行情未如期变盘，该段日线趋势的极限上涨、极限下跌周期为9天，9天后行情必然进入变盘阶段。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3.执行原则：连续七天上涨或下跌以后不再追多或追空，等待变盘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周线级别具体规则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若一段周线级别趋势呈现连续上涨7周，或连续下跌7周的走势，那么第8周行情出现变盘的概率极高，该信号必须在行情分析过程中重点解读。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若第8周行情未如期变盘，该段周线趋势的极限上涨、极限下跌周期为9周，9周后行情必然进入变盘阶段。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需要我把这段规则直接整合到你之前的评分标准文档里，放在辅助因子对应位置，保持全文格式统一吗？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A78039"/>
    <w:multiLevelType w:val="singleLevel"/>
    <w:tmpl w:val="FBA78039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99E2B96"/>
    <w:rsid w:val="09BBF302"/>
    <w:rsid w:val="B99E2B96"/>
    <w:rsid w:val="BDD6456F"/>
    <w:rsid w:val="FF698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Office_6.4.0.8550_F1E327BC-269C-435d-A152-05C5408002CA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2026-04-30T01:43:00Z</dcterms:created>
  <dc:creator> 何润泽</dc:creator>
  <cp:lastModifiedBy> 何润泽</cp:lastModifiedBy>
  <dcterms:modified xsi:type="dcterms:W3CDTF">2026-05-01T18:41:56Z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2052-6.4.0.8550</vt:lpwstr>
  </property>
  <property fmtid="{D5CDD505-2E9C-101B-9397-08002B2CF9AE}" pid="3" name="ICV">
    <vt:lpwstr>6352FC16B9D0E4173462F169414A7CC5_41</vt:lpwstr>
  </property>
</Properties>
</file>