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color w:val="1F4E78"/>
          <w:sz w:val="44"/>
        </w:rPr>
        <w:t>均线技术指标与信号判读规则完全手册</w:t>
      </w:r>
    </w:p>
    <w:p>
      <w:pPr>
        <w:jc w:val="center"/>
      </w:pPr>
      <w:r>
        <w:rPr>
          <w:rFonts w:ascii="Times New Roman" w:hAnsi="Times New Roman" w:eastAsia="微软雅黑"/>
          <w:b/>
          <w:color w:val="44546A"/>
          <w:sz w:val="28"/>
        </w:rPr>
        <w:t>——基于35本均线技术分析专著的系统梳理</w:t>
      </w:r>
    </w:p>
    <w:p>
      <w:pPr>
        <w:spacing w:before="360"/>
        <w:jc w:val="center"/>
      </w:pPr>
      <w:r>
        <w:rPr>
          <w:rFonts w:ascii="Times New Roman" w:hAnsi="Times New Roman" w:eastAsia="仿宋"/>
          <w:b w:val="0"/>
          <w:sz w:val="22"/>
        </w:rPr>
        <w:t>编撰日期：2026年4月17日</w:t>
      </w:r>
    </w:p>
    <w:p>
      <w:pPr>
        <w:jc w:val="center"/>
      </w:pPr>
      <w:r>
        <w:rPr>
          <w:rFonts w:ascii="Times New Roman" w:hAnsi="Times New Roman" w:eastAsia="仿宋"/>
          <w:b w:val="0"/>
          <w:color w:val="44546A"/>
          <w:sz w:val="20"/>
        </w:rPr>
        <w:t>覆盖：单根均线·均线组合·均线形态·1250系统·大均线系统·量价配合·买卖点·风险管理</w:t>
      </w:r>
    </w:p>
    <w:p>
      <w:r>
        <w:br w:type="page"/>
      </w:r>
    </w:p>
    <w:p>
      <w:pPr>
        <w:spacing w:before="400" w:after="240"/>
      </w:pPr>
      <w:r>
        <w:rPr>
          <w:rFonts w:ascii="Times New Roman" w:hAnsi="Times New Roman" w:eastAsia="微软雅黑"/>
          <w:b/>
          <w:color w:val="1F4E78"/>
          <w:sz w:val="32"/>
        </w:rPr>
        <w:t>目 录</w:t>
      </w:r>
    </w:p>
    <w:p>
      <w:pPr>
        <w:spacing w:line="360" w:lineRule="auto"/>
        <w:ind w:left="0"/>
      </w:pPr>
      <w:r>
        <w:rPr>
          <w:rFonts w:ascii="Times New Roman" w:hAnsi="Times New Roman" w:eastAsia="宋体"/>
          <w:b w:val="0"/>
          <w:sz w:val="22"/>
        </w:rPr>
        <w:t>前言：均线技术的历史与理论地位</w:t>
      </w:r>
      <w:r>
        <w:rPr>
          <w:rFonts w:ascii="Times New Roman" w:hAnsi="Times New Roman" w:eastAsia="Times New Roman"/>
          <w:b w:val="0"/>
          <w:sz w:val="22"/>
        </w:rPr>
        <w:tab/>
        <w:t>1</w:t>
      </w:r>
    </w:p>
    <w:p>
      <w:pPr>
        <w:spacing w:line="360" w:lineRule="auto"/>
        <w:ind w:left="0"/>
      </w:pPr>
      <w:r>
        <w:rPr>
          <w:rFonts w:ascii="Times New Roman" w:hAnsi="Times New Roman" w:eastAsia="宋体"/>
          <w:b w:val="0"/>
          <w:sz w:val="22"/>
        </w:rPr>
        <w:t>第一章  均线的基础理论</w:t>
      </w:r>
      <w:r>
        <w:rPr>
          <w:rFonts w:ascii="Times New Roman" w:hAnsi="Times New Roman" w:eastAsia="Times New Roman"/>
          <w:b w:val="0"/>
          <w:sz w:val="22"/>
        </w:rPr>
        <w:tab/>
        <w:t>2</w:t>
      </w:r>
    </w:p>
    <w:p>
      <w:pPr>
        <w:spacing w:line="360" w:lineRule="auto"/>
        <w:ind w:left="0"/>
      </w:pPr>
      <w:r>
        <w:rPr>
          <w:rFonts w:ascii="Times New Roman" w:hAnsi="Times New Roman" w:eastAsia="宋体"/>
          <w:b w:val="0"/>
          <w:sz w:val="22"/>
        </w:rPr>
        <w:t xml:space="preserve">  1.1 移动平均线的定义与数学本质</w:t>
      </w:r>
    </w:p>
    <w:p>
      <w:pPr>
        <w:spacing w:line="360" w:lineRule="auto"/>
        <w:ind w:left="0"/>
      </w:pPr>
      <w:r>
        <w:rPr>
          <w:rFonts w:ascii="Times New Roman" w:hAnsi="Times New Roman" w:eastAsia="宋体"/>
          <w:b w:val="0"/>
          <w:sz w:val="22"/>
        </w:rPr>
        <w:t xml:space="preserve">  1.2 均线的四大计算方式（SMA/EMA/WMA/LLT）</w:t>
      </w:r>
    </w:p>
    <w:p>
      <w:pPr>
        <w:spacing w:line="360" w:lineRule="auto"/>
        <w:ind w:left="0"/>
      </w:pPr>
      <w:r>
        <w:rPr>
          <w:rFonts w:ascii="Times New Roman" w:hAnsi="Times New Roman" w:eastAsia="宋体"/>
          <w:b w:val="0"/>
          <w:sz w:val="22"/>
        </w:rPr>
        <w:t xml:space="preserve">  1.3 常用均线周期及其商业含义</w:t>
      </w:r>
    </w:p>
    <w:p>
      <w:pPr>
        <w:spacing w:line="360" w:lineRule="auto"/>
        <w:ind w:left="0"/>
      </w:pPr>
      <w:r>
        <w:rPr>
          <w:rFonts w:ascii="Times New Roman" w:hAnsi="Times New Roman" w:eastAsia="宋体"/>
          <w:b w:val="0"/>
          <w:sz w:val="22"/>
        </w:rPr>
        <w:t xml:space="preserve">  1.4 均线的三大基本特性</w:t>
      </w:r>
    </w:p>
    <w:p>
      <w:pPr>
        <w:spacing w:line="360" w:lineRule="auto"/>
        <w:ind w:left="0"/>
      </w:pPr>
      <w:r>
        <w:rPr>
          <w:rFonts w:ascii="Times New Roman" w:hAnsi="Times New Roman" w:eastAsia="宋体"/>
          <w:b w:val="0"/>
          <w:sz w:val="22"/>
        </w:rPr>
        <w:t xml:space="preserve">  1.5 均线周期选择方案</w:t>
      </w:r>
    </w:p>
    <w:p>
      <w:pPr>
        <w:spacing w:line="360" w:lineRule="auto"/>
        <w:ind w:left="0"/>
      </w:pPr>
      <w:r>
        <w:rPr>
          <w:rFonts w:ascii="Times New Roman" w:hAnsi="Times New Roman" w:eastAsia="宋体"/>
          <w:b w:val="0"/>
          <w:sz w:val="22"/>
        </w:rPr>
        <w:t>第二章  单根均线的多空判读规则</w:t>
      </w:r>
      <w:r>
        <w:rPr>
          <w:rFonts w:ascii="Times New Roman" w:hAnsi="Times New Roman" w:eastAsia="Times New Roman"/>
          <w:b w:val="0"/>
          <w:sz w:val="22"/>
        </w:rPr>
        <w:tab/>
        <w:t>10</w:t>
      </w:r>
    </w:p>
    <w:p>
      <w:pPr>
        <w:spacing w:line="360" w:lineRule="auto"/>
        <w:ind w:left="0"/>
      </w:pPr>
      <w:r>
        <w:rPr>
          <w:rFonts w:ascii="Times New Roman" w:hAnsi="Times New Roman" w:eastAsia="宋体"/>
          <w:b w:val="0"/>
          <w:sz w:val="22"/>
        </w:rPr>
        <w:t xml:space="preserve">  2.1 葛兰碧八大法则详解</w:t>
      </w:r>
    </w:p>
    <w:p>
      <w:pPr>
        <w:spacing w:line="360" w:lineRule="auto"/>
        <w:ind w:left="0"/>
      </w:pPr>
      <w:r>
        <w:rPr>
          <w:rFonts w:ascii="Times New Roman" w:hAnsi="Times New Roman" w:eastAsia="宋体"/>
          <w:b w:val="0"/>
          <w:sz w:val="22"/>
        </w:rPr>
        <w:t xml:space="preserve">  2.2 均线方向（斜率）判读</w:t>
      </w:r>
    </w:p>
    <w:p>
      <w:pPr>
        <w:spacing w:line="360" w:lineRule="auto"/>
        <w:ind w:left="0"/>
      </w:pPr>
      <w:r>
        <w:rPr>
          <w:rFonts w:ascii="Times New Roman" w:hAnsi="Times New Roman" w:eastAsia="宋体"/>
          <w:b w:val="0"/>
          <w:sz w:val="22"/>
        </w:rPr>
        <w:t xml:space="preserve">  2.3 股价与均线的位置关系</w:t>
      </w:r>
    </w:p>
    <w:p>
      <w:pPr>
        <w:spacing w:line="360" w:lineRule="auto"/>
        <w:ind w:left="0"/>
      </w:pPr>
      <w:r>
        <w:rPr>
          <w:rFonts w:ascii="Times New Roman" w:hAnsi="Times New Roman" w:eastAsia="宋体"/>
          <w:b w:val="0"/>
          <w:sz w:val="22"/>
        </w:rPr>
        <w:t xml:space="preserve">  2.4 各周期均线的多空分界标准</w:t>
      </w:r>
    </w:p>
    <w:p>
      <w:pPr>
        <w:spacing w:line="360" w:lineRule="auto"/>
        <w:ind w:left="0"/>
      </w:pPr>
      <w:r>
        <w:rPr>
          <w:rFonts w:ascii="Times New Roman" w:hAnsi="Times New Roman" w:eastAsia="宋体"/>
          <w:b w:val="0"/>
          <w:sz w:val="22"/>
        </w:rPr>
        <w:t>第三章  均线交叉规则（金叉与死叉）</w:t>
      </w:r>
      <w:r>
        <w:rPr>
          <w:rFonts w:ascii="Times New Roman" w:hAnsi="Times New Roman" w:eastAsia="Times New Roman"/>
          <w:b w:val="0"/>
          <w:sz w:val="22"/>
        </w:rPr>
        <w:tab/>
        <w:t>18</w:t>
      </w:r>
    </w:p>
    <w:p>
      <w:pPr>
        <w:spacing w:line="360" w:lineRule="auto"/>
        <w:ind w:left="0"/>
      </w:pPr>
      <w:r>
        <w:rPr>
          <w:rFonts w:ascii="Times New Roman" w:hAnsi="Times New Roman" w:eastAsia="宋体"/>
          <w:b w:val="0"/>
          <w:sz w:val="22"/>
        </w:rPr>
        <w:t xml:space="preserve">  3.1 金叉（黄金交叉）体系</w:t>
      </w:r>
    </w:p>
    <w:p>
      <w:pPr>
        <w:spacing w:line="360" w:lineRule="auto"/>
        <w:ind w:left="0"/>
      </w:pPr>
      <w:r>
        <w:rPr>
          <w:rFonts w:ascii="Times New Roman" w:hAnsi="Times New Roman" w:eastAsia="宋体"/>
          <w:b w:val="0"/>
          <w:sz w:val="22"/>
        </w:rPr>
        <w:t xml:space="preserve">  3.2 死叉（死亡交叉）体系</w:t>
      </w:r>
    </w:p>
    <w:p>
      <w:pPr>
        <w:spacing w:line="360" w:lineRule="auto"/>
        <w:ind w:left="0"/>
      </w:pPr>
      <w:r>
        <w:rPr>
          <w:rFonts w:ascii="Times New Roman" w:hAnsi="Times New Roman" w:eastAsia="宋体"/>
          <w:b w:val="0"/>
          <w:sz w:val="22"/>
        </w:rPr>
        <w:t xml:space="preserve">  3.3 交叉策略的量化创新研究</w:t>
      </w:r>
    </w:p>
    <w:p>
      <w:pPr>
        <w:spacing w:line="360" w:lineRule="auto"/>
        <w:ind w:left="0"/>
      </w:pPr>
      <w:r>
        <w:rPr>
          <w:rFonts w:ascii="Times New Roman" w:hAnsi="Times New Roman" w:eastAsia="宋体"/>
          <w:b w:val="0"/>
          <w:sz w:val="22"/>
        </w:rPr>
        <w:t>第四章  均线排列多空判读</w:t>
      </w:r>
      <w:r>
        <w:rPr>
          <w:rFonts w:ascii="Times New Roman" w:hAnsi="Times New Roman" w:eastAsia="Times New Roman"/>
          <w:b w:val="0"/>
          <w:sz w:val="22"/>
        </w:rPr>
        <w:tab/>
        <w:t>26</w:t>
      </w:r>
    </w:p>
    <w:p>
      <w:pPr>
        <w:spacing w:line="360" w:lineRule="auto"/>
        <w:ind w:left="0"/>
      </w:pPr>
      <w:r>
        <w:rPr>
          <w:rFonts w:ascii="Times New Roman" w:hAnsi="Times New Roman" w:eastAsia="宋体"/>
          <w:b w:val="0"/>
          <w:sz w:val="22"/>
        </w:rPr>
        <w:t xml:space="preserve">  4.1 多头排列的标准与分级</w:t>
      </w:r>
    </w:p>
    <w:p>
      <w:pPr>
        <w:spacing w:line="360" w:lineRule="auto"/>
        <w:ind w:left="0"/>
      </w:pPr>
      <w:r>
        <w:rPr>
          <w:rFonts w:ascii="Times New Roman" w:hAnsi="Times New Roman" w:eastAsia="宋体"/>
          <w:b w:val="0"/>
          <w:sz w:val="22"/>
        </w:rPr>
        <w:t xml:space="preserve">  4.2 空头排列的标准与分级</w:t>
      </w:r>
    </w:p>
    <w:p>
      <w:pPr>
        <w:spacing w:line="360" w:lineRule="auto"/>
        <w:ind w:left="0"/>
      </w:pPr>
      <w:r>
        <w:rPr>
          <w:rFonts w:ascii="Times New Roman" w:hAnsi="Times New Roman" w:eastAsia="宋体"/>
          <w:b w:val="0"/>
          <w:sz w:val="22"/>
        </w:rPr>
        <w:t xml:space="preserve">  4.3 均线排列的转化过程</w:t>
      </w:r>
    </w:p>
    <w:p>
      <w:pPr>
        <w:spacing w:line="360" w:lineRule="auto"/>
        <w:ind w:left="0"/>
      </w:pPr>
      <w:r>
        <w:rPr>
          <w:rFonts w:ascii="Times New Roman" w:hAnsi="Times New Roman" w:eastAsia="宋体"/>
          <w:b w:val="0"/>
          <w:sz w:val="22"/>
        </w:rPr>
        <w:t>第五章  25种经典均线形态信号</w:t>
      </w:r>
      <w:r>
        <w:rPr>
          <w:rFonts w:ascii="Times New Roman" w:hAnsi="Times New Roman" w:eastAsia="Times New Roman"/>
          <w:b w:val="0"/>
          <w:sz w:val="22"/>
        </w:rPr>
        <w:tab/>
        <w:t>32</w:t>
      </w:r>
    </w:p>
    <w:p>
      <w:pPr>
        <w:spacing w:line="360" w:lineRule="auto"/>
        <w:ind w:left="0"/>
      </w:pPr>
      <w:r>
        <w:rPr>
          <w:rFonts w:ascii="Times New Roman" w:hAnsi="Times New Roman" w:eastAsia="宋体"/>
          <w:b w:val="0"/>
          <w:sz w:val="22"/>
        </w:rPr>
        <w:t xml:space="preserve">  5.1 多头形态（买入信号）</w:t>
      </w:r>
    </w:p>
    <w:p>
      <w:pPr>
        <w:spacing w:line="360" w:lineRule="auto"/>
        <w:ind w:left="0"/>
      </w:pPr>
      <w:r>
        <w:rPr>
          <w:rFonts w:ascii="Times New Roman" w:hAnsi="Times New Roman" w:eastAsia="宋体"/>
          <w:b w:val="0"/>
          <w:sz w:val="22"/>
        </w:rPr>
        <w:t xml:space="preserve">  5.2 空头形态（卖出信号）</w:t>
      </w:r>
    </w:p>
    <w:p>
      <w:pPr>
        <w:spacing w:line="360" w:lineRule="auto"/>
        <w:ind w:left="0"/>
      </w:pPr>
      <w:r>
        <w:rPr>
          <w:rFonts w:ascii="Times New Roman" w:hAnsi="Times New Roman" w:eastAsia="宋体"/>
          <w:b w:val="0"/>
          <w:sz w:val="22"/>
        </w:rPr>
        <w:t xml:space="preserve">  5.3 特殊形态与转折信号</w:t>
      </w:r>
    </w:p>
    <w:p>
      <w:pPr>
        <w:spacing w:line="360" w:lineRule="auto"/>
        <w:ind w:left="0"/>
      </w:pPr>
      <w:r>
        <w:rPr>
          <w:rFonts w:ascii="Times New Roman" w:hAnsi="Times New Roman" w:eastAsia="宋体"/>
          <w:b w:val="0"/>
          <w:sz w:val="22"/>
        </w:rPr>
        <w:t>第六章  1250均线系统法则</w:t>
      </w:r>
      <w:r>
        <w:rPr>
          <w:rFonts w:ascii="Times New Roman" w:hAnsi="Times New Roman" w:eastAsia="Times New Roman"/>
          <w:b w:val="0"/>
          <w:sz w:val="22"/>
        </w:rPr>
        <w:tab/>
        <w:t>42</w:t>
      </w:r>
    </w:p>
    <w:p>
      <w:pPr>
        <w:spacing w:line="360" w:lineRule="auto"/>
        <w:ind w:left="0"/>
      </w:pPr>
      <w:r>
        <w:rPr>
          <w:rFonts w:ascii="Times New Roman" w:hAnsi="Times New Roman" w:eastAsia="宋体"/>
          <w:b w:val="0"/>
          <w:sz w:val="22"/>
        </w:rPr>
        <w:t xml:space="preserve">  6.1 系统概述与四级排列</w:t>
      </w:r>
    </w:p>
    <w:p>
      <w:pPr>
        <w:spacing w:line="360" w:lineRule="auto"/>
        <w:ind w:left="0"/>
      </w:pPr>
      <w:r>
        <w:rPr>
          <w:rFonts w:ascii="Times New Roman" w:hAnsi="Times New Roman" w:eastAsia="宋体"/>
          <w:b w:val="0"/>
          <w:sz w:val="22"/>
        </w:rPr>
        <w:t xml:space="preserve">  6.2 三线开花的完整规则</w:t>
      </w:r>
    </w:p>
    <w:p>
      <w:pPr>
        <w:spacing w:line="360" w:lineRule="auto"/>
        <w:ind w:left="0"/>
      </w:pPr>
      <w:r>
        <w:rPr>
          <w:rFonts w:ascii="Times New Roman" w:hAnsi="Times New Roman" w:eastAsia="宋体"/>
          <w:b w:val="0"/>
          <w:sz w:val="22"/>
        </w:rPr>
        <w:t xml:space="preserve">  6.3 1250系统买卖规则</w:t>
      </w:r>
    </w:p>
    <w:p>
      <w:pPr>
        <w:spacing w:line="360" w:lineRule="auto"/>
        <w:ind w:left="0"/>
      </w:pPr>
      <w:r>
        <w:rPr>
          <w:rFonts w:ascii="Times New Roman" w:hAnsi="Times New Roman" w:eastAsia="宋体"/>
          <w:b w:val="0"/>
          <w:sz w:val="22"/>
        </w:rPr>
        <w:t>第七章  大均线系统（MA120/MA250/MA850）</w:t>
      </w:r>
      <w:r>
        <w:rPr>
          <w:rFonts w:ascii="Times New Roman" w:hAnsi="Times New Roman" w:eastAsia="Times New Roman"/>
          <w:b w:val="0"/>
          <w:sz w:val="22"/>
        </w:rPr>
        <w:tab/>
        <w:t>50</w:t>
      </w:r>
    </w:p>
    <w:p>
      <w:pPr>
        <w:spacing w:line="360" w:lineRule="auto"/>
        <w:ind w:left="0"/>
      </w:pPr>
      <w:r>
        <w:rPr>
          <w:rFonts w:ascii="Times New Roman" w:hAnsi="Times New Roman" w:eastAsia="宋体"/>
          <w:b w:val="0"/>
          <w:sz w:val="22"/>
        </w:rPr>
        <w:t xml:space="preserve">  7.1 半年线（MA120）操作体系</w:t>
      </w:r>
    </w:p>
    <w:p>
      <w:pPr>
        <w:spacing w:line="360" w:lineRule="auto"/>
        <w:ind w:left="0"/>
      </w:pPr>
      <w:r>
        <w:rPr>
          <w:rFonts w:ascii="Times New Roman" w:hAnsi="Times New Roman" w:eastAsia="宋体"/>
          <w:b w:val="0"/>
          <w:sz w:val="22"/>
        </w:rPr>
        <w:t xml:space="preserve">  7.2 年线（MA250）：牛熊分界线</w:t>
      </w:r>
    </w:p>
    <w:p>
      <w:pPr>
        <w:spacing w:line="360" w:lineRule="auto"/>
        <w:ind w:left="0"/>
      </w:pPr>
      <w:r>
        <w:rPr>
          <w:rFonts w:ascii="Times New Roman" w:hAnsi="Times New Roman" w:eastAsia="宋体"/>
          <w:b w:val="0"/>
          <w:sz w:val="22"/>
        </w:rPr>
        <w:t xml:space="preserve">  7.3 MA850 基钦周期预测法</w:t>
      </w:r>
    </w:p>
    <w:p>
      <w:pPr>
        <w:spacing w:line="360" w:lineRule="auto"/>
        <w:ind w:left="0"/>
      </w:pPr>
      <w:r>
        <w:rPr>
          <w:rFonts w:ascii="Times New Roman" w:hAnsi="Times New Roman" w:eastAsia="宋体"/>
          <w:b w:val="0"/>
          <w:sz w:val="22"/>
        </w:rPr>
        <w:t xml:space="preserve">  7.4 大均线综合应用</w:t>
      </w:r>
    </w:p>
    <w:p>
      <w:pPr>
        <w:spacing w:line="360" w:lineRule="auto"/>
        <w:ind w:left="0"/>
      </w:pPr>
      <w:r>
        <w:rPr>
          <w:rFonts w:ascii="Times New Roman" w:hAnsi="Times New Roman" w:eastAsia="宋体"/>
          <w:b w:val="0"/>
          <w:sz w:val="22"/>
        </w:rPr>
        <w:t>第八章  乖离率BIAS与均线联合</w:t>
      </w:r>
      <w:r>
        <w:rPr>
          <w:rFonts w:ascii="Times New Roman" w:hAnsi="Times New Roman" w:eastAsia="Times New Roman"/>
          <w:b w:val="0"/>
          <w:sz w:val="22"/>
        </w:rPr>
        <w:tab/>
        <w:t>58</w:t>
      </w:r>
    </w:p>
    <w:p>
      <w:pPr>
        <w:spacing w:line="360" w:lineRule="auto"/>
        <w:ind w:left="0"/>
      </w:pPr>
      <w:r>
        <w:rPr>
          <w:rFonts w:ascii="Times New Roman" w:hAnsi="Times New Roman" w:eastAsia="宋体"/>
          <w:b w:val="0"/>
          <w:sz w:val="22"/>
        </w:rPr>
        <w:t>第九章  量价配合与均线综合判断</w:t>
      </w:r>
      <w:r>
        <w:rPr>
          <w:rFonts w:ascii="Times New Roman" w:hAnsi="Times New Roman" w:eastAsia="Times New Roman"/>
          <w:b w:val="0"/>
          <w:sz w:val="22"/>
        </w:rPr>
        <w:tab/>
        <w:t>62</w:t>
      </w:r>
    </w:p>
    <w:p>
      <w:pPr>
        <w:spacing w:line="360" w:lineRule="auto"/>
        <w:ind w:left="0"/>
      </w:pPr>
      <w:r>
        <w:rPr>
          <w:rFonts w:ascii="Times New Roman" w:hAnsi="Times New Roman" w:eastAsia="宋体"/>
          <w:b w:val="0"/>
          <w:sz w:val="22"/>
        </w:rPr>
        <w:t>第十章  实战买卖点规则汇总</w:t>
      </w:r>
      <w:r>
        <w:rPr>
          <w:rFonts w:ascii="Times New Roman" w:hAnsi="Times New Roman" w:eastAsia="Times New Roman"/>
          <w:b w:val="0"/>
          <w:sz w:val="22"/>
        </w:rPr>
        <w:tab/>
        <w:t>68</w:t>
      </w:r>
    </w:p>
    <w:p>
      <w:pPr>
        <w:spacing w:line="360" w:lineRule="auto"/>
        <w:ind w:left="0"/>
      </w:pPr>
      <w:r>
        <w:rPr>
          <w:rFonts w:ascii="Times New Roman" w:hAnsi="Times New Roman" w:eastAsia="宋体"/>
          <w:b w:val="0"/>
          <w:sz w:val="22"/>
        </w:rPr>
        <w:t>第十一章  不同操作周期的均线战法</w:t>
      </w:r>
      <w:r>
        <w:rPr>
          <w:rFonts w:ascii="Times New Roman" w:hAnsi="Times New Roman" w:eastAsia="Times New Roman"/>
          <w:b w:val="0"/>
          <w:sz w:val="22"/>
        </w:rPr>
        <w:tab/>
        <w:t>76</w:t>
      </w:r>
    </w:p>
    <w:p>
      <w:pPr>
        <w:spacing w:line="360" w:lineRule="auto"/>
        <w:ind w:left="0"/>
      </w:pPr>
      <w:r>
        <w:rPr>
          <w:rFonts w:ascii="Times New Roman" w:hAnsi="Times New Roman" w:eastAsia="宋体"/>
          <w:b w:val="0"/>
          <w:sz w:val="22"/>
        </w:rPr>
        <w:t>第十二章  风险管理与仓位控制</w:t>
      </w:r>
      <w:r>
        <w:rPr>
          <w:rFonts w:ascii="Times New Roman" w:hAnsi="Times New Roman" w:eastAsia="Times New Roman"/>
          <w:b w:val="0"/>
          <w:sz w:val="22"/>
        </w:rPr>
        <w:tab/>
        <w:t>82</w:t>
      </w:r>
    </w:p>
    <w:p>
      <w:pPr>
        <w:spacing w:line="360" w:lineRule="auto"/>
        <w:ind w:left="0"/>
      </w:pPr>
      <w:r>
        <w:rPr>
          <w:rFonts w:ascii="Times New Roman" w:hAnsi="Times New Roman" w:eastAsia="宋体"/>
          <w:b w:val="0"/>
          <w:sz w:val="22"/>
        </w:rPr>
        <w:t>第十三章  均线交易常见误区与修正</w:t>
      </w:r>
      <w:r>
        <w:rPr>
          <w:rFonts w:ascii="Times New Roman" w:hAnsi="Times New Roman" w:eastAsia="Times New Roman"/>
          <w:b w:val="0"/>
          <w:sz w:val="22"/>
        </w:rPr>
        <w:tab/>
        <w:t>86</w:t>
      </w:r>
    </w:p>
    <w:p>
      <w:pPr>
        <w:spacing w:line="360" w:lineRule="auto"/>
        <w:ind w:left="0"/>
      </w:pPr>
      <w:r>
        <w:rPr>
          <w:rFonts w:ascii="Times New Roman" w:hAnsi="Times New Roman" w:eastAsia="宋体"/>
          <w:b w:val="0"/>
          <w:sz w:val="22"/>
        </w:rPr>
        <w:t>第十四章  核心法则总结</w:t>
      </w:r>
      <w:r>
        <w:rPr>
          <w:rFonts w:ascii="Times New Roman" w:hAnsi="Times New Roman" w:eastAsia="Times New Roman"/>
          <w:b w:val="0"/>
          <w:sz w:val="22"/>
        </w:rPr>
        <w:tab/>
        <w:t>90</w:t>
      </w:r>
    </w:p>
    <w:p>
      <w:pPr>
        <w:spacing w:line="360" w:lineRule="auto"/>
        <w:ind w:left="0"/>
      </w:pPr>
      <w:r>
        <w:rPr>
          <w:rFonts w:ascii="Times New Roman" w:hAnsi="Times New Roman" w:eastAsia="宋体"/>
          <w:b w:val="0"/>
          <w:sz w:val="22"/>
        </w:rPr>
        <w:t>附录：35本均线专著简介索引</w:t>
      </w:r>
      <w:r>
        <w:rPr>
          <w:rFonts w:ascii="Times New Roman" w:hAnsi="Times New Roman" w:eastAsia="Times New Roman"/>
          <w:b w:val="0"/>
          <w:sz w:val="22"/>
        </w:rPr>
        <w:tab/>
        <w:t>92</w:t>
      </w:r>
    </w:p>
    <w:p>
      <w:r>
        <w:br w:type="page"/>
      </w:r>
    </w:p>
    <w:p>
      <w:pPr>
        <w:spacing w:before="400" w:after="240"/>
      </w:pPr>
      <w:r>
        <w:rPr>
          <w:rFonts w:ascii="Times New Roman" w:hAnsi="Times New Roman" w:eastAsia="微软雅黑"/>
          <w:b/>
          <w:color w:val="1F4E78"/>
          <w:sz w:val="32"/>
        </w:rPr>
        <w:t>前言：均线技术的历史与理论地位</w:t>
      </w:r>
    </w:p>
    <w:p>
      <w:pPr>
        <w:spacing w:line="360" w:lineRule="auto" w:after="80"/>
        <w:ind w:firstLine="440"/>
      </w:pPr>
      <w:r>
        <w:rPr>
          <w:rFonts w:ascii="Times New Roman" w:hAnsi="Times New Roman" w:eastAsia="宋体"/>
          <w:b w:val="0"/>
          <w:sz w:val="22"/>
        </w:rPr>
        <w:t>移动平均线（Moving Average，MA）被誉为技术分析中『最朴实也最可靠』的指标之一。自1960年代美国投资家葛兰碧（Joseph Granville）提出著名的『移动平均线八大法则』以来，均线技术已在股票、期货、外汇乃至加密货币市场中被广泛应用，经历了超过半个世纪的实证检验。</w:t>
      </w:r>
    </w:p>
    <w:p>
      <w:pPr>
        <w:spacing w:line="360" w:lineRule="auto" w:after="80"/>
        <w:ind w:firstLine="440"/>
      </w:pPr>
      <w:r>
        <w:rPr>
          <w:rFonts w:ascii="Times New Roman" w:hAnsi="Times New Roman" w:eastAsia="宋体"/>
          <w:b w:val="0"/>
          <w:sz w:val="22"/>
        </w:rPr>
        <w:t>本手册基于以下35本专著系统梳理：涵盖从基础入门教材（如《从零开始学均线》《均线实战入门》），到经典实战著作（如《均线技术分析》《均线之歌》《主控战略移动平均线》），再到创新体系专著（《1250均线系统法则·三线开花》《神奇的大均线》），以及前沿研究（广发证券《均线交叉策略的另类创新研究》、洪灝《怎样用850天均线做预测》）。</w:t>
      </w:r>
    </w:p>
    <w:p>
      <w:pPr>
        <w:spacing w:line="360" w:lineRule="auto" w:after="80"/>
        <w:ind w:firstLine="440"/>
      </w:pPr>
      <w:r>
        <w:rPr>
          <w:rFonts w:ascii="Times New Roman" w:hAnsi="Times New Roman" w:eastAsia="宋体"/>
          <w:b w:val="0"/>
          <w:sz w:val="22"/>
        </w:rPr>
        <w:t>手册重点解决三个核心问题：</w:t>
      </w:r>
    </w:p>
    <w:p>
      <w:pPr>
        <w:spacing w:line="360" w:lineRule="auto" w:after="80"/>
        <w:ind w:firstLine="440"/>
      </w:pPr>
      <w:r>
        <w:rPr>
          <w:rFonts w:ascii="Times New Roman" w:hAnsi="Times New Roman" w:eastAsia="宋体"/>
          <w:b/>
          <w:sz w:val="22"/>
        </w:rPr>
        <w:t>一、各类均线技术指标有哪些？它们的数学定义和使用场景是什么？</w:t>
      </w:r>
    </w:p>
    <w:p>
      <w:pPr>
        <w:spacing w:line="360" w:lineRule="auto" w:after="80"/>
        <w:ind w:firstLine="440"/>
      </w:pPr>
      <w:r>
        <w:rPr>
          <w:rFonts w:ascii="Times New Roman" w:hAnsi="Times New Roman" w:eastAsia="宋体"/>
          <w:b/>
          <w:sz w:val="22"/>
        </w:rPr>
        <w:t>二、每个指标如何判读多空信号？具体的触发条件、可靠性分级和止损标准是什么？</w:t>
      </w:r>
    </w:p>
    <w:p>
      <w:pPr>
        <w:spacing w:line="360" w:lineRule="auto" w:after="80"/>
        <w:ind w:firstLine="440"/>
      </w:pPr>
      <w:r>
        <w:rPr>
          <w:rFonts w:ascii="Times New Roman" w:hAnsi="Times New Roman" w:eastAsia="宋体"/>
          <w:b/>
          <w:sz w:val="22"/>
        </w:rPr>
        <w:t>三、多个信号如何配合使用？不同周期、不同市场环境下的最优组合是什么？</w:t>
      </w:r>
    </w:p>
    <w:tbl>
      <w:tblPr>
        <w:tblW w:type="auto" w:w="0"/>
        <w:jc w:val="center"/>
        <w:tblLook w:firstColumn="1" w:firstRow="1" w:lastColumn="0" w:lastRow="0" w:noHBand="0" w:noVBand="1" w:val="04A0"/>
      </w:tblPr>
      <w:tblGrid>
        <w:gridCol w:w="9026"/>
      </w:tblGrid>
      <w:tr>
        <w:tc>
          <w:tcPr>
            <w:tcW w:type="dxa" w:w="9026"/>
            <w:shd w:fill="FFF2CC"/>
          </w:tcPr>
          <w:p>
            <w:pPr>
              <w:spacing w:line="336" w:lineRule="auto"/>
            </w:pPr>
            <w:r/>
            <w:r>
              <w:rPr>
                <w:rFonts w:ascii="Times New Roman" w:hAnsi="Times New Roman" w:eastAsia="宋体"/>
                <w:b w:val="0"/>
                <w:color w:val="806000"/>
                <w:sz w:val="22"/>
              </w:rPr>
              <w:t>本手册为研究与学习材料，不构成任何投资建议。股市有风险，入市需谨慎。任何技术信号都存在失败概率，严格止损、分散配置、控制仓位是投资长期生存的根本。</w:t>
            </w:r>
          </w:p>
        </w:tc>
      </w:tr>
    </w:tbl>
    <w:p>
      <w:r>
        <w:br w:type="page"/>
      </w:r>
    </w:p>
    <w:p>
      <w:pPr>
        <w:spacing w:before="400" w:after="240"/>
      </w:pPr>
      <w:r>
        <w:rPr>
          <w:rFonts w:ascii="Times New Roman" w:hAnsi="Times New Roman" w:eastAsia="微软雅黑"/>
          <w:b/>
          <w:color w:val="1F4E78"/>
          <w:sz w:val="32"/>
        </w:rPr>
        <w:t>第一章  均线的基础理论</w:t>
      </w:r>
    </w:p>
    <w:p>
      <w:pPr>
        <w:spacing w:before="280" w:after="160"/>
      </w:pPr>
      <w:r>
        <w:rPr>
          <w:rFonts w:ascii="Times New Roman" w:hAnsi="Times New Roman" w:eastAsia="微软雅黑"/>
          <w:b/>
          <w:color w:val="2E75B6"/>
          <w:sz w:val="26"/>
        </w:rPr>
        <w:t>1.1 移动平均线的定义与数学本质</w:t>
      </w:r>
    </w:p>
    <w:p>
      <w:pPr>
        <w:spacing w:line="360" w:lineRule="auto" w:after="80"/>
        <w:ind w:firstLine="440"/>
      </w:pPr>
      <w:r>
        <w:rPr>
          <w:rFonts w:ascii="Times New Roman" w:hAnsi="Times New Roman" w:eastAsia="宋体"/>
          <w:b w:val="0"/>
          <w:sz w:val="22"/>
        </w:rPr>
        <w:t>移动平均线（Moving Average，简称MA），是将一定时期内金融资产价格加以平均，并将不同时间的平均值连接起来形成的一条曲线。其数学本质是对时间序列数据进行低通滤波，消除短期随机波动、保留中长期趋势信息。</w:t>
      </w:r>
    </w:p>
    <w:p>
      <w:pPr>
        <w:spacing w:line="360" w:lineRule="auto" w:after="80"/>
        <w:ind w:firstLine="440"/>
      </w:pPr>
      <w:r>
        <w:rPr>
          <w:rFonts w:ascii="Times New Roman" w:hAnsi="Times New Roman" w:eastAsia="宋体"/>
          <w:b w:val="0"/>
          <w:sz w:val="22"/>
        </w:rPr>
        <w:t>均线的核心功能可以概括为三点：显示趋势方向、平滑价格噪音、反映平均持仓成本。任何一条均线都同时承担了『趋势指示器』和『心理成本线』两个角色——均线上方的市场参与者整体获利，均线下方的市场参与者整体亏损，这一朴素的事实构成了均线支撑与压力作用的心理学基础。</w:t>
      </w:r>
    </w:p>
    <w:p>
      <w:pPr>
        <w:spacing w:before="280" w:after="160"/>
      </w:pPr>
      <w:r>
        <w:rPr>
          <w:rFonts w:ascii="Times New Roman" w:hAnsi="Times New Roman" w:eastAsia="微软雅黑"/>
          <w:b/>
          <w:color w:val="2E75B6"/>
          <w:sz w:val="26"/>
        </w:rPr>
        <w:t>1.2 均线的四大计算方式</w:t>
      </w:r>
    </w:p>
    <w:p>
      <w:pPr>
        <w:spacing w:before="200" w:after="120"/>
      </w:pPr>
      <w:r>
        <w:rPr>
          <w:rFonts w:ascii="Times New Roman" w:hAnsi="Times New Roman" w:eastAsia="微软雅黑"/>
          <w:b/>
          <w:color w:val="44546A"/>
          <w:sz w:val="24"/>
        </w:rPr>
        <w:t>1.2.1 简单移动平均线（SMA）</w:t>
      </w:r>
    </w:p>
    <w:p>
      <w:pPr>
        <w:spacing w:line="360" w:lineRule="auto" w:after="80"/>
        <w:ind w:firstLine="440"/>
      </w:pPr>
      <w:r>
        <w:rPr>
          <w:rFonts w:ascii="Times New Roman" w:hAnsi="Times New Roman" w:eastAsia="宋体"/>
          <w:b w:val="0"/>
          <w:sz w:val="22"/>
        </w:rPr>
        <w:t>最基础也是应用最广的均线形式，计算公式为：</w:t>
      </w:r>
    </w:p>
    <w:p>
      <w:pPr>
        <w:jc w:val="center"/>
      </w:pPr>
      <w:r>
        <w:rPr>
          <w:rFonts w:ascii="Times New Roman" w:hAnsi="Times New Roman" w:eastAsia="Consolas"/>
          <w:b/>
          <w:color w:val="1F4E78"/>
          <w:sz w:val="24"/>
        </w:rPr>
        <w:t>MA(n) = (P₁ + P₂ + P₃ + ... + Pₙ) / n</w:t>
      </w:r>
    </w:p>
    <w:p>
      <w:pPr>
        <w:spacing w:line="360" w:lineRule="auto" w:after="80"/>
        <w:ind w:firstLine="440"/>
      </w:pPr>
      <w:r>
        <w:rPr>
          <w:rFonts w:ascii="Times New Roman" w:hAnsi="Times New Roman" w:eastAsia="宋体"/>
          <w:b w:val="0"/>
          <w:sz w:val="22"/>
        </w:rPr>
        <w:t>其中 n 为计算周期，P 为各日收盘价。SMA给予周期内各日等权重，计算简单、信号稳定，是大多数投资者的首选。</w:t>
      </w:r>
    </w:p>
    <w:p>
      <w:pPr>
        <w:spacing w:before="200" w:after="120"/>
      </w:pPr>
      <w:r>
        <w:rPr>
          <w:rFonts w:ascii="Times New Roman" w:hAnsi="Times New Roman" w:eastAsia="微软雅黑"/>
          <w:b/>
          <w:color w:val="44546A"/>
          <w:sz w:val="24"/>
        </w:rPr>
        <w:t>1.2.2 指数加权移动平均线（EMA）</w:t>
      </w:r>
    </w:p>
    <w:p>
      <w:pPr>
        <w:spacing w:line="360" w:lineRule="auto" w:after="80"/>
        <w:ind w:firstLine="440"/>
      </w:pPr>
      <w:r>
        <w:rPr>
          <w:rFonts w:ascii="Times New Roman" w:hAnsi="Times New Roman" w:eastAsia="宋体"/>
          <w:b w:val="0"/>
          <w:sz w:val="22"/>
        </w:rPr>
        <w:t>针对SMA『滞后性过强』的缺陷而设计，近期数据获得更高权重，计算公式为：</w:t>
      </w:r>
    </w:p>
    <w:p>
      <w:pPr>
        <w:jc w:val="center"/>
      </w:pPr>
      <w:r>
        <w:rPr>
          <w:rFonts w:ascii="Times New Roman" w:hAnsi="Times New Roman" w:eastAsia="Consolas"/>
          <w:b/>
          <w:color w:val="1F4E78"/>
          <w:sz w:val="24"/>
        </w:rPr>
        <w:t>EMA今日 = α × 今日收盘价 + (1 - α) × EMA昨日</w:t>
      </w:r>
    </w:p>
    <w:p>
      <w:pPr>
        <w:spacing w:line="360" w:lineRule="auto" w:after="80"/>
        <w:ind w:firstLine="440"/>
      </w:pPr>
      <w:r>
        <w:rPr>
          <w:rFonts w:ascii="Times New Roman" w:hAnsi="Times New Roman" w:eastAsia="宋体"/>
          <w:b w:val="0"/>
          <w:sz w:val="22"/>
        </w:rPr>
        <w:t>其中平滑系数 α = 2/(n+1)。EMA对近期价格变化反应更灵敏，是MACD等衍生指标的基础。缺点是震荡市中易产生频繁假信号。</w:t>
      </w:r>
    </w:p>
    <w:p>
      <w:pPr>
        <w:spacing w:before="200" w:after="120"/>
      </w:pPr>
      <w:r>
        <w:rPr>
          <w:rFonts w:ascii="Times New Roman" w:hAnsi="Times New Roman" w:eastAsia="微软雅黑"/>
          <w:b/>
          <w:color w:val="44546A"/>
          <w:sz w:val="24"/>
        </w:rPr>
        <w:t>1.2.3 加权移动平均线（WMA）</w:t>
      </w:r>
    </w:p>
    <w:p>
      <w:pPr>
        <w:spacing w:line="360" w:lineRule="auto" w:after="80"/>
        <w:ind w:firstLine="440"/>
      </w:pPr>
      <w:r>
        <w:rPr>
          <w:rFonts w:ascii="Times New Roman" w:hAnsi="Times New Roman" w:eastAsia="宋体"/>
          <w:b w:val="0"/>
          <w:sz w:val="22"/>
        </w:rPr>
        <w:t>介于SMA和EMA之间的折中方案，按日期递减赋权：今日权重为n、昨日为n-1、……n日前为1，然后求加权平均。WMA比SMA灵敏、比EMA稳定，适用于趋势加速阶段的跟踪。</w:t>
      </w:r>
    </w:p>
    <w:p>
      <w:pPr>
        <w:spacing w:before="200" w:after="120"/>
      </w:pPr>
      <w:r>
        <w:rPr>
          <w:rFonts w:ascii="Times New Roman" w:hAnsi="Times New Roman" w:eastAsia="微软雅黑"/>
          <w:b/>
          <w:color w:val="44546A"/>
          <w:sz w:val="24"/>
        </w:rPr>
        <w:t>1.2.4 低延迟趋势线（LLT）</w:t>
      </w:r>
    </w:p>
    <w:p>
      <w:pPr>
        <w:spacing w:line="360" w:lineRule="auto" w:after="80"/>
        <w:ind w:firstLine="440"/>
      </w:pPr>
      <w:r>
        <w:rPr>
          <w:rFonts w:ascii="Times New Roman" w:hAnsi="Times New Roman" w:eastAsia="宋体"/>
          <w:b w:val="0"/>
          <w:sz w:val="22"/>
        </w:rPr>
        <w:t>由光大证券等机构提出的量化均线，使用IIR滤波器技术在保持平滑度的同时显著降低滞后，是量化交易中的高级均线。根据广发证券《均线交叉策略的另类创新研究》的实证结果，在10分钟高频行情下，LLT均线的表现优于SMA、EMA、WMA三者。</w:t>
      </w:r>
    </w:p>
    <w:p>
      <w:pPr>
        <w:spacing w:line="360" w:lineRule="auto" w:after="80"/>
        <w:ind w:firstLine="440"/>
      </w:pPr>
      <w:r>
        <w:rPr>
          <w:rFonts w:ascii="Times New Roman" w:hAnsi="Times New Roman" w:eastAsia="宋体"/>
          <w:b w:val="0"/>
          <w:sz w:val="22"/>
        </w:rPr>
        <w:t>四种均线的性能对照如下：</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均线类型</w:t>
            </w:r>
          </w:p>
        </w:tc>
        <w:tc>
          <w:tcPr>
            <w:tcW w:type="dxa" w:w="1020"/>
            <w:shd w:fill="2E75B6"/>
            <w:vAlign w:val="center"/>
          </w:tcPr>
          <w:p>
            <w:pPr>
              <w:jc w:val="center"/>
            </w:pPr>
            <w:r/>
            <w:r>
              <w:rPr>
                <w:rFonts w:ascii="Times New Roman" w:hAnsi="Times New Roman" w:eastAsia="微软雅黑"/>
                <w:b/>
                <w:color w:val="FFFFFF"/>
                <w:sz w:val="20"/>
              </w:rPr>
              <w:t>滞后性</w:t>
            </w:r>
          </w:p>
        </w:tc>
        <w:tc>
          <w:tcPr>
            <w:tcW w:type="dxa" w:w="1020"/>
            <w:shd w:fill="2E75B6"/>
            <w:vAlign w:val="center"/>
          </w:tcPr>
          <w:p>
            <w:pPr>
              <w:jc w:val="center"/>
            </w:pPr>
            <w:r/>
            <w:r>
              <w:rPr>
                <w:rFonts w:ascii="Times New Roman" w:hAnsi="Times New Roman" w:eastAsia="微软雅黑"/>
                <w:b/>
                <w:color w:val="FFFFFF"/>
                <w:sz w:val="20"/>
              </w:rPr>
              <w:t>平滑度</w:t>
            </w:r>
          </w:p>
        </w:tc>
        <w:tc>
          <w:tcPr>
            <w:tcW w:type="dxa" w:w="1134"/>
            <w:shd w:fill="2E75B6"/>
            <w:vAlign w:val="center"/>
          </w:tcPr>
          <w:p>
            <w:pPr>
              <w:jc w:val="center"/>
            </w:pPr>
            <w:r/>
            <w:r>
              <w:rPr>
                <w:rFonts w:ascii="Times New Roman" w:hAnsi="Times New Roman" w:eastAsia="微软雅黑"/>
                <w:b/>
                <w:color w:val="FFFFFF"/>
                <w:sz w:val="20"/>
              </w:rPr>
              <w:t>假信号率</w:t>
            </w:r>
          </w:p>
        </w:tc>
        <w:tc>
          <w:tcPr>
            <w:tcW w:type="dxa" w:w="3118"/>
            <w:shd w:fill="2E75B6"/>
            <w:vAlign w:val="center"/>
          </w:tcPr>
          <w:p>
            <w:pPr>
              <w:jc w:val="center"/>
            </w:pPr>
            <w:r/>
            <w:r>
              <w:rPr>
                <w:rFonts w:ascii="Times New Roman" w:hAnsi="Times New Roman" w:eastAsia="微软雅黑"/>
                <w:b/>
                <w:color w:val="FFFFFF"/>
                <w:sz w:val="20"/>
              </w:rPr>
              <w:t>推荐使用场景</w:t>
            </w:r>
          </w:p>
        </w:tc>
      </w:tr>
      <w:tr>
        <w:tc>
          <w:tcPr>
            <w:tcW w:type="dxa" w:w="1134"/>
            <w:vAlign w:val="center"/>
          </w:tcPr>
          <w:p>
            <w:pPr>
              <w:jc w:val="left"/>
            </w:pPr>
            <w:r/>
            <w:r>
              <w:rPr>
                <w:rFonts w:ascii="Times New Roman" w:hAnsi="Times New Roman" w:eastAsia="宋体"/>
                <w:b w:val="0"/>
                <w:sz w:val="20"/>
              </w:rPr>
              <w:t>SMA</w:t>
            </w:r>
          </w:p>
        </w:tc>
        <w:tc>
          <w:tcPr>
            <w:tcW w:type="dxa" w:w="1020"/>
            <w:vAlign w:val="center"/>
          </w:tcPr>
          <w:p>
            <w:pPr>
              <w:jc w:val="left"/>
            </w:pPr>
            <w:r/>
            <w:r>
              <w:rPr>
                <w:rFonts w:ascii="Times New Roman" w:hAnsi="Times New Roman" w:eastAsia="宋体"/>
                <w:b w:val="0"/>
                <w:sz w:val="20"/>
              </w:rPr>
              <w:t>较大</w:t>
            </w:r>
          </w:p>
        </w:tc>
        <w:tc>
          <w:tcPr>
            <w:tcW w:type="dxa" w:w="1020"/>
            <w:vAlign w:val="center"/>
          </w:tcPr>
          <w:p>
            <w:pPr>
              <w:jc w:val="left"/>
            </w:pPr>
            <w:r/>
            <w:r>
              <w:rPr>
                <w:rFonts w:ascii="Times New Roman" w:hAnsi="Times New Roman" w:eastAsia="宋体"/>
                <w:b w:val="0"/>
                <w:sz w:val="20"/>
              </w:rPr>
              <w:t>强</w:t>
            </w:r>
          </w:p>
        </w:tc>
        <w:tc>
          <w:tcPr>
            <w:tcW w:type="dxa" w:w="1134"/>
            <w:vAlign w:val="center"/>
          </w:tcPr>
          <w:p>
            <w:pPr>
              <w:jc w:val="left"/>
            </w:pPr>
            <w:r/>
            <w:r>
              <w:rPr>
                <w:rFonts w:ascii="Times New Roman" w:hAnsi="Times New Roman" w:eastAsia="宋体"/>
                <w:b w:val="0"/>
                <w:sz w:val="20"/>
              </w:rPr>
              <w:t>低</w:t>
            </w:r>
          </w:p>
        </w:tc>
        <w:tc>
          <w:tcPr>
            <w:tcW w:type="dxa" w:w="3118"/>
            <w:vAlign w:val="center"/>
          </w:tcPr>
          <w:p>
            <w:pPr>
              <w:jc w:val="left"/>
            </w:pPr>
            <w:r/>
            <w:r>
              <w:rPr>
                <w:rFonts w:ascii="Times New Roman" w:hAnsi="Times New Roman" w:eastAsia="宋体"/>
                <w:b w:val="0"/>
                <w:sz w:val="20"/>
              </w:rPr>
              <w:t>中长线趋势判断；所有初学者的起点</w:t>
            </w:r>
          </w:p>
        </w:tc>
      </w:tr>
      <w:tr>
        <w:tc>
          <w:tcPr>
            <w:tcW w:type="dxa" w:w="1134"/>
            <w:vAlign w:val="center"/>
          </w:tcPr>
          <w:p>
            <w:pPr>
              <w:jc w:val="left"/>
            </w:pPr>
            <w:r/>
            <w:r>
              <w:rPr>
                <w:rFonts w:ascii="Times New Roman" w:hAnsi="Times New Roman" w:eastAsia="宋体"/>
                <w:b w:val="0"/>
                <w:sz w:val="20"/>
              </w:rPr>
              <w:t>EMA</w:t>
            </w:r>
          </w:p>
        </w:tc>
        <w:tc>
          <w:tcPr>
            <w:tcW w:type="dxa" w:w="1020"/>
            <w:vAlign w:val="center"/>
          </w:tcPr>
          <w:p>
            <w:pPr>
              <w:jc w:val="left"/>
            </w:pPr>
            <w:r/>
            <w:r>
              <w:rPr>
                <w:rFonts w:ascii="Times New Roman" w:hAnsi="Times New Roman" w:eastAsia="宋体"/>
                <w:b w:val="0"/>
                <w:sz w:val="20"/>
              </w:rPr>
              <w:t>较小</w:t>
            </w:r>
          </w:p>
        </w:tc>
        <w:tc>
          <w:tcPr>
            <w:tcW w:type="dxa" w:w="1020"/>
            <w:vAlign w:val="center"/>
          </w:tcPr>
          <w:p>
            <w:pPr>
              <w:jc w:val="left"/>
            </w:pPr>
            <w:r/>
            <w:r>
              <w:rPr>
                <w:rFonts w:ascii="Times New Roman" w:hAnsi="Times New Roman" w:eastAsia="宋体"/>
                <w:b w:val="0"/>
                <w:sz w:val="20"/>
              </w:rPr>
              <w:t>中</w:t>
            </w:r>
          </w:p>
        </w:tc>
        <w:tc>
          <w:tcPr>
            <w:tcW w:type="dxa" w:w="1134"/>
            <w:vAlign w:val="center"/>
          </w:tcPr>
          <w:p>
            <w:pPr>
              <w:jc w:val="left"/>
            </w:pPr>
            <w:r/>
            <w:r>
              <w:rPr>
                <w:rFonts w:ascii="Times New Roman" w:hAnsi="Times New Roman" w:eastAsia="宋体"/>
                <w:b w:val="0"/>
                <w:sz w:val="20"/>
              </w:rPr>
              <w:t>中高</w:t>
            </w:r>
          </w:p>
        </w:tc>
        <w:tc>
          <w:tcPr>
            <w:tcW w:type="dxa" w:w="3118"/>
            <w:vAlign w:val="center"/>
          </w:tcPr>
          <w:p>
            <w:pPr>
              <w:jc w:val="left"/>
            </w:pPr>
            <w:r/>
            <w:r>
              <w:rPr>
                <w:rFonts w:ascii="Times New Roman" w:hAnsi="Times New Roman" w:eastAsia="宋体"/>
                <w:b w:val="0"/>
                <w:sz w:val="20"/>
              </w:rPr>
              <w:t>短线追涨杀跌；MACD基础</w:t>
            </w:r>
          </w:p>
        </w:tc>
      </w:tr>
      <w:tr>
        <w:tc>
          <w:tcPr>
            <w:tcW w:type="dxa" w:w="1134"/>
            <w:vAlign w:val="center"/>
          </w:tcPr>
          <w:p>
            <w:pPr>
              <w:jc w:val="left"/>
            </w:pPr>
            <w:r/>
            <w:r>
              <w:rPr>
                <w:rFonts w:ascii="Times New Roman" w:hAnsi="Times New Roman" w:eastAsia="宋体"/>
                <w:b w:val="0"/>
                <w:sz w:val="20"/>
              </w:rPr>
              <w:t>WMA</w:t>
            </w:r>
          </w:p>
        </w:tc>
        <w:tc>
          <w:tcPr>
            <w:tcW w:type="dxa" w:w="1020"/>
            <w:vAlign w:val="center"/>
          </w:tcPr>
          <w:p>
            <w:pPr>
              <w:jc w:val="left"/>
            </w:pPr>
            <w:r/>
            <w:r>
              <w:rPr>
                <w:rFonts w:ascii="Times New Roman" w:hAnsi="Times New Roman" w:eastAsia="宋体"/>
                <w:b w:val="0"/>
                <w:sz w:val="20"/>
              </w:rPr>
              <w:t>中等</w:t>
            </w:r>
          </w:p>
        </w:tc>
        <w:tc>
          <w:tcPr>
            <w:tcW w:type="dxa" w:w="1020"/>
            <w:vAlign w:val="center"/>
          </w:tcPr>
          <w:p>
            <w:pPr>
              <w:jc w:val="left"/>
            </w:pPr>
            <w:r/>
            <w:r>
              <w:rPr>
                <w:rFonts w:ascii="Times New Roman" w:hAnsi="Times New Roman" w:eastAsia="宋体"/>
                <w:b w:val="0"/>
                <w:sz w:val="20"/>
              </w:rPr>
              <w:t>中</w:t>
            </w:r>
          </w:p>
        </w:tc>
        <w:tc>
          <w:tcPr>
            <w:tcW w:type="dxa" w:w="1134"/>
            <w:vAlign w:val="center"/>
          </w:tcPr>
          <w:p>
            <w:pPr>
              <w:jc w:val="left"/>
            </w:pPr>
            <w:r/>
            <w:r>
              <w:rPr>
                <w:rFonts w:ascii="Times New Roman" w:hAnsi="Times New Roman" w:eastAsia="宋体"/>
                <w:b w:val="0"/>
                <w:sz w:val="20"/>
              </w:rPr>
              <w:t>中</w:t>
            </w:r>
          </w:p>
        </w:tc>
        <w:tc>
          <w:tcPr>
            <w:tcW w:type="dxa" w:w="3118"/>
            <w:vAlign w:val="center"/>
          </w:tcPr>
          <w:p>
            <w:pPr>
              <w:jc w:val="left"/>
            </w:pPr>
            <w:r/>
            <w:r>
              <w:rPr>
                <w:rFonts w:ascii="Times New Roman" w:hAnsi="Times New Roman" w:eastAsia="宋体"/>
                <w:b w:val="0"/>
                <w:sz w:val="20"/>
              </w:rPr>
              <w:t>期货日内短线；趋势加速阶段</w:t>
            </w:r>
          </w:p>
        </w:tc>
      </w:tr>
      <w:tr>
        <w:tc>
          <w:tcPr>
            <w:tcW w:type="dxa" w:w="1134"/>
            <w:vAlign w:val="center"/>
          </w:tcPr>
          <w:p>
            <w:pPr>
              <w:jc w:val="left"/>
            </w:pPr>
            <w:r/>
            <w:r>
              <w:rPr>
                <w:rFonts w:ascii="Times New Roman" w:hAnsi="Times New Roman" w:eastAsia="宋体"/>
                <w:b w:val="0"/>
                <w:sz w:val="20"/>
              </w:rPr>
              <w:t>LLT</w:t>
            </w:r>
          </w:p>
        </w:tc>
        <w:tc>
          <w:tcPr>
            <w:tcW w:type="dxa" w:w="1020"/>
            <w:vAlign w:val="center"/>
          </w:tcPr>
          <w:p>
            <w:pPr>
              <w:jc w:val="left"/>
            </w:pPr>
            <w:r/>
            <w:r>
              <w:rPr>
                <w:rFonts w:ascii="Times New Roman" w:hAnsi="Times New Roman" w:eastAsia="宋体"/>
                <w:b w:val="0"/>
                <w:sz w:val="20"/>
              </w:rPr>
              <w:t>最小</w:t>
            </w:r>
          </w:p>
        </w:tc>
        <w:tc>
          <w:tcPr>
            <w:tcW w:type="dxa" w:w="1020"/>
            <w:vAlign w:val="center"/>
          </w:tcPr>
          <w:p>
            <w:pPr>
              <w:jc w:val="left"/>
            </w:pPr>
            <w:r/>
            <w:r>
              <w:rPr>
                <w:rFonts w:ascii="Times New Roman" w:hAnsi="Times New Roman" w:eastAsia="宋体"/>
                <w:b w:val="0"/>
                <w:sz w:val="20"/>
              </w:rPr>
              <w:t>强</w:t>
            </w:r>
          </w:p>
        </w:tc>
        <w:tc>
          <w:tcPr>
            <w:tcW w:type="dxa" w:w="1134"/>
            <w:vAlign w:val="center"/>
          </w:tcPr>
          <w:p>
            <w:pPr>
              <w:jc w:val="left"/>
            </w:pPr>
            <w:r/>
            <w:r>
              <w:rPr>
                <w:rFonts w:ascii="Times New Roman" w:hAnsi="Times New Roman" w:eastAsia="宋体"/>
                <w:b w:val="0"/>
                <w:sz w:val="20"/>
              </w:rPr>
              <w:t>较低</w:t>
            </w:r>
          </w:p>
        </w:tc>
        <w:tc>
          <w:tcPr>
            <w:tcW w:type="dxa" w:w="3118"/>
            <w:vAlign w:val="center"/>
          </w:tcPr>
          <w:p>
            <w:pPr>
              <w:jc w:val="left"/>
            </w:pPr>
            <w:r/>
            <w:r>
              <w:rPr>
                <w:rFonts w:ascii="Times New Roman" w:hAnsi="Times New Roman" w:eastAsia="宋体"/>
                <w:b w:val="0"/>
                <w:sz w:val="20"/>
              </w:rPr>
              <w:t>量化策略；机构高频交易</w:t>
            </w:r>
          </w:p>
        </w:tc>
      </w:tr>
    </w:tbl>
    <w:p>
      <w:pPr>
        <w:spacing w:before="280" w:after="160"/>
      </w:pPr>
      <w:r>
        <w:rPr>
          <w:rFonts w:ascii="Times New Roman" w:hAnsi="Times New Roman" w:eastAsia="微软雅黑"/>
          <w:b/>
          <w:color w:val="2E75B6"/>
          <w:sz w:val="26"/>
        </w:rPr>
        <w:t>1.3 常用均线周期及其商业含义</w:t>
      </w:r>
    </w:p>
    <w:p>
      <w:pPr>
        <w:spacing w:line="360" w:lineRule="auto" w:after="80"/>
        <w:ind w:firstLine="440"/>
      </w:pPr>
      <w:r>
        <w:rPr>
          <w:rFonts w:ascii="Times New Roman" w:hAnsi="Times New Roman" w:eastAsia="宋体"/>
          <w:b w:val="0"/>
          <w:sz w:val="22"/>
        </w:rPr>
        <w:t>均线周期的选择本质上是时间维度的选择。不同周期均线代表了不同时长的投资者平均成本，其支撑/压力作用也对应不同级别。下表是中国A股市场中最常用的均线周期：</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850"/>
            <w:shd w:fill="2E75B6"/>
            <w:vAlign w:val="center"/>
          </w:tcPr>
          <w:p>
            <w:pPr>
              <w:jc w:val="center"/>
            </w:pPr>
            <w:r/>
            <w:r>
              <w:rPr>
                <w:rFonts w:ascii="Times New Roman" w:hAnsi="Times New Roman" w:eastAsia="微软雅黑"/>
                <w:b/>
                <w:color w:val="FFFFFF"/>
                <w:sz w:val="20"/>
              </w:rPr>
              <w:t>周期</w:t>
            </w:r>
          </w:p>
        </w:tc>
        <w:tc>
          <w:tcPr>
            <w:tcW w:type="dxa" w:w="1247"/>
            <w:shd w:fill="2E75B6"/>
            <w:vAlign w:val="center"/>
          </w:tcPr>
          <w:p>
            <w:pPr>
              <w:jc w:val="center"/>
            </w:pPr>
            <w:r/>
            <w:r>
              <w:rPr>
                <w:rFonts w:ascii="Times New Roman" w:hAnsi="Times New Roman" w:eastAsia="微软雅黑"/>
                <w:b/>
                <w:color w:val="FFFFFF"/>
                <w:sz w:val="20"/>
              </w:rPr>
              <w:t>俗称</w:t>
            </w:r>
          </w:p>
        </w:tc>
        <w:tc>
          <w:tcPr>
            <w:tcW w:type="dxa" w:w="1417"/>
            <w:shd w:fill="2E75B6"/>
            <w:vAlign w:val="center"/>
          </w:tcPr>
          <w:p>
            <w:pPr>
              <w:jc w:val="center"/>
            </w:pPr>
            <w:r/>
            <w:r>
              <w:rPr>
                <w:rFonts w:ascii="Times New Roman" w:hAnsi="Times New Roman" w:eastAsia="微软雅黑"/>
                <w:b/>
                <w:color w:val="FFFFFF"/>
                <w:sz w:val="20"/>
              </w:rPr>
              <w:t>含义</w:t>
            </w:r>
          </w:p>
        </w:tc>
        <w:tc>
          <w:tcPr>
            <w:tcW w:type="dxa" w:w="1701"/>
            <w:shd w:fill="2E75B6"/>
            <w:vAlign w:val="center"/>
          </w:tcPr>
          <w:p>
            <w:pPr>
              <w:jc w:val="center"/>
            </w:pPr>
            <w:r/>
            <w:r>
              <w:rPr>
                <w:rFonts w:ascii="Times New Roman" w:hAnsi="Times New Roman" w:eastAsia="微软雅黑"/>
                <w:b/>
                <w:color w:val="FFFFFF"/>
                <w:sz w:val="20"/>
              </w:rPr>
              <w:t>主要作用</w:t>
            </w:r>
          </w:p>
        </w:tc>
        <w:tc>
          <w:tcPr>
            <w:tcW w:type="dxa" w:w="1984"/>
            <w:shd w:fill="2E75B6"/>
            <w:vAlign w:val="center"/>
          </w:tcPr>
          <w:p>
            <w:pPr>
              <w:jc w:val="center"/>
            </w:pPr>
            <w:r/>
            <w:r>
              <w:rPr>
                <w:rFonts w:ascii="Times New Roman" w:hAnsi="Times New Roman" w:eastAsia="微软雅黑"/>
                <w:b/>
                <w:color w:val="FFFFFF"/>
                <w:sz w:val="20"/>
              </w:rPr>
              <w:t>适用操作</w:t>
            </w:r>
          </w:p>
        </w:tc>
      </w:tr>
      <w:tr>
        <w:tc>
          <w:tcPr>
            <w:tcW w:type="dxa" w:w="850"/>
            <w:vAlign w:val="center"/>
          </w:tcPr>
          <w:p>
            <w:pPr>
              <w:jc w:val="left"/>
            </w:pPr>
            <w:r/>
            <w:r>
              <w:rPr>
                <w:rFonts w:ascii="Times New Roman" w:hAnsi="Times New Roman" w:eastAsia="宋体"/>
                <w:b w:val="0"/>
                <w:sz w:val="20"/>
              </w:rPr>
              <w:t>MA5</w:t>
            </w:r>
          </w:p>
        </w:tc>
        <w:tc>
          <w:tcPr>
            <w:tcW w:type="dxa" w:w="1247"/>
            <w:vAlign w:val="center"/>
          </w:tcPr>
          <w:p>
            <w:pPr>
              <w:jc w:val="left"/>
            </w:pPr>
            <w:r/>
            <w:r>
              <w:rPr>
                <w:rFonts w:ascii="Times New Roman" w:hAnsi="Times New Roman" w:eastAsia="宋体"/>
                <w:b w:val="0"/>
                <w:sz w:val="20"/>
              </w:rPr>
              <w:t>五日线/周线</w:t>
            </w:r>
          </w:p>
        </w:tc>
        <w:tc>
          <w:tcPr>
            <w:tcW w:type="dxa" w:w="1417"/>
            <w:vAlign w:val="center"/>
          </w:tcPr>
          <w:p>
            <w:pPr>
              <w:jc w:val="left"/>
            </w:pPr>
            <w:r/>
            <w:r>
              <w:rPr>
                <w:rFonts w:ascii="Times New Roman" w:hAnsi="Times New Roman" w:eastAsia="宋体"/>
                <w:b w:val="0"/>
                <w:sz w:val="20"/>
              </w:rPr>
              <w:t>一周平均成本</w:t>
            </w:r>
          </w:p>
        </w:tc>
        <w:tc>
          <w:tcPr>
            <w:tcW w:type="dxa" w:w="1701"/>
            <w:vAlign w:val="center"/>
          </w:tcPr>
          <w:p>
            <w:pPr>
              <w:jc w:val="left"/>
            </w:pPr>
            <w:r/>
            <w:r>
              <w:rPr>
                <w:rFonts w:ascii="Times New Roman" w:hAnsi="Times New Roman" w:eastAsia="宋体"/>
                <w:b w:val="0"/>
                <w:sz w:val="20"/>
              </w:rPr>
              <w:t>超短线方向指示</w:t>
            </w:r>
          </w:p>
        </w:tc>
        <w:tc>
          <w:tcPr>
            <w:tcW w:type="dxa" w:w="1984"/>
            <w:vAlign w:val="center"/>
          </w:tcPr>
          <w:p>
            <w:pPr>
              <w:jc w:val="left"/>
            </w:pPr>
            <w:r/>
            <w:r>
              <w:rPr>
                <w:rFonts w:ascii="Times New Roman" w:hAnsi="Times New Roman" w:eastAsia="宋体"/>
                <w:b w:val="0"/>
                <w:sz w:val="20"/>
              </w:rPr>
              <w:t>超短线交易（3-10日）</w:t>
            </w:r>
          </w:p>
        </w:tc>
      </w:tr>
      <w:tr>
        <w:tc>
          <w:tcPr>
            <w:tcW w:type="dxa" w:w="850"/>
            <w:vAlign w:val="center"/>
          </w:tcPr>
          <w:p>
            <w:pPr>
              <w:jc w:val="left"/>
            </w:pPr>
            <w:r/>
            <w:r>
              <w:rPr>
                <w:rFonts w:ascii="Times New Roman" w:hAnsi="Times New Roman" w:eastAsia="宋体"/>
                <w:b w:val="0"/>
                <w:sz w:val="20"/>
              </w:rPr>
              <w:t>MA10</w:t>
            </w:r>
          </w:p>
        </w:tc>
        <w:tc>
          <w:tcPr>
            <w:tcW w:type="dxa" w:w="1247"/>
            <w:vAlign w:val="center"/>
          </w:tcPr>
          <w:p>
            <w:pPr>
              <w:jc w:val="left"/>
            </w:pPr>
            <w:r/>
            <w:r>
              <w:rPr>
                <w:rFonts w:ascii="Times New Roman" w:hAnsi="Times New Roman" w:eastAsia="宋体"/>
                <w:b w:val="0"/>
                <w:sz w:val="20"/>
              </w:rPr>
              <w:t>十日线/半月线</w:t>
            </w:r>
          </w:p>
        </w:tc>
        <w:tc>
          <w:tcPr>
            <w:tcW w:type="dxa" w:w="1417"/>
            <w:vAlign w:val="center"/>
          </w:tcPr>
          <w:p>
            <w:pPr>
              <w:jc w:val="left"/>
            </w:pPr>
            <w:r/>
            <w:r>
              <w:rPr>
                <w:rFonts w:ascii="Times New Roman" w:hAnsi="Times New Roman" w:eastAsia="宋体"/>
                <w:b w:val="0"/>
                <w:sz w:val="20"/>
              </w:rPr>
              <w:t>两周平均成本</w:t>
            </w:r>
          </w:p>
        </w:tc>
        <w:tc>
          <w:tcPr>
            <w:tcW w:type="dxa" w:w="1701"/>
            <w:vAlign w:val="center"/>
          </w:tcPr>
          <w:p>
            <w:pPr>
              <w:jc w:val="left"/>
            </w:pPr>
            <w:r/>
            <w:r>
              <w:rPr>
                <w:rFonts w:ascii="Times New Roman" w:hAnsi="Times New Roman" w:eastAsia="宋体"/>
                <w:b w:val="0"/>
                <w:sz w:val="20"/>
              </w:rPr>
              <w:t>短线多空分水岭</w:t>
            </w:r>
          </w:p>
        </w:tc>
        <w:tc>
          <w:tcPr>
            <w:tcW w:type="dxa" w:w="1984"/>
            <w:vAlign w:val="center"/>
          </w:tcPr>
          <w:p>
            <w:pPr>
              <w:jc w:val="left"/>
            </w:pPr>
            <w:r/>
            <w:r>
              <w:rPr>
                <w:rFonts w:ascii="Times New Roman" w:hAnsi="Times New Roman" w:eastAsia="宋体"/>
                <w:b w:val="0"/>
                <w:sz w:val="20"/>
              </w:rPr>
              <w:t>短线交易（10-20日）</w:t>
            </w:r>
          </w:p>
        </w:tc>
      </w:tr>
      <w:tr>
        <w:tc>
          <w:tcPr>
            <w:tcW w:type="dxa" w:w="850"/>
            <w:vAlign w:val="center"/>
          </w:tcPr>
          <w:p>
            <w:pPr>
              <w:jc w:val="left"/>
            </w:pPr>
            <w:r/>
            <w:r>
              <w:rPr>
                <w:rFonts w:ascii="Times New Roman" w:hAnsi="Times New Roman" w:eastAsia="宋体"/>
                <w:b w:val="0"/>
                <w:sz w:val="20"/>
              </w:rPr>
              <w:t>MA20</w:t>
            </w:r>
          </w:p>
        </w:tc>
        <w:tc>
          <w:tcPr>
            <w:tcW w:type="dxa" w:w="1247"/>
            <w:vAlign w:val="center"/>
          </w:tcPr>
          <w:p>
            <w:pPr>
              <w:jc w:val="left"/>
            </w:pPr>
            <w:r/>
            <w:r>
              <w:rPr>
                <w:rFonts w:ascii="Times New Roman" w:hAnsi="Times New Roman" w:eastAsia="宋体"/>
                <w:b w:val="0"/>
                <w:sz w:val="20"/>
              </w:rPr>
              <w:t>月线（20交易日）</w:t>
            </w:r>
          </w:p>
        </w:tc>
        <w:tc>
          <w:tcPr>
            <w:tcW w:type="dxa" w:w="1417"/>
            <w:vAlign w:val="center"/>
          </w:tcPr>
          <w:p>
            <w:pPr>
              <w:jc w:val="left"/>
            </w:pPr>
            <w:r/>
            <w:r>
              <w:rPr>
                <w:rFonts w:ascii="Times New Roman" w:hAnsi="Times New Roman" w:eastAsia="宋体"/>
                <w:b w:val="0"/>
                <w:sz w:val="20"/>
              </w:rPr>
              <w:t>一月平均成本</w:t>
            </w:r>
          </w:p>
        </w:tc>
        <w:tc>
          <w:tcPr>
            <w:tcW w:type="dxa" w:w="1701"/>
            <w:vAlign w:val="center"/>
          </w:tcPr>
          <w:p>
            <w:pPr>
              <w:jc w:val="left"/>
            </w:pPr>
            <w:r/>
            <w:r>
              <w:rPr>
                <w:rFonts w:ascii="Times New Roman" w:hAnsi="Times New Roman" w:eastAsia="宋体"/>
                <w:b w:val="0"/>
                <w:sz w:val="20"/>
              </w:rPr>
              <w:t>短中期趋势核心</w:t>
            </w:r>
          </w:p>
        </w:tc>
        <w:tc>
          <w:tcPr>
            <w:tcW w:type="dxa" w:w="1984"/>
            <w:vAlign w:val="center"/>
          </w:tcPr>
          <w:p>
            <w:pPr>
              <w:jc w:val="left"/>
            </w:pPr>
            <w:r/>
            <w:r>
              <w:rPr>
                <w:rFonts w:ascii="Times New Roman" w:hAnsi="Times New Roman" w:eastAsia="宋体"/>
                <w:b w:val="0"/>
                <w:sz w:val="20"/>
              </w:rPr>
              <w:t>短中线波段</w:t>
            </w:r>
          </w:p>
        </w:tc>
      </w:tr>
      <w:tr>
        <w:tc>
          <w:tcPr>
            <w:tcW w:type="dxa" w:w="850"/>
            <w:vAlign w:val="center"/>
          </w:tcPr>
          <w:p>
            <w:pPr>
              <w:jc w:val="left"/>
            </w:pPr>
            <w:r/>
            <w:r>
              <w:rPr>
                <w:rFonts w:ascii="Times New Roman" w:hAnsi="Times New Roman" w:eastAsia="宋体"/>
                <w:b w:val="0"/>
                <w:sz w:val="20"/>
              </w:rPr>
              <w:t>MA30</w:t>
            </w:r>
          </w:p>
        </w:tc>
        <w:tc>
          <w:tcPr>
            <w:tcW w:type="dxa" w:w="1247"/>
            <w:vAlign w:val="center"/>
          </w:tcPr>
          <w:p>
            <w:pPr>
              <w:jc w:val="left"/>
            </w:pPr>
            <w:r/>
            <w:r>
              <w:rPr>
                <w:rFonts w:ascii="Times New Roman" w:hAnsi="Times New Roman" w:eastAsia="宋体"/>
                <w:b w:val="0"/>
                <w:sz w:val="20"/>
              </w:rPr>
              <w:t>月线变种</w:t>
            </w:r>
          </w:p>
        </w:tc>
        <w:tc>
          <w:tcPr>
            <w:tcW w:type="dxa" w:w="1417"/>
            <w:vAlign w:val="center"/>
          </w:tcPr>
          <w:p>
            <w:pPr>
              <w:jc w:val="left"/>
            </w:pPr>
            <w:r/>
            <w:r>
              <w:rPr>
                <w:rFonts w:ascii="Times New Roman" w:hAnsi="Times New Roman" w:eastAsia="宋体"/>
                <w:b w:val="0"/>
                <w:sz w:val="20"/>
              </w:rPr>
              <w:t>6周平均成本</w:t>
            </w:r>
          </w:p>
        </w:tc>
        <w:tc>
          <w:tcPr>
            <w:tcW w:type="dxa" w:w="1701"/>
            <w:vAlign w:val="center"/>
          </w:tcPr>
          <w:p>
            <w:pPr>
              <w:jc w:val="left"/>
            </w:pPr>
            <w:r/>
            <w:r>
              <w:rPr>
                <w:rFonts w:ascii="Times New Roman" w:hAnsi="Times New Roman" w:eastAsia="宋体"/>
                <w:b w:val="0"/>
                <w:sz w:val="20"/>
              </w:rPr>
              <w:t>波段操作关键线</w:t>
            </w:r>
          </w:p>
        </w:tc>
        <w:tc>
          <w:tcPr>
            <w:tcW w:type="dxa" w:w="1984"/>
            <w:vAlign w:val="center"/>
          </w:tcPr>
          <w:p>
            <w:pPr>
              <w:jc w:val="left"/>
            </w:pPr>
            <w:r/>
            <w:r>
              <w:rPr>
                <w:rFonts w:ascii="Times New Roman" w:hAnsi="Times New Roman" w:eastAsia="宋体"/>
                <w:b w:val="0"/>
                <w:sz w:val="20"/>
              </w:rPr>
              <w:t>中线操作</w:t>
            </w:r>
          </w:p>
        </w:tc>
      </w:tr>
      <w:tr>
        <w:tc>
          <w:tcPr>
            <w:tcW w:type="dxa" w:w="850"/>
            <w:vAlign w:val="center"/>
          </w:tcPr>
          <w:p>
            <w:pPr>
              <w:jc w:val="left"/>
            </w:pPr>
            <w:r/>
            <w:r>
              <w:rPr>
                <w:rFonts w:ascii="Times New Roman" w:hAnsi="Times New Roman" w:eastAsia="宋体"/>
                <w:b w:val="0"/>
                <w:sz w:val="20"/>
              </w:rPr>
              <w:t>MA60</w:t>
            </w:r>
          </w:p>
        </w:tc>
        <w:tc>
          <w:tcPr>
            <w:tcW w:type="dxa" w:w="1247"/>
            <w:vAlign w:val="center"/>
          </w:tcPr>
          <w:p>
            <w:pPr>
              <w:jc w:val="left"/>
            </w:pPr>
            <w:r/>
            <w:r>
              <w:rPr>
                <w:rFonts w:ascii="Times New Roman" w:hAnsi="Times New Roman" w:eastAsia="宋体"/>
                <w:b w:val="0"/>
                <w:sz w:val="20"/>
              </w:rPr>
              <w:t>季线</w:t>
            </w:r>
          </w:p>
        </w:tc>
        <w:tc>
          <w:tcPr>
            <w:tcW w:type="dxa" w:w="1417"/>
            <w:vAlign w:val="center"/>
          </w:tcPr>
          <w:p>
            <w:pPr>
              <w:jc w:val="left"/>
            </w:pPr>
            <w:r/>
            <w:r>
              <w:rPr>
                <w:rFonts w:ascii="Times New Roman" w:hAnsi="Times New Roman" w:eastAsia="宋体"/>
                <w:b w:val="0"/>
                <w:sz w:val="20"/>
              </w:rPr>
              <w:t>一季度平均成本</w:t>
            </w:r>
          </w:p>
        </w:tc>
        <w:tc>
          <w:tcPr>
            <w:tcW w:type="dxa" w:w="1701"/>
            <w:vAlign w:val="center"/>
          </w:tcPr>
          <w:p>
            <w:pPr>
              <w:jc w:val="left"/>
            </w:pPr>
            <w:r/>
            <w:r>
              <w:rPr>
                <w:rFonts w:ascii="Times New Roman" w:hAnsi="Times New Roman" w:eastAsia="宋体"/>
                <w:b w:val="0"/>
                <w:sz w:val="20"/>
              </w:rPr>
              <w:t>中期生命线/庄家成本线</w:t>
            </w:r>
          </w:p>
        </w:tc>
        <w:tc>
          <w:tcPr>
            <w:tcW w:type="dxa" w:w="1984"/>
            <w:vAlign w:val="center"/>
          </w:tcPr>
          <w:p>
            <w:pPr>
              <w:jc w:val="left"/>
            </w:pPr>
            <w:r/>
            <w:r>
              <w:rPr>
                <w:rFonts w:ascii="Times New Roman" w:hAnsi="Times New Roman" w:eastAsia="宋体"/>
                <w:b w:val="0"/>
                <w:sz w:val="20"/>
              </w:rPr>
              <w:t>中线操作（1-3月）</w:t>
            </w:r>
          </w:p>
        </w:tc>
      </w:tr>
      <w:tr>
        <w:tc>
          <w:tcPr>
            <w:tcW w:type="dxa" w:w="850"/>
            <w:vAlign w:val="center"/>
          </w:tcPr>
          <w:p>
            <w:pPr>
              <w:jc w:val="left"/>
            </w:pPr>
            <w:r/>
            <w:r>
              <w:rPr>
                <w:rFonts w:ascii="Times New Roman" w:hAnsi="Times New Roman" w:eastAsia="宋体"/>
                <w:b w:val="0"/>
                <w:sz w:val="20"/>
              </w:rPr>
              <w:t>MA120</w:t>
            </w:r>
          </w:p>
        </w:tc>
        <w:tc>
          <w:tcPr>
            <w:tcW w:type="dxa" w:w="1247"/>
            <w:vAlign w:val="center"/>
          </w:tcPr>
          <w:p>
            <w:pPr>
              <w:jc w:val="left"/>
            </w:pPr>
            <w:r/>
            <w:r>
              <w:rPr>
                <w:rFonts w:ascii="Times New Roman" w:hAnsi="Times New Roman" w:eastAsia="宋体"/>
                <w:b w:val="0"/>
                <w:sz w:val="20"/>
              </w:rPr>
              <w:t>半年线</w:t>
            </w:r>
          </w:p>
        </w:tc>
        <w:tc>
          <w:tcPr>
            <w:tcW w:type="dxa" w:w="1417"/>
            <w:vAlign w:val="center"/>
          </w:tcPr>
          <w:p>
            <w:pPr>
              <w:jc w:val="left"/>
            </w:pPr>
            <w:r/>
            <w:r>
              <w:rPr>
                <w:rFonts w:ascii="Times New Roman" w:hAnsi="Times New Roman" w:eastAsia="宋体"/>
                <w:b w:val="0"/>
                <w:sz w:val="20"/>
              </w:rPr>
              <w:t>半年度平均成本</w:t>
            </w:r>
          </w:p>
        </w:tc>
        <w:tc>
          <w:tcPr>
            <w:tcW w:type="dxa" w:w="1701"/>
            <w:vAlign w:val="center"/>
          </w:tcPr>
          <w:p>
            <w:pPr>
              <w:jc w:val="left"/>
            </w:pPr>
            <w:r/>
            <w:r>
              <w:rPr>
                <w:rFonts w:ascii="Times New Roman" w:hAnsi="Times New Roman" w:eastAsia="宋体"/>
                <w:b w:val="0"/>
                <w:sz w:val="20"/>
              </w:rPr>
              <w:t>中长期多空分界</w:t>
            </w:r>
          </w:p>
        </w:tc>
        <w:tc>
          <w:tcPr>
            <w:tcW w:type="dxa" w:w="1984"/>
            <w:vAlign w:val="center"/>
          </w:tcPr>
          <w:p>
            <w:pPr>
              <w:jc w:val="left"/>
            </w:pPr>
            <w:r/>
            <w:r>
              <w:rPr>
                <w:rFonts w:ascii="Times New Roman" w:hAnsi="Times New Roman" w:eastAsia="宋体"/>
                <w:b w:val="0"/>
                <w:sz w:val="20"/>
              </w:rPr>
              <w:t>中长线（3-6月）</w:t>
            </w:r>
          </w:p>
        </w:tc>
      </w:tr>
      <w:tr>
        <w:tc>
          <w:tcPr>
            <w:tcW w:type="dxa" w:w="850"/>
            <w:vAlign w:val="center"/>
          </w:tcPr>
          <w:p>
            <w:pPr>
              <w:jc w:val="left"/>
            </w:pPr>
            <w:r/>
            <w:r>
              <w:rPr>
                <w:rFonts w:ascii="Times New Roman" w:hAnsi="Times New Roman" w:eastAsia="宋体"/>
                <w:b w:val="0"/>
                <w:sz w:val="20"/>
              </w:rPr>
              <w:t>MA250</w:t>
            </w:r>
          </w:p>
        </w:tc>
        <w:tc>
          <w:tcPr>
            <w:tcW w:type="dxa" w:w="1247"/>
            <w:vAlign w:val="center"/>
          </w:tcPr>
          <w:p>
            <w:pPr>
              <w:jc w:val="left"/>
            </w:pPr>
            <w:r/>
            <w:r>
              <w:rPr>
                <w:rFonts w:ascii="Times New Roman" w:hAnsi="Times New Roman" w:eastAsia="宋体"/>
                <w:b w:val="0"/>
                <w:sz w:val="20"/>
              </w:rPr>
              <w:t>年线</w:t>
            </w:r>
          </w:p>
        </w:tc>
        <w:tc>
          <w:tcPr>
            <w:tcW w:type="dxa" w:w="1417"/>
            <w:vAlign w:val="center"/>
          </w:tcPr>
          <w:p>
            <w:pPr>
              <w:jc w:val="left"/>
            </w:pPr>
            <w:r/>
            <w:r>
              <w:rPr>
                <w:rFonts w:ascii="Times New Roman" w:hAnsi="Times New Roman" w:eastAsia="宋体"/>
                <w:b w:val="0"/>
                <w:sz w:val="20"/>
              </w:rPr>
              <w:t>年度平均成本</w:t>
            </w:r>
          </w:p>
        </w:tc>
        <w:tc>
          <w:tcPr>
            <w:tcW w:type="dxa" w:w="1701"/>
            <w:vAlign w:val="center"/>
          </w:tcPr>
          <w:p>
            <w:pPr>
              <w:jc w:val="left"/>
            </w:pPr>
            <w:r/>
            <w:r>
              <w:rPr>
                <w:rFonts w:ascii="Times New Roman" w:hAnsi="Times New Roman" w:eastAsia="宋体"/>
                <w:b w:val="0"/>
                <w:sz w:val="20"/>
              </w:rPr>
              <w:t>牛熊分界线</w:t>
            </w:r>
          </w:p>
        </w:tc>
        <w:tc>
          <w:tcPr>
            <w:tcW w:type="dxa" w:w="1984"/>
            <w:vAlign w:val="center"/>
          </w:tcPr>
          <w:p>
            <w:pPr>
              <w:jc w:val="left"/>
            </w:pPr>
            <w:r/>
            <w:r>
              <w:rPr>
                <w:rFonts w:ascii="Times New Roman" w:hAnsi="Times New Roman" w:eastAsia="宋体"/>
                <w:b w:val="0"/>
                <w:sz w:val="20"/>
              </w:rPr>
              <w:t>长线（半年以上）</w:t>
            </w:r>
          </w:p>
        </w:tc>
      </w:tr>
      <w:tr>
        <w:tc>
          <w:tcPr>
            <w:tcW w:type="dxa" w:w="850"/>
            <w:vAlign w:val="center"/>
          </w:tcPr>
          <w:p>
            <w:pPr>
              <w:jc w:val="left"/>
            </w:pPr>
            <w:r/>
            <w:r>
              <w:rPr>
                <w:rFonts w:ascii="Times New Roman" w:hAnsi="Times New Roman" w:eastAsia="宋体"/>
                <w:b w:val="0"/>
                <w:sz w:val="20"/>
              </w:rPr>
              <w:t>MA500</w:t>
            </w:r>
          </w:p>
        </w:tc>
        <w:tc>
          <w:tcPr>
            <w:tcW w:type="dxa" w:w="1247"/>
            <w:vAlign w:val="center"/>
          </w:tcPr>
          <w:p>
            <w:pPr>
              <w:jc w:val="left"/>
            </w:pPr>
            <w:r/>
            <w:r>
              <w:rPr>
                <w:rFonts w:ascii="Times New Roman" w:hAnsi="Times New Roman" w:eastAsia="宋体"/>
                <w:b w:val="0"/>
                <w:sz w:val="20"/>
              </w:rPr>
              <w:t>两年线</w:t>
            </w:r>
          </w:p>
        </w:tc>
        <w:tc>
          <w:tcPr>
            <w:tcW w:type="dxa" w:w="1417"/>
            <w:vAlign w:val="center"/>
          </w:tcPr>
          <w:p>
            <w:pPr>
              <w:jc w:val="left"/>
            </w:pPr>
            <w:r/>
            <w:r>
              <w:rPr>
                <w:rFonts w:ascii="Times New Roman" w:hAnsi="Times New Roman" w:eastAsia="宋体"/>
                <w:b w:val="0"/>
                <w:sz w:val="20"/>
              </w:rPr>
              <w:t>两年平均成本</w:t>
            </w:r>
          </w:p>
        </w:tc>
        <w:tc>
          <w:tcPr>
            <w:tcW w:type="dxa" w:w="1701"/>
            <w:vAlign w:val="center"/>
          </w:tcPr>
          <w:p>
            <w:pPr>
              <w:jc w:val="left"/>
            </w:pPr>
            <w:r/>
            <w:r>
              <w:rPr>
                <w:rFonts w:ascii="Times New Roman" w:hAnsi="Times New Roman" w:eastAsia="宋体"/>
                <w:b w:val="0"/>
                <w:sz w:val="20"/>
              </w:rPr>
              <w:t>大周期趋势过滤</w:t>
            </w:r>
          </w:p>
        </w:tc>
        <w:tc>
          <w:tcPr>
            <w:tcW w:type="dxa" w:w="1984"/>
            <w:vAlign w:val="center"/>
          </w:tcPr>
          <w:p>
            <w:pPr>
              <w:jc w:val="left"/>
            </w:pPr>
            <w:r/>
            <w:r>
              <w:rPr>
                <w:rFonts w:ascii="Times New Roman" w:hAnsi="Times New Roman" w:eastAsia="宋体"/>
                <w:b w:val="0"/>
                <w:sz w:val="20"/>
              </w:rPr>
              <w:t>超长线</w:t>
            </w:r>
          </w:p>
        </w:tc>
      </w:tr>
      <w:tr>
        <w:tc>
          <w:tcPr>
            <w:tcW w:type="dxa" w:w="850"/>
            <w:vAlign w:val="center"/>
          </w:tcPr>
          <w:p>
            <w:pPr>
              <w:jc w:val="left"/>
            </w:pPr>
            <w:r/>
            <w:r>
              <w:rPr>
                <w:rFonts w:ascii="Times New Roman" w:hAnsi="Times New Roman" w:eastAsia="宋体"/>
                <w:b w:val="0"/>
                <w:sz w:val="20"/>
              </w:rPr>
              <w:t>MA850</w:t>
            </w:r>
          </w:p>
        </w:tc>
        <w:tc>
          <w:tcPr>
            <w:tcW w:type="dxa" w:w="1247"/>
            <w:vAlign w:val="center"/>
          </w:tcPr>
          <w:p>
            <w:pPr>
              <w:jc w:val="left"/>
            </w:pPr>
            <w:r/>
            <w:r>
              <w:rPr>
                <w:rFonts w:ascii="Times New Roman" w:hAnsi="Times New Roman" w:eastAsia="宋体"/>
                <w:b w:val="0"/>
                <w:sz w:val="20"/>
              </w:rPr>
              <w:t>基钦周期线</w:t>
            </w:r>
          </w:p>
        </w:tc>
        <w:tc>
          <w:tcPr>
            <w:tcW w:type="dxa" w:w="1417"/>
            <w:vAlign w:val="center"/>
          </w:tcPr>
          <w:p>
            <w:pPr>
              <w:jc w:val="left"/>
            </w:pPr>
            <w:r/>
            <w:r>
              <w:rPr>
                <w:rFonts w:ascii="Times New Roman" w:hAnsi="Times New Roman" w:eastAsia="宋体"/>
                <w:b w:val="0"/>
                <w:sz w:val="20"/>
              </w:rPr>
              <w:t>3.4年库存周期</w:t>
            </w:r>
          </w:p>
        </w:tc>
        <w:tc>
          <w:tcPr>
            <w:tcW w:type="dxa" w:w="1701"/>
            <w:vAlign w:val="center"/>
          </w:tcPr>
          <w:p>
            <w:pPr>
              <w:jc w:val="left"/>
            </w:pPr>
            <w:r/>
            <w:r>
              <w:rPr>
                <w:rFonts w:ascii="Times New Roman" w:hAnsi="Times New Roman" w:eastAsia="宋体"/>
                <w:b w:val="0"/>
                <w:sz w:val="20"/>
              </w:rPr>
              <w:t>宏观周期指示</w:t>
            </w:r>
          </w:p>
        </w:tc>
        <w:tc>
          <w:tcPr>
            <w:tcW w:type="dxa" w:w="1984"/>
            <w:vAlign w:val="center"/>
          </w:tcPr>
          <w:p>
            <w:pPr>
              <w:jc w:val="left"/>
            </w:pPr>
            <w:r/>
            <w:r>
              <w:rPr>
                <w:rFonts w:ascii="Times New Roman" w:hAnsi="Times New Roman" w:eastAsia="宋体"/>
                <w:b w:val="0"/>
                <w:sz w:val="20"/>
              </w:rPr>
              <w:t>超长线（洪灝法）</w:t>
            </w:r>
          </w:p>
        </w:tc>
      </w:tr>
    </w:tbl>
    <w:p>
      <w:pPr>
        <w:spacing w:before="280" w:after="160"/>
      </w:pPr>
      <w:r>
        <w:rPr>
          <w:rFonts w:ascii="Times New Roman" w:hAnsi="Times New Roman" w:eastAsia="微软雅黑"/>
          <w:b/>
          <w:color w:val="2E75B6"/>
          <w:sz w:val="26"/>
        </w:rPr>
        <w:t>1.4 均线的三大基本特性</w:t>
      </w:r>
    </w:p>
    <w:p>
      <w:pPr>
        <w:spacing w:before="200" w:after="120"/>
      </w:pPr>
      <w:r>
        <w:rPr>
          <w:rFonts w:ascii="Times New Roman" w:hAnsi="Times New Roman" w:eastAsia="微软雅黑"/>
          <w:b/>
          <w:color w:val="44546A"/>
          <w:sz w:val="24"/>
        </w:rPr>
        <w:t>1.4.1 趋势性（Trend Following）</w:t>
      </w:r>
    </w:p>
    <w:p>
      <w:pPr>
        <w:spacing w:line="360" w:lineRule="auto" w:after="80"/>
        <w:ind w:firstLine="440"/>
      </w:pPr>
      <w:r>
        <w:rPr>
          <w:rFonts w:ascii="Times New Roman" w:hAnsi="Times New Roman" w:eastAsia="宋体"/>
          <w:b w:val="0"/>
          <w:sz w:val="22"/>
        </w:rPr>
        <w:t>这是均线最核心的特性。由于均线对价格做了时间平滑，它能够过滤短期噪音、显露真实趋势。当均线向上运行时，表明市场处于上升趋势；当均线向下运行时，表明市场处于下降趋势；当均线走平（斜率接近0）时，表明市场处于横盘整理阶段。趋势性是均线能够作为『趋势跟随』指标的物理基础。</w:t>
      </w:r>
    </w:p>
    <w:p>
      <w:pPr>
        <w:spacing w:before="200" w:after="120"/>
      </w:pPr>
      <w:r>
        <w:rPr>
          <w:rFonts w:ascii="Times New Roman" w:hAnsi="Times New Roman" w:eastAsia="微软雅黑"/>
          <w:b/>
          <w:color w:val="44546A"/>
          <w:sz w:val="24"/>
        </w:rPr>
        <w:t>1.4.2 滞后性（Lag）</w:t>
      </w:r>
    </w:p>
    <w:p>
      <w:pPr>
        <w:spacing w:line="360" w:lineRule="auto" w:after="80"/>
        <w:ind w:firstLine="440"/>
      </w:pPr>
      <w:r>
        <w:rPr>
          <w:rFonts w:ascii="Times New Roman" w:hAnsi="Times New Roman" w:eastAsia="宋体"/>
          <w:b w:val="0"/>
          <w:sz w:val="22"/>
        </w:rPr>
        <w:t>由于均线本质上是历史价格的算术平均，它对最新价格变化的反应必然存在滞后。周期越长的均线，滞后性越大，但其反映的趋势越稳定可靠。这构成了均线使用中的核心矛盾：追求灵敏度就要承担更多假信号，追求可靠性就要接受更多滞后损失。</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正确认识滞后性：均线不是用来预测顶底的，而是用来确认趋势和把握主升浪的。抄底逃顶请使用价格形态与基本面分析，均线最擅长的是让利润奔跑、让亏损最小。</w:t>
            </w:r>
          </w:p>
        </w:tc>
      </w:tr>
    </w:tbl>
    <w:p>
      <w:pPr>
        <w:spacing w:before="200" w:after="120"/>
      </w:pPr>
      <w:r>
        <w:rPr>
          <w:rFonts w:ascii="Times New Roman" w:hAnsi="Times New Roman" w:eastAsia="微软雅黑"/>
          <w:b/>
          <w:color w:val="44546A"/>
          <w:sz w:val="24"/>
        </w:rPr>
        <w:t>1.4.3 支撑与压力性</w:t>
      </w:r>
    </w:p>
    <w:p>
      <w:pPr>
        <w:spacing w:line="360" w:lineRule="auto" w:after="80"/>
        <w:ind w:firstLine="440"/>
      </w:pPr>
      <w:r>
        <w:rPr>
          <w:rFonts w:ascii="Times New Roman" w:hAnsi="Times New Roman" w:eastAsia="宋体"/>
          <w:b w:val="0"/>
          <w:sz w:val="22"/>
        </w:rPr>
        <w:t>在上升趋势中，均线对股价具有支撑作用——每当股价回落至均线附近，代表该周期内买入的投资者整体接近盈亏平衡，他们有强烈动机继续持有或补仓，从而形成买盘支撑。反之，在下降趋势中，均线对股价具有压力作用。均线周期越长，涉及的投资者人数越多、资金体量越大，其支撑或压力作用越强。这正是为什么MA250的支撑远比MA5的支撑更『厚重』。</w:t>
      </w:r>
    </w:p>
    <w:p>
      <w:pPr>
        <w:spacing w:before="280" w:after="160"/>
      </w:pPr>
      <w:r>
        <w:rPr>
          <w:rFonts w:ascii="Times New Roman" w:hAnsi="Times New Roman" w:eastAsia="微软雅黑"/>
          <w:b/>
          <w:color w:val="2E75B6"/>
          <w:sz w:val="26"/>
        </w:rPr>
        <w:t>1.5 均线周期选择方案</w:t>
      </w:r>
    </w:p>
    <w:p>
      <w:pPr>
        <w:spacing w:line="360" w:lineRule="auto" w:after="80"/>
        <w:ind w:firstLine="440"/>
      </w:pPr>
      <w:r>
        <w:rPr>
          <w:rFonts w:ascii="Times New Roman" w:hAnsi="Times New Roman" w:eastAsia="宋体"/>
          <w:b w:val="0"/>
          <w:sz w:val="22"/>
        </w:rPr>
        <w:t>实战中没有万能的均线参数，选择哪套均线系统取决于交易风格、交易品种和市场环境。以下是几种经典的均线组合方案：</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1134"/>
            <w:shd w:fill="2E75B6"/>
            <w:vAlign w:val="center"/>
          </w:tcPr>
          <w:p>
            <w:pPr>
              <w:jc w:val="center"/>
            </w:pPr>
            <w:r/>
            <w:r>
              <w:rPr>
                <w:rFonts w:ascii="Times New Roman" w:hAnsi="Times New Roman" w:eastAsia="微软雅黑"/>
                <w:b/>
                <w:color w:val="FFFFFF"/>
                <w:sz w:val="20"/>
              </w:rPr>
              <w:t>方案名称</w:t>
            </w:r>
          </w:p>
        </w:tc>
        <w:tc>
          <w:tcPr>
            <w:tcW w:type="dxa" w:w="1984"/>
            <w:shd w:fill="2E75B6"/>
            <w:vAlign w:val="center"/>
          </w:tcPr>
          <w:p>
            <w:pPr>
              <w:jc w:val="center"/>
            </w:pPr>
            <w:r/>
            <w:r>
              <w:rPr>
                <w:rFonts w:ascii="Times New Roman" w:hAnsi="Times New Roman" w:eastAsia="微软雅黑"/>
                <w:b/>
                <w:color w:val="FFFFFF"/>
                <w:sz w:val="20"/>
              </w:rPr>
              <w:t>均线组合</w:t>
            </w:r>
          </w:p>
        </w:tc>
        <w:tc>
          <w:tcPr>
            <w:tcW w:type="dxa" w:w="2551"/>
            <w:shd w:fill="2E75B6"/>
            <w:vAlign w:val="center"/>
          </w:tcPr>
          <w:p>
            <w:pPr>
              <w:jc w:val="center"/>
            </w:pPr>
            <w:r/>
            <w:r>
              <w:rPr>
                <w:rFonts w:ascii="Times New Roman" w:hAnsi="Times New Roman" w:eastAsia="微软雅黑"/>
                <w:b/>
                <w:color w:val="FFFFFF"/>
                <w:sz w:val="20"/>
              </w:rPr>
              <w:t>设计理念</w:t>
            </w:r>
          </w:p>
        </w:tc>
        <w:tc>
          <w:tcPr>
            <w:tcW w:type="dxa" w:w="2268"/>
            <w:shd w:fill="2E75B6"/>
            <w:vAlign w:val="center"/>
          </w:tcPr>
          <w:p>
            <w:pPr>
              <w:jc w:val="center"/>
            </w:pPr>
            <w:r/>
            <w:r>
              <w:rPr>
                <w:rFonts w:ascii="Times New Roman" w:hAnsi="Times New Roman" w:eastAsia="微软雅黑"/>
                <w:b/>
                <w:color w:val="FFFFFF"/>
                <w:sz w:val="20"/>
              </w:rPr>
              <w:t>特点</w:t>
            </w:r>
          </w:p>
        </w:tc>
      </w:tr>
      <w:tr>
        <w:tc>
          <w:tcPr>
            <w:tcW w:type="dxa" w:w="1134"/>
            <w:vAlign w:val="center"/>
          </w:tcPr>
          <w:p>
            <w:pPr>
              <w:jc w:val="left"/>
            </w:pPr>
            <w:r/>
            <w:r>
              <w:rPr>
                <w:rFonts w:ascii="Times New Roman" w:hAnsi="Times New Roman" w:eastAsia="宋体"/>
                <w:b w:val="0"/>
                <w:sz w:val="20"/>
              </w:rPr>
              <w:t>等距周期方案</w:t>
            </w:r>
          </w:p>
        </w:tc>
        <w:tc>
          <w:tcPr>
            <w:tcW w:type="dxa" w:w="1984"/>
            <w:vAlign w:val="center"/>
          </w:tcPr>
          <w:p>
            <w:pPr>
              <w:jc w:val="left"/>
            </w:pPr>
            <w:r/>
            <w:r>
              <w:rPr>
                <w:rFonts w:ascii="Times New Roman" w:hAnsi="Times New Roman" w:eastAsia="宋体"/>
                <w:b w:val="0"/>
                <w:sz w:val="20"/>
              </w:rPr>
              <w:t>MA5, MA10, MA20, MA30, MA40, MA50</w:t>
            </w:r>
          </w:p>
        </w:tc>
        <w:tc>
          <w:tcPr>
            <w:tcW w:type="dxa" w:w="2551"/>
            <w:vAlign w:val="center"/>
          </w:tcPr>
          <w:p>
            <w:pPr>
              <w:jc w:val="left"/>
            </w:pPr>
            <w:r/>
            <w:r>
              <w:rPr>
                <w:rFonts w:ascii="Times New Roman" w:hAnsi="Times New Roman" w:eastAsia="宋体"/>
                <w:b w:val="0"/>
                <w:sz w:val="20"/>
              </w:rPr>
              <w:t>等差数列，周期间距均匀</w:t>
            </w:r>
          </w:p>
        </w:tc>
        <w:tc>
          <w:tcPr>
            <w:tcW w:type="dxa" w:w="2268"/>
            <w:vAlign w:val="center"/>
          </w:tcPr>
          <w:p>
            <w:pPr>
              <w:jc w:val="left"/>
            </w:pPr>
            <w:r/>
            <w:r>
              <w:rPr>
                <w:rFonts w:ascii="Times New Roman" w:hAnsi="Times New Roman" w:eastAsia="宋体"/>
                <w:b w:val="0"/>
                <w:sz w:val="20"/>
              </w:rPr>
              <w:t>适合常规分析，信号稳定</w:t>
            </w:r>
          </w:p>
        </w:tc>
      </w:tr>
      <w:tr>
        <w:tc>
          <w:tcPr>
            <w:tcW w:type="dxa" w:w="1134"/>
            <w:vAlign w:val="center"/>
          </w:tcPr>
          <w:p>
            <w:pPr>
              <w:jc w:val="left"/>
            </w:pPr>
            <w:r/>
            <w:r>
              <w:rPr>
                <w:rFonts w:ascii="Times New Roman" w:hAnsi="Times New Roman" w:eastAsia="宋体"/>
                <w:b w:val="0"/>
                <w:sz w:val="20"/>
              </w:rPr>
              <w:t>斐波那契方案</w:t>
            </w:r>
          </w:p>
        </w:tc>
        <w:tc>
          <w:tcPr>
            <w:tcW w:type="dxa" w:w="1984"/>
            <w:vAlign w:val="center"/>
          </w:tcPr>
          <w:p>
            <w:pPr>
              <w:jc w:val="left"/>
            </w:pPr>
            <w:r/>
            <w:r>
              <w:rPr>
                <w:rFonts w:ascii="Times New Roman" w:hAnsi="Times New Roman" w:eastAsia="宋体"/>
                <w:b w:val="0"/>
                <w:sz w:val="20"/>
              </w:rPr>
              <w:t>MA5, MA8, MA13, MA21, MA34, MA55</w:t>
            </w:r>
          </w:p>
        </w:tc>
        <w:tc>
          <w:tcPr>
            <w:tcW w:type="dxa" w:w="2551"/>
            <w:vAlign w:val="center"/>
          </w:tcPr>
          <w:p>
            <w:pPr>
              <w:jc w:val="left"/>
            </w:pPr>
            <w:r/>
            <w:r>
              <w:rPr>
                <w:rFonts w:ascii="Times New Roman" w:hAnsi="Times New Roman" w:eastAsia="宋体"/>
                <w:b w:val="0"/>
                <w:sz w:val="20"/>
              </w:rPr>
              <w:t>基于斐波那契数列，符合自然规律</w:t>
            </w:r>
          </w:p>
        </w:tc>
        <w:tc>
          <w:tcPr>
            <w:tcW w:type="dxa" w:w="2268"/>
            <w:vAlign w:val="center"/>
          </w:tcPr>
          <w:p>
            <w:pPr>
              <w:jc w:val="left"/>
            </w:pPr>
            <w:r/>
            <w:r>
              <w:rPr>
                <w:rFonts w:ascii="Times New Roman" w:hAnsi="Times New Roman" w:eastAsia="宋体"/>
                <w:b w:val="0"/>
                <w:sz w:val="20"/>
              </w:rPr>
              <w:t>波段交易者偏爱，黄金比例</w:t>
            </w:r>
          </w:p>
        </w:tc>
      </w:tr>
      <w:tr>
        <w:tc>
          <w:tcPr>
            <w:tcW w:type="dxa" w:w="1134"/>
            <w:vAlign w:val="center"/>
          </w:tcPr>
          <w:p>
            <w:pPr>
              <w:jc w:val="left"/>
            </w:pPr>
            <w:r/>
            <w:r>
              <w:rPr>
                <w:rFonts w:ascii="Times New Roman" w:hAnsi="Times New Roman" w:eastAsia="宋体"/>
                <w:b w:val="0"/>
                <w:sz w:val="20"/>
              </w:rPr>
              <w:t>1250系统</w:t>
            </w:r>
          </w:p>
        </w:tc>
        <w:tc>
          <w:tcPr>
            <w:tcW w:type="dxa" w:w="1984"/>
            <w:vAlign w:val="center"/>
          </w:tcPr>
          <w:p>
            <w:pPr>
              <w:jc w:val="left"/>
            </w:pPr>
            <w:r/>
            <w:r>
              <w:rPr>
                <w:rFonts w:ascii="Times New Roman" w:hAnsi="Times New Roman" w:eastAsia="宋体"/>
                <w:b w:val="0"/>
                <w:sz w:val="20"/>
              </w:rPr>
              <w:t>MA20, MA50, MA120, MA250</w:t>
            </w:r>
          </w:p>
        </w:tc>
        <w:tc>
          <w:tcPr>
            <w:tcW w:type="dxa" w:w="2551"/>
            <w:vAlign w:val="center"/>
          </w:tcPr>
          <w:p>
            <w:pPr>
              <w:jc w:val="left"/>
            </w:pPr>
            <w:r/>
            <w:r>
              <w:rPr>
                <w:rFonts w:ascii="Times New Roman" w:hAnsi="Times New Roman" w:eastAsia="宋体"/>
                <w:b w:val="0"/>
                <w:sz w:val="20"/>
              </w:rPr>
              <w:t>涵盖月/季/半年/年四个关键维度</w:t>
            </w:r>
          </w:p>
        </w:tc>
        <w:tc>
          <w:tcPr>
            <w:tcW w:type="dxa" w:w="2268"/>
            <w:vAlign w:val="center"/>
          </w:tcPr>
          <w:p>
            <w:pPr>
              <w:jc w:val="left"/>
            </w:pPr>
            <w:r/>
            <w:r>
              <w:rPr>
                <w:rFonts w:ascii="Times New Roman" w:hAnsi="Times New Roman" w:eastAsia="宋体"/>
                <w:b w:val="0"/>
                <w:sz w:val="20"/>
              </w:rPr>
              <w:t>三线开花系统核心</w:t>
            </w:r>
          </w:p>
        </w:tc>
      </w:tr>
      <w:tr>
        <w:tc>
          <w:tcPr>
            <w:tcW w:type="dxa" w:w="1134"/>
            <w:vAlign w:val="center"/>
          </w:tcPr>
          <w:p>
            <w:pPr>
              <w:jc w:val="left"/>
            </w:pPr>
            <w:r/>
            <w:r>
              <w:rPr>
                <w:rFonts w:ascii="Times New Roman" w:hAnsi="Times New Roman" w:eastAsia="宋体"/>
                <w:b w:val="0"/>
                <w:sz w:val="20"/>
              </w:rPr>
              <w:t>大均线系统</w:t>
            </w:r>
          </w:p>
        </w:tc>
        <w:tc>
          <w:tcPr>
            <w:tcW w:type="dxa" w:w="1984"/>
            <w:vAlign w:val="center"/>
          </w:tcPr>
          <w:p>
            <w:pPr>
              <w:jc w:val="left"/>
            </w:pPr>
            <w:r/>
            <w:r>
              <w:rPr>
                <w:rFonts w:ascii="Times New Roman" w:hAnsi="Times New Roman" w:eastAsia="宋体"/>
                <w:b w:val="0"/>
                <w:sz w:val="20"/>
              </w:rPr>
              <w:t>MA120, MA250, MA850</w:t>
            </w:r>
          </w:p>
        </w:tc>
        <w:tc>
          <w:tcPr>
            <w:tcW w:type="dxa" w:w="2551"/>
            <w:vAlign w:val="center"/>
          </w:tcPr>
          <w:p>
            <w:pPr>
              <w:jc w:val="left"/>
            </w:pPr>
            <w:r/>
            <w:r>
              <w:rPr>
                <w:rFonts w:ascii="Times New Roman" w:hAnsi="Times New Roman" w:eastAsia="宋体"/>
                <w:b w:val="0"/>
                <w:sz w:val="20"/>
              </w:rPr>
              <w:t>长中短三条大均线，宏观视角</w:t>
            </w:r>
          </w:p>
        </w:tc>
        <w:tc>
          <w:tcPr>
            <w:tcW w:type="dxa" w:w="2268"/>
            <w:vAlign w:val="center"/>
          </w:tcPr>
          <w:p>
            <w:pPr>
              <w:jc w:val="left"/>
            </w:pPr>
            <w:r/>
            <w:r>
              <w:rPr>
                <w:rFonts w:ascii="Times New Roman" w:hAnsi="Times New Roman" w:eastAsia="宋体"/>
                <w:b w:val="0"/>
                <w:sz w:val="20"/>
              </w:rPr>
              <w:t>抓大趋势、过滤噪音</w:t>
            </w:r>
          </w:p>
        </w:tc>
      </w:tr>
      <w:tr>
        <w:tc>
          <w:tcPr>
            <w:tcW w:type="dxa" w:w="1134"/>
            <w:vAlign w:val="center"/>
          </w:tcPr>
          <w:p>
            <w:pPr>
              <w:jc w:val="left"/>
            </w:pPr>
            <w:r/>
            <w:r>
              <w:rPr>
                <w:rFonts w:ascii="Times New Roman" w:hAnsi="Times New Roman" w:eastAsia="宋体"/>
                <w:b w:val="0"/>
                <w:sz w:val="20"/>
              </w:rPr>
              <w:t>经典双均线</w:t>
            </w:r>
          </w:p>
        </w:tc>
        <w:tc>
          <w:tcPr>
            <w:tcW w:type="dxa" w:w="1984"/>
            <w:vAlign w:val="center"/>
          </w:tcPr>
          <w:p>
            <w:pPr>
              <w:jc w:val="left"/>
            </w:pPr>
            <w:r/>
            <w:r>
              <w:rPr>
                <w:rFonts w:ascii="Times New Roman" w:hAnsi="Times New Roman" w:eastAsia="宋体"/>
                <w:b w:val="0"/>
                <w:sz w:val="20"/>
              </w:rPr>
              <w:t>MA20 + MA60 / MA10 + MA30</w:t>
            </w:r>
          </w:p>
        </w:tc>
        <w:tc>
          <w:tcPr>
            <w:tcW w:type="dxa" w:w="2551"/>
            <w:vAlign w:val="center"/>
          </w:tcPr>
          <w:p>
            <w:pPr>
              <w:jc w:val="left"/>
            </w:pPr>
            <w:r/>
            <w:r>
              <w:rPr>
                <w:rFonts w:ascii="Times New Roman" w:hAnsi="Times New Roman" w:eastAsia="宋体"/>
                <w:b w:val="0"/>
                <w:sz w:val="20"/>
              </w:rPr>
              <w:t>一短一长，简明有力</w:t>
            </w:r>
          </w:p>
        </w:tc>
        <w:tc>
          <w:tcPr>
            <w:tcW w:type="dxa" w:w="2268"/>
            <w:vAlign w:val="center"/>
          </w:tcPr>
          <w:p>
            <w:pPr>
              <w:jc w:val="left"/>
            </w:pPr>
            <w:r/>
            <w:r>
              <w:rPr>
                <w:rFonts w:ascii="Times New Roman" w:hAnsi="Times New Roman" w:eastAsia="宋体"/>
                <w:b w:val="0"/>
                <w:sz w:val="20"/>
              </w:rPr>
              <w:t>入门友好，信号清晰</w:t>
            </w:r>
          </w:p>
        </w:tc>
      </w:tr>
      <w:tr>
        <w:tc>
          <w:tcPr>
            <w:tcW w:type="dxa" w:w="1134"/>
            <w:vAlign w:val="center"/>
          </w:tcPr>
          <w:p>
            <w:pPr>
              <w:jc w:val="left"/>
            </w:pPr>
            <w:r/>
            <w:r>
              <w:rPr>
                <w:rFonts w:ascii="Times New Roman" w:hAnsi="Times New Roman" w:eastAsia="宋体"/>
                <w:b w:val="0"/>
                <w:sz w:val="20"/>
              </w:rPr>
              <w:t>复合七线</w:t>
            </w:r>
          </w:p>
        </w:tc>
        <w:tc>
          <w:tcPr>
            <w:tcW w:type="dxa" w:w="1984"/>
            <w:vAlign w:val="center"/>
          </w:tcPr>
          <w:p>
            <w:pPr>
              <w:jc w:val="left"/>
            </w:pPr>
            <w:r/>
            <w:r>
              <w:rPr>
                <w:rFonts w:ascii="Times New Roman" w:hAnsi="Times New Roman" w:eastAsia="宋体"/>
                <w:b w:val="0"/>
                <w:sz w:val="20"/>
              </w:rPr>
              <w:t>MA5,10,20,30,60,120,250</w:t>
            </w:r>
          </w:p>
        </w:tc>
        <w:tc>
          <w:tcPr>
            <w:tcW w:type="dxa" w:w="2551"/>
            <w:vAlign w:val="center"/>
          </w:tcPr>
          <w:p>
            <w:pPr>
              <w:jc w:val="left"/>
            </w:pPr>
            <w:r/>
            <w:r>
              <w:rPr>
                <w:rFonts w:ascii="Times New Roman" w:hAnsi="Times New Roman" w:eastAsia="宋体"/>
                <w:b w:val="0"/>
                <w:sz w:val="20"/>
              </w:rPr>
              <w:t>全面覆盖所有时间维度</w:t>
            </w:r>
          </w:p>
        </w:tc>
        <w:tc>
          <w:tcPr>
            <w:tcW w:type="dxa" w:w="2268"/>
            <w:vAlign w:val="center"/>
          </w:tcPr>
          <w:p>
            <w:pPr>
              <w:jc w:val="left"/>
            </w:pPr>
            <w:r/>
            <w:r>
              <w:rPr>
                <w:rFonts w:ascii="Times New Roman" w:hAnsi="Times New Roman" w:eastAsia="宋体"/>
                <w:b w:val="0"/>
                <w:sz w:val="20"/>
              </w:rPr>
              <w:t>专业交易员标配</w:t>
            </w:r>
          </w:p>
        </w:tc>
      </w:tr>
    </w:tbl>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选择建议：初学者从『经典双均线』开始；短线交易者用『斐波那契方案』；波段交易者用『1250系统』；长线/宏观投资者用『大均线系统』。选定后至少坚持使用6个月再评估，切忌频繁更换参数。</w:t>
            </w:r>
          </w:p>
        </w:tc>
      </w:tr>
    </w:tbl>
    <w:p>
      <w:r>
        <w:br w:type="page"/>
      </w:r>
    </w:p>
    <w:p>
      <w:pPr>
        <w:spacing w:before="400" w:after="240"/>
      </w:pPr>
      <w:r>
        <w:rPr>
          <w:rFonts w:ascii="Times New Roman" w:hAnsi="Times New Roman" w:eastAsia="微软雅黑"/>
          <w:b/>
          <w:color w:val="1F4E78"/>
          <w:sz w:val="32"/>
        </w:rPr>
        <w:t>第二章  单根均线的多空判读规则</w:t>
      </w:r>
    </w:p>
    <w:p>
      <w:pPr>
        <w:spacing w:before="280" w:after="160"/>
      </w:pPr>
      <w:r>
        <w:rPr>
          <w:rFonts w:ascii="Times New Roman" w:hAnsi="Times New Roman" w:eastAsia="微软雅黑"/>
          <w:b/>
          <w:color w:val="2E75B6"/>
          <w:sz w:val="26"/>
        </w:rPr>
        <w:t>2.1 葛兰碧八大法则详解</w:t>
      </w:r>
    </w:p>
    <w:p>
      <w:pPr>
        <w:spacing w:line="360" w:lineRule="auto" w:after="80"/>
        <w:ind w:firstLine="440"/>
      </w:pPr>
      <w:r>
        <w:rPr>
          <w:rFonts w:ascii="Times New Roman" w:hAnsi="Times New Roman" w:eastAsia="宋体"/>
          <w:b w:val="0"/>
          <w:sz w:val="22"/>
        </w:rPr>
        <w:t>葛兰碧（Joseph E. Granville）于1960年在其著作《每日股票市场获利战略的关键》（A Strategy of Daily Stock Market Timing for Maximum Profit）中首次系统提出移动平均线八大法则，奠定了均线理论的基石。该法则分为四个买入信号和四个卖出信号，至今仍是全球投资者均线实战的根本依据。</w:t>
      </w:r>
    </w:p>
    <w:p>
      <w:pPr>
        <w:spacing w:before="200" w:after="120"/>
      </w:pPr>
      <w:r>
        <w:rPr>
          <w:rFonts w:ascii="Times New Roman" w:hAnsi="Times New Roman" w:eastAsia="微软雅黑"/>
          <w:b/>
          <w:color w:val="44546A"/>
          <w:sz w:val="24"/>
        </w:rPr>
        <w:t>2.1.1 四大买入法则（多头信号）</w:t>
      </w:r>
    </w:p>
    <w:p>
      <w:pPr>
        <w:spacing w:line="360" w:lineRule="auto" w:after="80"/>
        <w:ind w:firstLine="440"/>
      </w:pPr>
      <w:r>
        <w:rPr>
          <w:rFonts w:ascii="Times New Roman" w:hAnsi="Times New Roman" w:eastAsia="宋体"/>
          <w:b/>
          <w:color w:val="C00000"/>
          <w:sz w:val="22"/>
        </w:rPr>
        <w:t>【买入法则一——突破买入】</w:t>
      </w:r>
    </w:p>
    <w:p>
      <w:pPr>
        <w:spacing w:line="360" w:lineRule="auto" w:after="80"/>
        <w:ind w:firstLine="440"/>
      </w:pPr>
      <w:r>
        <w:rPr>
          <w:rFonts w:ascii="Times New Roman" w:hAnsi="Times New Roman" w:eastAsia="宋体"/>
          <w:b w:val="0"/>
          <w:sz w:val="22"/>
        </w:rPr>
        <w:t>条件：均线从下降状态逐渐走平或开始上升，股价从均线下方向上突破均线。</w:t>
      </w:r>
    </w:p>
    <w:p>
      <w:pPr>
        <w:spacing w:line="360" w:lineRule="auto" w:after="80"/>
        <w:ind w:firstLine="440"/>
      </w:pPr>
      <w:r>
        <w:rPr>
          <w:rFonts w:ascii="Times New Roman" w:hAnsi="Times New Roman" w:eastAsia="宋体"/>
          <w:b w:val="0"/>
          <w:sz w:val="22"/>
        </w:rPr>
        <w:t>判读逻辑：这是葛兰碧四大买入法则中信号最强、也最经典的一个。均线走平或上行意味着原本的下降动量已经消化完毕；股价由下至上穿越，意味着买方力量首次压倒了卖方力量，新的上升趋势正在萌芽。</w:t>
      </w:r>
    </w:p>
    <w:p>
      <w:pPr>
        <w:spacing w:line="360" w:lineRule="auto" w:after="80"/>
        <w:ind w:firstLine="440"/>
      </w:pPr>
      <w:r>
        <w:rPr>
          <w:rFonts w:ascii="Times New Roman" w:hAnsi="Times New Roman" w:eastAsia="宋体"/>
          <w:b w:val="0"/>
          <w:sz w:val="22"/>
        </w:rPr>
        <w:t>操作要点：在突破当日收盘前确认突破；止损设置在均线下方3%-5%处；若突破次日再次跌破均线则立即止损。要求突破时成交量明显放大（至少达到前5日均量的1.3倍以上），否则视为假突破。</w:t>
      </w:r>
    </w:p>
    <w:p>
      <w:pPr>
        <w:spacing w:line="360" w:lineRule="auto" w:after="80"/>
        <w:ind w:firstLine="440"/>
      </w:pPr>
      <w:r>
        <w:rPr>
          <w:rFonts w:ascii="Times New Roman" w:hAnsi="Times New Roman" w:eastAsia="宋体"/>
          <w:b/>
          <w:color w:val="C00000"/>
          <w:sz w:val="22"/>
        </w:rPr>
        <w:t>【买入法则二——回踩买入】</w:t>
      </w:r>
    </w:p>
    <w:p>
      <w:pPr>
        <w:spacing w:line="360" w:lineRule="auto" w:after="80"/>
        <w:ind w:firstLine="440"/>
      </w:pPr>
      <w:r>
        <w:rPr>
          <w:rFonts w:ascii="Times New Roman" w:hAnsi="Times New Roman" w:eastAsia="宋体"/>
          <w:b w:val="0"/>
          <w:sz w:val="22"/>
        </w:rPr>
        <w:t>条件：股价运行在均线上方，回落但未跌破均线即再度上升。</w:t>
      </w:r>
    </w:p>
    <w:p>
      <w:pPr>
        <w:spacing w:line="360" w:lineRule="auto" w:after="80"/>
        <w:ind w:firstLine="440"/>
      </w:pPr>
      <w:r>
        <w:rPr>
          <w:rFonts w:ascii="Times New Roman" w:hAnsi="Times New Roman" w:eastAsia="宋体"/>
          <w:b w:val="0"/>
          <w:sz w:val="22"/>
        </w:rPr>
        <w:t>判读逻辑：这是顺势而为的经典买点，表明均线的支撑作用有效，多头力量依然占据主导。每一次回踩都是筹码换手、清洗浮筹的过程，为进一步上涨蓄力。</w:t>
      </w:r>
    </w:p>
    <w:p>
      <w:pPr>
        <w:spacing w:line="360" w:lineRule="auto" w:after="80"/>
        <w:ind w:firstLine="440"/>
      </w:pPr>
      <w:r>
        <w:rPr>
          <w:rFonts w:ascii="Times New Roman" w:hAnsi="Times New Roman" w:eastAsia="宋体"/>
          <w:b w:val="0"/>
          <w:sz w:val="22"/>
        </w:rPr>
        <w:t>操作要点：买入时机选在回踩均线出现止跌信号时（如下影线长阳、十字星、早晨之星等K线组合）。止损设在回踩低点下方。回踩时成交量应萎缩，止跌时温和放大。</w:t>
      </w:r>
    </w:p>
    <w:p>
      <w:pPr>
        <w:spacing w:line="360" w:lineRule="auto" w:after="80"/>
        <w:ind w:firstLine="440"/>
      </w:pPr>
      <w:r>
        <w:rPr>
          <w:rFonts w:ascii="Times New Roman" w:hAnsi="Times New Roman" w:eastAsia="宋体"/>
          <w:b/>
          <w:color w:val="C00000"/>
          <w:sz w:val="22"/>
        </w:rPr>
        <w:t>【买入法则三——假跌破买入】</w:t>
      </w:r>
    </w:p>
    <w:p>
      <w:pPr>
        <w:spacing w:line="360" w:lineRule="auto" w:after="80"/>
        <w:ind w:firstLine="440"/>
      </w:pPr>
      <w:r>
        <w:rPr>
          <w:rFonts w:ascii="Times New Roman" w:hAnsi="Times New Roman" w:eastAsia="宋体"/>
          <w:b w:val="0"/>
          <w:sz w:val="22"/>
        </w:rPr>
        <w:t>条件：股价跌破均线后迅速（通常在1-3个交易日内）回升至均线上方。</w:t>
      </w:r>
    </w:p>
    <w:p>
      <w:pPr>
        <w:spacing w:line="360" w:lineRule="auto" w:after="80"/>
        <w:ind w:firstLine="440"/>
      </w:pPr>
      <w:r>
        <w:rPr>
          <w:rFonts w:ascii="Times New Roman" w:hAnsi="Times New Roman" w:eastAsia="宋体"/>
          <w:b w:val="0"/>
          <w:sz w:val="22"/>
        </w:rPr>
        <w:t>判读逻辑：这种『假跌破』往往是主力洗盘所致——通过短暂破位制造恐慌，逼出散户筹码后迅速拉回，后续上涨概率极高。这是葛兰碧四大买入法则中收益最丰厚的一类。</w:t>
      </w:r>
    </w:p>
    <w:p>
      <w:pPr>
        <w:spacing w:line="360" w:lineRule="auto" w:after="80"/>
        <w:ind w:firstLine="440"/>
      </w:pPr>
      <w:r>
        <w:rPr>
          <w:rFonts w:ascii="Times New Roman" w:hAnsi="Times New Roman" w:eastAsia="宋体"/>
          <w:b w:val="0"/>
          <w:sz w:val="22"/>
        </w:rPr>
        <w:t>操作要点：需严格判断『跌破幅度』和『回收速度』两个要素：跌破幅度不宜超过3%；收回时必须伴随大于前日的成交量。止损设在假跌破最低点下方1%。</w:t>
      </w:r>
    </w:p>
    <w:p>
      <w:pPr>
        <w:spacing w:line="360" w:lineRule="auto" w:after="80"/>
        <w:ind w:firstLine="440"/>
      </w:pPr>
      <w:r>
        <w:rPr>
          <w:rFonts w:ascii="Times New Roman" w:hAnsi="Times New Roman" w:eastAsia="宋体"/>
          <w:b/>
          <w:color w:val="C00000"/>
          <w:sz w:val="22"/>
        </w:rPr>
        <w:t>【买入法则四——乖离率买入/超跌反弹买入】</w:t>
      </w:r>
    </w:p>
    <w:p>
      <w:pPr>
        <w:spacing w:line="360" w:lineRule="auto" w:after="80"/>
        <w:ind w:firstLine="440"/>
      </w:pPr>
      <w:r>
        <w:rPr>
          <w:rFonts w:ascii="Times New Roman" w:hAnsi="Times New Roman" w:eastAsia="宋体"/>
          <w:b w:val="0"/>
          <w:sz w:val="22"/>
        </w:rPr>
        <w:t>条件：股价在均线下方急剧下跌，距离均线过远（负乖离率过大）。</w:t>
      </w:r>
    </w:p>
    <w:p>
      <w:pPr>
        <w:spacing w:line="360" w:lineRule="auto" w:after="80"/>
        <w:ind w:firstLine="440"/>
      </w:pPr>
      <w:r>
        <w:rPr>
          <w:rFonts w:ascii="Times New Roman" w:hAnsi="Times New Roman" w:eastAsia="宋体"/>
          <w:b w:val="0"/>
          <w:sz w:val="22"/>
        </w:rPr>
        <w:t>判读逻辑：当股价严重偏离均线时，存在向均线回归的物理需求（均值回归定律）。这是四大买入法则中唯一的『逆势买入』信号，本质上博弈的是超卖反弹。</w:t>
      </w:r>
    </w:p>
    <w:p>
      <w:pPr>
        <w:spacing w:line="360" w:lineRule="auto" w:after="80"/>
        <w:ind w:firstLine="440"/>
      </w:pPr>
      <w:r>
        <w:rPr>
          <w:rFonts w:ascii="Times New Roman" w:hAnsi="Times New Roman" w:eastAsia="宋体"/>
          <w:b w:val="0"/>
          <w:sz w:val="22"/>
        </w:rPr>
        <w:t>操作要点：这是所有买入法则中风险最高的一类。只适合短线波段操作，目标位设在均线附近。参考乖离率警戒值：MA5用-5%、MA20用-10%、MA60用-15%。仓位不宜超过3成。</w:t>
      </w:r>
    </w:p>
    <w:tbl>
      <w:tblPr>
        <w:tblW w:type="auto" w:w="0"/>
        <w:jc w:val="center"/>
        <w:tblLook w:firstColumn="1" w:firstRow="1" w:lastColumn="0" w:lastRow="0" w:noHBand="0" w:noVBand="1" w:val="04A0"/>
      </w:tblPr>
      <w:tblGrid>
        <w:gridCol w:w="9026"/>
      </w:tblGrid>
      <w:tr>
        <w:tc>
          <w:tcPr>
            <w:tcW w:type="dxa" w:w="9026"/>
            <w:shd w:fill="FCE4D6"/>
          </w:tcPr>
          <w:p>
            <w:pPr>
              <w:spacing w:line="336" w:lineRule="auto"/>
            </w:pPr>
            <w:r/>
            <w:r>
              <w:rPr>
                <w:rFonts w:ascii="Times New Roman" w:hAnsi="Times New Roman" w:eastAsia="宋体"/>
                <w:b w:val="0"/>
                <w:color w:val="C00000"/>
                <w:sz w:val="22"/>
              </w:rPr>
              <w:t>四大买入法则的可靠性排序（由强到弱）：法则二（回踩买入）&gt;  法则三（假跌破）&gt;  法则一（突破买入）&gt;  法则四（超跌反弹）。法则二是顺势操作，成功率最高；法则四是逆势操作，只做反弹不做反转。</w:t>
            </w:r>
          </w:p>
        </w:tc>
      </w:tr>
    </w:tbl>
    <w:p>
      <w:pPr>
        <w:spacing w:before="200" w:after="120"/>
      </w:pPr>
      <w:r>
        <w:rPr>
          <w:rFonts w:ascii="Times New Roman" w:hAnsi="Times New Roman" w:eastAsia="微软雅黑"/>
          <w:b/>
          <w:color w:val="44546A"/>
          <w:sz w:val="24"/>
        </w:rPr>
        <w:t>2.1.2 四大卖出法则（空头信号）</w:t>
      </w:r>
    </w:p>
    <w:p>
      <w:pPr>
        <w:spacing w:line="360" w:lineRule="auto" w:after="80"/>
        <w:ind w:firstLine="440"/>
      </w:pPr>
      <w:r>
        <w:rPr>
          <w:rFonts w:ascii="Times New Roman" w:hAnsi="Times New Roman" w:eastAsia="宋体"/>
          <w:b/>
          <w:color w:val="00B050"/>
          <w:sz w:val="22"/>
        </w:rPr>
        <w:t>【卖出法则一——破位卖出】</w:t>
      </w:r>
    </w:p>
    <w:p>
      <w:pPr>
        <w:spacing w:line="360" w:lineRule="auto" w:after="80"/>
        <w:ind w:firstLine="440"/>
      </w:pPr>
      <w:r>
        <w:rPr>
          <w:rFonts w:ascii="Times New Roman" w:hAnsi="Times New Roman" w:eastAsia="宋体"/>
          <w:b w:val="0"/>
          <w:sz w:val="22"/>
        </w:rPr>
        <w:t>条件：均线从上升逐渐走平或开始下降，股价从均线上方向下跌破均线。</w:t>
      </w:r>
    </w:p>
    <w:p>
      <w:pPr>
        <w:spacing w:line="360" w:lineRule="auto" w:after="80"/>
        <w:ind w:firstLine="440"/>
      </w:pPr>
      <w:r>
        <w:rPr>
          <w:rFonts w:ascii="Times New Roman" w:hAnsi="Times New Roman" w:eastAsia="宋体"/>
          <w:b w:val="0"/>
          <w:sz w:val="22"/>
        </w:rPr>
        <w:t>判读逻辑：这是上升趋势结束的最经典信号，对应法则一的反向形态。均线走平或下行表明上升动量衰竭，股价由上至下穿越意味着买方力量被空方力量压倒。</w:t>
      </w:r>
    </w:p>
    <w:p>
      <w:pPr>
        <w:spacing w:line="360" w:lineRule="auto" w:after="80"/>
        <w:ind w:firstLine="440"/>
      </w:pPr>
      <w:r>
        <w:rPr>
          <w:rFonts w:ascii="Times New Roman" w:hAnsi="Times New Roman" w:eastAsia="宋体"/>
          <w:b w:val="0"/>
          <w:sz w:val="22"/>
        </w:rPr>
        <w:t>操作要点：当日收盘确认跌破后立即减仓至半仓；次日若未能收复均线则清仓。放量下跌比缩量下跌危险数倍。</w:t>
      </w:r>
    </w:p>
    <w:p>
      <w:pPr>
        <w:spacing w:line="360" w:lineRule="auto" w:after="80"/>
        <w:ind w:firstLine="440"/>
      </w:pPr>
      <w:r>
        <w:rPr>
          <w:rFonts w:ascii="Times New Roman" w:hAnsi="Times New Roman" w:eastAsia="宋体"/>
          <w:b/>
          <w:color w:val="00B050"/>
          <w:sz w:val="22"/>
        </w:rPr>
        <w:t>【卖出法则二——反弹卖出】</w:t>
      </w:r>
    </w:p>
    <w:p>
      <w:pPr>
        <w:spacing w:line="360" w:lineRule="auto" w:after="80"/>
        <w:ind w:firstLine="440"/>
      </w:pPr>
      <w:r>
        <w:rPr>
          <w:rFonts w:ascii="Times New Roman" w:hAnsi="Times New Roman" w:eastAsia="宋体"/>
          <w:b w:val="0"/>
          <w:sz w:val="22"/>
        </w:rPr>
        <w:t>条件：股价运行在均线下方，反弹但未突破均线即再度下跌。</w:t>
      </w:r>
    </w:p>
    <w:p>
      <w:pPr>
        <w:spacing w:line="360" w:lineRule="auto" w:after="80"/>
        <w:ind w:firstLine="440"/>
      </w:pPr>
      <w:r>
        <w:rPr>
          <w:rFonts w:ascii="Times New Roman" w:hAnsi="Times New Roman" w:eastAsia="宋体"/>
          <w:b w:val="0"/>
          <w:sz w:val="22"/>
        </w:rPr>
        <w:t>判读逻辑：这是空头趋势中的标准卖点，表明均线压力有效，每一次反弹都是空方减仓的机会。</w:t>
      </w:r>
    </w:p>
    <w:p>
      <w:pPr>
        <w:spacing w:line="360" w:lineRule="auto" w:after="80"/>
        <w:ind w:firstLine="440"/>
      </w:pPr>
      <w:r>
        <w:rPr>
          <w:rFonts w:ascii="Times New Roman" w:hAnsi="Times New Roman" w:eastAsia="宋体"/>
          <w:b w:val="0"/>
          <w:sz w:val="22"/>
        </w:rPr>
        <w:t>操作要点：反弹至均线附近出现滞涨信号（如上影线长阴、乌云盖顶、黄昏之星）时卖出。止损设在反弹高点上方。</w:t>
      </w:r>
    </w:p>
    <w:p>
      <w:pPr>
        <w:spacing w:line="360" w:lineRule="auto" w:after="80"/>
        <w:ind w:firstLine="440"/>
      </w:pPr>
      <w:r>
        <w:rPr>
          <w:rFonts w:ascii="Times New Roman" w:hAnsi="Times New Roman" w:eastAsia="宋体"/>
          <w:b/>
          <w:color w:val="00B050"/>
          <w:sz w:val="22"/>
        </w:rPr>
        <w:t>【卖出法则三——假突破卖出】</w:t>
      </w:r>
    </w:p>
    <w:p>
      <w:pPr>
        <w:spacing w:line="360" w:lineRule="auto" w:after="80"/>
        <w:ind w:firstLine="440"/>
      </w:pPr>
      <w:r>
        <w:rPr>
          <w:rFonts w:ascii="Times New Roman" w:hAnsi="Times New Roman" w:eastAsia="宋体"/>
          <w:b w:val="0"/>
          <w:sz w:val="22"/>
        </w:rPr>
        <w:t>条件：股价突破均线后迅速回落至均线下方。</w:t>
      </w:r>
    </w:p>
    <w:p>
      <w:pPr>
        <w:spacing w:line="360" w:lineRule="auto" w:after="80"/>
        <w:ind w:firstLine="440"/>
      </w:pPr>
      <w:r>
        <w:rPr>
          <w:rFonts w:ascii="Times New Roman" w:hAnsi="Times New Roman" w:eastAsia="宋体"/>
          <w:b w:val="0"/>
          <w:sz w:val="22"/>
        </w:rPr>
        <w:t>判读逻辑：假突破往往是主力拉高出货的典型手法——通过短暂突破制造多头幻觉，吸引散户追涨后迅速拉低出货。</w:t>
      </w:r>
    </w:p>
    <w:p>
      <w:pPr>
        <w:spacing w:line="360" w:lineRule="auto" w:after="80"/>
        <w:ind w:firstLine="440"/>
      </w:pPr>
      <w:r>
        <w:rPr>
          <w:rFonts w:ascii="Times New Roman" w:hAnsi="Times New Roman" w:eastAsia="宋体"/>
          <w:b w:val="0"/>
          <w:sz w:val="22"/>
        </w:rPr>
        <w:t>操作要点：看到假突破信号，应在回落确认次日立即卖出。放量假突破比缩量假突破危险得多。</w:t>
      </w:r>
    </w:p>
    <w:p>
      <w:pPr>
        <w:spacing w:line="360" w:lineRule="auto" w:after="80"/>
        <w:ind w:firstLine="440"/>
      </w:pPr>
      <w:r>
        <w:rPr>
          <w:rFonts w:ascii="Times New Roman" w:hAnsi="Times New Roman" w:eastAsia="宋体"/>
          <w:b/>
          <w:color w:val="00B050"/>
          <w:sz w:val="22"/>
        </w:rPr>
        <w:t>【卖出法则四——乖离率卖出/超涨回落卖出】</w:t>
      </w:r>
    </w:p>
    <w:p>
      <w:pPr>
        <w:spacing w:line="360" w:lineRule="auto" w:after="80"/>
        <w:ind w:firstLine="440"/>
      </w:pPr>
      <w:r>
        <w:rPr>
          <w:rFonts w:ascii="Times New Roman" w:hAnsi="Times New Roman" w:eastAsia="宋体"/>
          <w:b w:val="0"/>
          <w:sz w:val="22"/>
        </w:rPr>
        <w:t>条件：股价在均线上方急剧上涨，距离均线过远（正乖离率过大）。</w:t>
      </w:r>
    </w:p>
    <w:p>
      <w:pPr>
        <w:spacing w:line="360" w:lineRule="auto" w:after="80"/>
        <w:ind w:firstLine="440"/>
      </w:pPr>
      <w:r>
        <w:rPr>
          <w:rFonts w:ascii="Times New Roman" w:hAnsi="Times New Roman" w:eastAsia="宋体"/>
          <w:b w:val="0"/>
          <w:sz w:val="22"/>
        </w:rPr>
        <w:t>判读逻辑：与法则四（买入）对应，存在向均线回归的需求。顺势操作者在此时进行部分获利了结，而非全部清仓。</w:t>
      </w:r>
    </w:p>
    <w:p>
      <w:pPr>
        <w:spacing w:line="360" w:lineRule="auto" w:after="80"/>
        <w:ind w:firstLine="440"/>
      </w:pPr>
      <w:r>
        <w:rPr>
          <w:rFonts w:ascii="Times New Roman" w:hAnsi="Times New Roman" w:eastAsia="宋体"/>
          <w:b w:val="0"/>
          <w:sz w:val="22"/>
        </w:rPr>
        <w:t>操作要点：分批减仓，不要一次性清仓；保留底仓跟踪主升浪。参考正乖离率警戒值：MA5用+5%、MA20用+10%、MA60用+15%。</w:t>
      </w:r>
    </w:p>
    <w:p>
      <w:pPr>
        <w:spacing w:before="280" w:after="160"/>
      </w:pPr>
      <w:r>
        <w:rPr>
          <w:rFonts w:ascii="Times New Roman" w:hAnsi="Times New Roman" w:eastAsia="微软雅黑"/>
          <w:b/>
          <w:color w:val="2E75B6"/>
          <w:sz w:val="26"/>
        </w:rPr>
        <w:t>2.2 均线方向（斜率）判读</w:t>
      </w:r>
    </w:p>
    <w:p>
      <w:pPr>
        <w:spacing w:line="360" w:lineRule="auto" w:after="80"/>
        <w:ind w:firstLine="440"/>
      </w:pPr>
      <w:r>
        <w:rPr>
          <w:rFonts w:ascii="Times New Roman" w:hAnsi="Times New Roman" w:eastAsia="宋体"/>
          <w:b w:val="0"/>
          <w:sz w:val="22"/>
        </w:rPr>
        <w:t>均线的方向（斜率）是判断趋势强弱的核心依据。斜率的正负决定趋势方向，斜率的大小决定趋势强度。</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均线方向</w:t>
            </w:r>
          </w:p>
        </w:tc>
        <w:tc>
          <w:tcPr>
            <w:tcW w:type="dxa" w:w="1134"/>
            <w:shd w:fill="2E75B6"/>
            <w:vAlign w:val="center"/>
          </w:tcPr>
          <w:p>
            <w:pPr>
              <w:jc w:val="center"/>
            </w:pPr>
            <w:r/>
            <w:r>
              <w:rPr>
                <w:rFonts w:ascii="Times New Roman" w:hAnsi="Times New Roman" w:eastAsia="微软雅黑"/>
                <w:b/>
                <w:color w:val="FFFFFF"/>
                <w:sz w:val="20"/>
              </w:rPr>
              <w:t>角度参考</w:t>
            </w:r>
          </w:p>
        </w:tc>
        <w:tc>
          <w:tcPr>
            <w:tcW w:type="dxa" w:w="1701"/>
            <w:shd w:fill="2E75B6"/>
            <w:vAlign w:val="center"/>
          </w:tcPr>
          <w:p>
            <w:pPr>
              <w:jc w:val="center"/>
            </w:pPr>
            <w:r/>
            <w:r>
              <w:rPr>
                <w:rFonts w:ascii="Times New Roman" w:hAnsi="Times New Roman" w:eastAsia="微软雅黑"/>
                <w:b/>
                <w:color w:val="FFFFFF"/>
                <w:sz w:val="20"/>
              </w:rPr>
              <w:t>趋势判断</w:t>
            </w:r>
          </w:p>
        </w:tc>
        <w:tc>
          <w:tcPr>
            <w:tcW w:type="dxa" w:w="1134"/>
            <w:shd w:fill="2E75B6"/>
            <w:vAlign w:val="center"/>
          </w:tcPr>
          <w:p>
            <w:pPr>
              <w:jc w:val="center"/>
            </w:pPr>
            <w:r/>
            <w:r>
              <w:rPr>
                <w:rFonts w:ascii="Times New Roman" w:hAnsi="Times New Roman" w:eastAsia="微软雅黑"/>
                <w:b/>
                <w:color w:val="FFFFFF"/>
                <w:sz w:val="20"/>
              </w:rPr>
              <w:t>多空强度</w:t>
            </w:r>
          </w:p>
        </w:tc>
        <w:tc>
          <w:tcPr>
            <w:tcW w:type="dxa" w:w="2835"/>
            <w:shd w:fill="2E75B6"/>
            <w:vAlign w:val="center"/>
          </w:tcPr>
          <w:p>
            <w:pPr>
              <w:jc w:val="center"/>
            </w:pPr>
            <w:r/>
            <w:r>
              <w:rPr>
                <w:rFonts w:ascii="Times New Roman" w:hAnsi="Times New Roman" w:eastAsia="微软雅黑"/>
                <w:b/>
                <w:color w:val="FFFFFF"/>
                <w:sz w:val="20"/>
              </w:rPr>
              <w:t>操作建议</w:t>
            </w:r>
          </w:p>
        </w:tc>
      </w:tr>
      <w:tr>
        <w:tc>
          <w:tcPr>
            <w:tcW w:type="dxa" w:w="1134"/>
            <w:vAlign w:val="center"/>
          </w:tcPr>
          <w:p>
            <w:pPr>
              <w:jc w:val="left"/>
            </w:pPr>
            <w:r/>
            <w:r>
              <w:rPr>
                <w:rFonts w:ascii="Times New Roman" w:hAnsi="Times New Roman" w:eastAsia="宋体"/>
                <w:b w:val="0"/>
                <w:sz w:val="20"/>
              </w:rPr>
              <w:t>陡峭上升</w:t>
            </w:r>
          </w:p>
        </w:tc>
        <w:tc>
          <w:tcPr>
            <w:tcW w:type="dxa" w:w="1134"/>
            <w:vAlign w:val="center"/>
          </w:tcPr>
          <w:p>
            <w:pPr>
              <w:jc w:val="left"/>
            </w:pPr>
            <w:r/>
            <w:r>
              <w:rPr>
                <w:rFonts w:ascii="Times New Roman" w:hAnsi="Times New Roman" w:eastAsia="宋体"/>
                <w:b w:val="0"/>
                <w:sz w:val="20"/>
              </w:rPr>
              <w:t>大于45°</w:t>
            </w:r>
          </w:p>
        </w:tc>
        <w:tc>
          <w:tcPr>
            <w:tcW w:type="dxa" w:w="1701"/>
            <w:vAlign w:val="center"/>
          </w:tcPr>
          <w:p>
            <w:pPr>
              <w:jc w:val="left"/>
            </w:pPr>
            <w:r/>
            <w:r>
              <w:rPr>
                <w:rFonts w:ascii="Times New Roman" w:hAnsi="Times New Roman" w:eastAsia="宋体"/>
                <w:b w:val="0"/>
                <w:sz w:val="20"/>
              </w:rPr>
              <w:t>强多头，主升浪中</w:t>
            </w:r>
          </w:p>
        </w:tc>
        <w:tc>
          <w:tcPr>
            <w:tcW w:type="dxa" w:w="1134"/>
            <w:vAlign w:val="center"/>
          </w:tcPr>
          <w:p>
            <w:pPr>
              <w:jc w:val="left"/>
            </w:pPr>
            <w:r/>
            <w:r>
              <w:rPr>
                <w:rFonts w:ascii="Times New Roman" w:hAnsi="Times New Roman" w:eastAsia="宋体"/>
                <w:b w:val="0"/>
                <w:sz w:val="20"/>
              </w:rPr>
              <w:t>极强多头</w:t>
            </w:r>
          </w:p>
        </w:tc>
        <w:tc>
          <w:tcPr>
            <w:tcW w:type="dxa" w:w="2835"/>
            <w:vAlign w:val="center"/>
          </w:tcPr>
          <w:p>
            <w:pPr>
              <w:jc w:val="left"/>
            </w:pPr>
            <w:r/>
            <w:r>
              <w:rPr>
                <w:rFonts w:ascii="Times New Roman" w:hAnsi="Times New Roman" w:eastAsia="宋体"/>
                <w:b w:val="0"/>
                <w:sz w:val="20"/>
              </w:rPr>
              <w:t>持股不动，不轻易卖出；回踩即加仓</w:t>
            </w:r>
          </w:p>
        </w:tc>
      </w:tr>
      <w:tr>
        <w:tc>
          <w:tcPr>
            <w:tcW w:type="dxa" w:w="1134"/>
            <w:vAlign w:val="center"/>
          </w:tcPr>
          <w:p>
            <w:pPr>
              <w:jc w:val="left"/>
            </w:pPr>
            <w:r/>
            <w:r>
              <w:rPr>
                <w:rFonts w:ascii="Times New Roman" w:hAnsi="Times New Roman" w:eastAsia="宋体"/>
                <w:b w:val="0"/>
                <w:sz w:val="20"/>
              </w:rPr>
              <w:t>中度上升</w:t>
            </w:r>
          </w:p>
        </w:tc>
        <w:tc>
          <w:tcPr>
            <w:tcW w:type="dxa" w:w="1134"/>
            <w:vAlign w:val="center"/>
          </w:tcPr>
          <w:p>
            <w:pPr>
              <w:jc w:val="left"/>
            </w:pPr>
            <w:r/>
            <w:r>
              <w:rPr>
                <w:rFonts w:ascii="Times New Roman" w:hAnsi="Times New Roman" w:eastAsia="宋体"/>
                <w:b w:val="0"/>
                <w:sz w:val="20"/>
              </w:rPr>
              <w:t>25°-45°</w:t>
            </w:r>
          </w:p>
        </w:tc>
        <w:tc>
          <w:tcPr>
            <w:tcW w:type="dxa" w:w="1701"/>
            <w:vAlign w:val="center"/>
          </w:tcPr>
          <w:p>
            <w:pPr>
              <w:jc w:val="left"/>
            </w:pPr>
            <w:r/>
            <w:r>
              <w:rPr>
                <w:rFonts w:ascii="Times New Roman" w:hAnsi="Times New Roman" w:eastAsia="宋体"/>
                <w:b w:val="0"/>
                <w:sz w:val="20"/>
              </w:rPr>
              <w:t>标准多头趋势</w:t>
            </w:r>
          </w:p>
        </w:tc>
        <w:tc>
          <w:tcPr>
            <w:tcW w:type="dxa" w:w="1134"/>
            <w:vAlign w:val="center"/>
          </w:tcPr>
          <w:p>
            <w:pPr>
              <w:jc w:val="left"/>
            </w:pPr>
            <w:r/>
            <w:r>
              <w:rPr>
                <w:rFonts w:ascii="Times New Roman" w:hAnsi="Times New Roman" w:eastAsia="宋体"/>
                <w:b w:val="0"/>
                <w:sz w:val="20"/>
              </w:rPr>
              <w:t>强多头</w:t>
            </w:r>
          </w:p>
        </w:tc>
        <w:tc>
          <w:tcPr>
            <w:tcW w:type="dxa" w:w="2835"/>
            <w:vAlign w:val="center"/>
          </w:tcPr>
          <w:p>
            <w:pPr>
              <w:jc w:val="left"/>
            </w:pPr>
            <w:r/>
            <w:r>
              <w:rPr>
                <w:rFonts w:ascii="Times New Roman" w:hAnsi="Times New Roman" w:eastAsia="宋体"/>
                <w:b w:val="0"/>
                <w:sz w:val="20"/>
              </w:rPr>
              <w:t>持股为主，分批逢低加仓</w:t>
            </w:r>
          </w:p>
        </w:tc>
      </w:tr>
      <w:tr>
        <w:tc>
          <w:tcPr>
            <w:tcW w:type="dxa" w:w="1134"/>
            <w:vAlign w:val="center"/>
          </w:tcPr>
          <w:p>
            <w:pPr>
              <w:jc w:val="left"/>
            </w:pPr>
            <w:r/>
            <w:r>
              <w:rPr>
                <w:rFonts w:ascii="Times New Roman" w:hAnsi="Times New Roman" w:eastAsia="宋体"/>
                <w:b w:val="0"/>
                <w:sz w:val="20"/>
              </w:rPr>
              <w:t>平缓上升</w:t>
            </w:r>
          </w:p>
        </w:tc>
        <w:tc>
          <w:tcPr>
            <w:tcW w:type="dxa" w:w="1134"/>
            <w:vAlign w:val="center"/>
          </w:tcPr>
          <w:p>
            <w:pPr>
              <w:jc w:val="left"/>
            </w:pPr>
            <w:r/>
            <w:r>
              <w:rPr>
                <w:rFonts w:ascii="Times New Roman" w:hAnsi="Times New Roman" w:eastAsia="宋体"/>
                <w:b w:val="0"/>
                <w:sz w:val="20"/>
              </w:rPr>
              <w:t>5°-25°</w:t>
            </w:r>
          </w:p>
        </w:tc>
        <w:tc>
          <w:tcPr>
            <w:tcW w:type="dxa" w:w="1701"/>
            <w:vAlign w:val="center"/>
          </w:tcPr>
          <w:p>
            <w:pPr>
              <w:jc w:val="left"/>
            </w:pPr>
            <w:r/>
            <w:r>
              <w:rPr>
                <w:rFonts w:ascii="Times New Roman" w:hAnsi="Times New Roman" w:eastAsia="宋体"/>
                <w:b w:val="0"/>
                <w:sz w:val="20"/>
              </w:rPr>
              <w:t>弱多头，上升温和</w:t>
            </w:r>
          </w:p>
        </w:tc>
        <w:tc>
          <w:tcPr>
            <w:tcW w:type="dxa" w:w="1134"/>
            <w:vAlign w:val="center"/>
          </w:tcPr>
          <w:p>
            <w:pPr>
              <w:jc w:val="left"/>
            </w:pPr>
            <w:r/>
            <w:r>
              <w:rPr>
                <w:rFonts w:ascii="Times New Roman" w:hAnsi="Times New Roman" w:eastAsia="宋体"/>
                <w:b w:val="0"/>
                <w:sz w:val="20"/>
              </w:rPr>
              <w:t>弱多头</w:t>
            </w:r>
          </w:p>
        </w:tc>
        <w:tc>
          <w:tcPr>
            <w:tcW w:type="dxa" w:w="2835"/>
            <w:vAlign w:val="center"/>
          </w:tcPr>
          <w:p>
            <w:pPr>
              <w:jc w:val="left"/>
            </w:pPr>
            <w:r/>
            <w:r>
              <w:rPr>
                <w:rFonts w:ascii="Times New Roman" w:hAnsi="Times New Roman" w:eastAsia="宋体"/>
                <w:b w:val="0"/>
                <w:sz w:val="20"/>
              </w:rPr>
              <w:t>谨慎持有，设置紧止损</w:t>
            </w:r>
          </w:p>
        </w:tc>
      </w:tr>
      <w:tr>
        <w:tc>
          <w:tcPr>
            <w:tcW w:type="dxa" w:w="1134"/>
            <w:vAlign w:val="center"/>
          </w:tcPr>
          <w:p>
            <w:pPr>
              <w:jc w:val="left"/>
            </w:pPr>
            <w:r/>
            <w:r>
              <w:rPr>
                <w:rFonts w:ascii="Times New Roman" w:hAnsi="Times New Roman" w:eastAsia="宋体"/>
                <w:b w:val="0"/>
                <w:sz w:val="20"/>
              </w:rPr>
              <w:t>基本走平</w:t>
            </w:r>
          </w:p>
        </w:tc>
        <w:tc>
          <w:tcPr>
            <w:tcW w:type="dxa" w:w="1134"/>
            <w:vAlign w:val="center"/>
          </w:tcPr>
          <w:p>
            <w:pPr>
              <w:jc w:val="left"/>
            </w:pPr>
            <w:r/>
            <w:r>
              <w:rPr>
                <w:rFonts w:ascii="Times New Roman" w:hAnsi="Times New Roman" w:eastAsia="宋体"/>
                <w:b w:val="0"/>
                <w:sz w:val="20"/>
              </w:rPr>
              <w:t>-5°至+5°</w:t>
            </w:r>
          </w:p>
        </w:tc>
        <w:tc>
          <w:tcPr>
            <w:tcW w:type="dxa" w:w="1701"/>
            <w:vAlign w:val="center"/>
          </w:tcPr>
          <w:p>
            <w:pPr>
              <w:jc w:val="left"/>
            </w:pPr>
            <w:r/>
            <w:r>
              <w:rPr>
                <w:rFonts w:ascii="Times New Roman" w:hAnsi="Times New Roman" w:eastAsia="宋体"/>
                <w:b w:val="0"/>
                <w:sz w:val="20"/>
              </w:rPr>
              <w:t>方向不明，震荡整理</w:t>
            </w:r>
          </w:p>
        </w:tc>
        <w:tc>
          <w:tcPr>
            <w:tcW w:type="dxa" w:w="1134"/>
            <w:vAlign w:val="center"/>
          </w:tcPr>
          <w:p>
            <w:pPr>
              <w:jc w:val="left"/>
            </w:pPr>
            <w:r/>
            <w:r>
              <w:rPr>
                <w:rFonts w:ascii="Times New Roman" w:hAnsi="Times New Roman" w:eastAsia="宋体"/>
                <w:b w:val="0"/>
                <w:sz w:val="20"/>
              </w:rPr>
              <w:t>中性</w:t>
            </w:r>
          </w:p>
        </w:tc>
        <w:tc>
          <w:tcPr>
            <w:tcW w:type="dxa" w:w="2835"/>
            <w:vAlign w:val="center"/>
          </w:tcPr>
          <w:p>
            <w:pPr>
              <w:jc w:val="left"/>
            </w:pPr>
            <w:r/>
            <w:r>
              <w:rPr>
                <w:rFonts w:ascii="Times New Roman" w:hAnsi="Times New Roman" w:eastAsia="宋体"/>
                <w:b w:val="0"/>
                <w:sz w:val="20"/>
              </w:rPr>
              <w:t>观望或做区间波段</w:t>
            </w:r>
          </w:p>
        </w:tc>
      </w:tr>
      <w:tr>
        <w:tc>
          <w:tcPr>
            <w:tcW w:type="dxa" w:w="1134"/>
            <w:vAlign w:val="center"/>
          </w:tcPr>
          <w:p>
            <w:pPr>
              <w:jc w:val="left"/>
            </w:pPr>
            <w:r/>
            <w:r>
              <w:rPr>
                <w:rFonts w:ascii="Times New Roman" w:hAnsi="Times New Roman" w:eastAsia="宋体"/>
                <w:b w:val="0"/>
                <w:sz w:val="20"/>
              </w:rPr>
              <w:t>平缓下降</w:t>
            </w:r>
          </w:p>
        </w:tc>
        <w:tc>
          <w:tcPr>
            <w:tcW w:type="dxa" w:w="1134"/>
            <w:vAlign w:val="center"/>
          </w:tcPr>
          <w:p>
            <w:pPr>
              <w:jc w:val="left"/>
            </w:pPr>
            <w:r/>
            <w:r>
              <w:rPr>
                <w:rFonts w:ascii="Times New Roman" w:hAnsi="Times New Roman" w:eastAsia="宋体"/>
                <w:b w:val="0"/>
                <w:sz w:val="20"/>
              </w:rPr>
              <w:t>-5°至-25°</w:t>
            </w:r>
          </w:p>
        </w:tc>
        <w:tc>
          <w:tcPr>
            <w:tcW w:type="dxa" w:w="1701"/>
            <w:vAlign w:val="center"/>
          </w:tcPr>
          <w:p>
            <w:pPr>
              <w:jc w:val="left"/>
            </w:pPr>
            <w:r/>
            <w:r>
              <w:rPr>
                <w:rFonts w:ascii="Times New Roman" w:hAnsi="Times New Roman" w:eastAsia="宋体"/>
                <w:b w:val="0"/>
                <w:sz w:val="20"/>
              </w:rPr>
              <w:t>弱空头，下降温和</w:t>
            </w:r>
          </w:p>
        </w:tc>
        <w:tc>
          <w:tcPr>
            <w:tcW w:type="dxa" w:w="1134"/>
            <w:vAlign w:val="center"/>
          </w:tcPr>
          <w:p>
            <w:pPr>
              <w:jc w:val="left"/>
            </w:pPr>
            <w:r/>
            <w:r>
              <w:rPr>
                <w:rFonts w:ascii="Times New Roman" w:hAnsi="Times New Roman" w:eastAsia="宋体"/>
                <w:b w:val="0"/>
                <w:sz w:val="20"/>
              </w:rPr>
              <w:t>弱空头</w:t>
            </w:r>
          </w:p>
        </w:tc>
        <w:tc>
          <w:tcPr>
            <w:tcW w:type="dxa" w:w="2835"/>
            <w:vAlign w:val="center"/>
          </w:tcPr>
          <w:p>
            <w:pPr>
              <w:jc w:val="left"/>
            </w:pPr>
            <w:r/>
            <w:r>
              <w:rPr>
                <w:rFonts w:ascii="Times New Roman" w:hAnsi="Times New Roman" w:eastAsia="宋体"/>
                <w:b w:val="0"/>
                <w:sz w:val="20"/>
              </w:rPr>
              <w:t>持币观望，反弹勿贪</w:t>
            </w:r>
          </w:p>
        </w:tc>
      </w:tr>
      <w:tr>
        <w:tc>
          <w:tcPr>
            <w:tcW w:type="dxa" w:w="1134"/>
            <w:vAlign w:val="center"/>
          </w:tcPr>
          <w:p>
            <w:pPr>
              <w:jc w:val="left"/>
            </w:pPr>
            <w:r/>
            <w:r>
              <w:rPr>
                <w:rFonts w:ascii="Times New Roman" w:hAnsi="Times New Roman" w:eastAsia="宋体"/>
                <w:b w:val="0"/>
                <w:sz w:val="20"/>
              </w:rPr>
              <w:t>中度下降</w:t>
            </w:r>
          </w:p>
        </w:tc>
        <w:tc>
          <w:tcPr>
            <w:tcW w:type="dxa" w:w="1134"/>
            <w:vAlign w:val="center"/>
          </w:tcPr>
          <w:p>
            <w:pPr>
              <w:jc w:val="left"/>
            </w:pPr>
            <w:r/>
            <w:r>
              <w:rPr>
                <w:rFonts w:ascii="Times New Roman" w:hAnsi="Times New Roman" w:eastAsia="宋体"/>
                <w:b w:val="0"/>
                <w:sz w:val="20"/>
              </w:rPr>
              <w:t>-25°至-45°</w:t>
            </w:r>
          </w:p>
        </w:tc>
        <w:tc>
          <w:tcPr>
            <w:tcW w:type="dxa" w:w="1701"/>
            <w:vAlign w:val="center"/>
          </w:tcPr>
          <w:p>
            <w:pPr>
              <w:jc w:val="left"/>
            </w:pPr>
            <w:r/>
            <w:r>
              <w:rPr>
                <w:rFonts w:ascii="Times New Roman" w:hAnsi="Times New Roman" w:eastAsia="宋体"/>
                <w:b w:val="0"/>
                <w:sz w:val="20"/>
              </w:rPr>
              <w:t>标准空头趋势</w:t>
            </w:r>
          </w:p>
        </w:tc>
        <w:tc>
          <w:tcPr>
            <w:tcW w:type="dxa" w:w="1134"/>
            <w:vAlign w:val="center"/>
          </w:tcPr>
          <w:p>
            <w:pPr>
              <w:jc w:val="left"/>
            </w:pPr>
            <w:r/>
            <w:r>
              <w:rPr>
                <w:rFonts w:ascii="Times New Roman" w:hAnsi="Times New Roman" w:eastAsia="宋体"/>
                <w:b w:val="0"/>
                <w:sz w:val="20"/>
              </w:rPr>
              <w:t>强空头</w:t>
            </w:r>
          </w:p>
        </w:tc>
        <w:tc>
          <w:tcPr>
            <w:tcW w:type="dxa" w:w="2835"/>
            <w:vAlign w:val="center"/>
          </w:tcPr>
          <w:p>
            <w:pPr>
              <w:jc w:val="left"/>
            </w:pPr>
            <w:r/>
            <w:r>
              <w:rPr>
                <w:rFonts w:ascii="Times New Roman" w:hAnsi="Times New Roman" w:eastAsia="宋体"/>
                <w:b w:val="0"/>
                <w:sz w:val="20"/>
              </w:rPr>
              <w:t>空仓为主，坚决止损</w:t>
            </w:r>
          </w:p>
        </w:tc>
      </w:tr>
      <w:tr>
        <w:tc>
          <w:tcPr>
            <w:tcW w:type="dxa" w:w="1134"/>
            <w:vAlign w:val="center"/>
          </w:tcPr>
          <w:p>
            <w:pPr>
              <w:jc w:val="left"/>
            </w:pPr>
            <w:r/>
            <w:r>
              <w:rPr>
                <w:rFonts w:ascii="Times New Roman" w:hAnsi="Times New Roman" w:eastAsia="宋体"/>
                <w:b w:val="0"/>
                <w:sz w:val="20"/>
              </w:rPr>
              <w:t>陡峭下降</w:t>
            </w:r>
          </w:p>
        </w:tc>
        <w:tc>
          <w:tcPr>
            <w:tcW w:type="dxa" w:w="1134"/>
            <w:vAlign w:val="center"/>
          </w:tcPr>
          <w:p>
            <w:pPr>
              <w:jc w:val="left"/>
            </w:pPr>
            <w:r/>
            <w:r>
              <w:rPr>
                <w:rFonts w:ascii="Times New Roman" w:hAnsi="Times New Roman" w:eastAsia="宋体"/>
                <w:b w:val="0"/>
                <w:sz w:val="20"/>
              </w:rPr>
              <w:t>小于-45°</w:t>
            </w:r>
          </w:p>
        </w:tc>
        <w:tc>
          <w:tcPr>
            <w:tcW w:type="dxa" w:w="1701"/>
            <w:vAlign w:val="center"/>
          </w:tcPr>
          <w:p>
            <w:pPr>
              <w:jc w:val="left"/>
            </w:pPr>
            <w:r/>
            <w:r>
              <w:rPr>
                <w:rFonts w:ascii="Times New Roman" w:hAnsi="Times New Roman" w:eastAsia="宋体"/>
                <w:b w:val="0"/>
                <w:sz w:val="20"/>
              </w:rPr>
              <w:t>强空头，加速下跌中</w:t>
            </w:r>
          </w:p>
        </w:tc>
        <w:tc>
          <w:tcPr>
            <w:tcW w:type="dxa" w:w="1134"/>
            <w:vAlign w:val="center"/>
          </w:tcPr>
          <w:p>
            <w:pPr>
              <w:jc w:val="left"/>
            </w:pPr>
            <w:r/>
            <w:r>
              <w:rPr>
                <w:rFonts w:ascii="Times New Roman" w:hAnsi="Times New Roman" w:eastAsia="宋体"/>
                <w:b w:val="0"/>
                <w:sz w:val="20"/>
              </w:rPr>
              <w:t>极强空头</w:t>
            </w:r>
          </w:p>
        </w:tc>
        <w:tc>
          <w:tcPr>
            <w:tcW w:type="dxa" w:w="2835"/>
            <w:vAlign w:val="center"/>
          </w:tcPr>
          <w:p>
            <w:pPr>
              <w:jc w:val="left"/>
            </w:pPr>
            <w:r/>
            <w:r>
              <w:rPr>
                <w:rFonts w:ascii="Times New Roman" w:hAnsi="Times New Roman" w:eastAsia="宋体"/>
                <w:b w:val="0"/>
                <w:sz w:val="20"/>
              </w:rPr>
              <w:t>绝对空仓，不抄底</w:t>
            </w:r>
          </w:p>
        </w:tc>
      </w:tr>
    </w:tbl>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斜率的量化方法：(MA今日 - MA前N日) / MA前N日 × 100%。常用N取5-10日。斜率由正转负或由负转正是趋势反转的重要信号，应高度重视。</w:t>
            </w:r>
          </w:p>
        </w:tc>
      </w:tr>
    </w:tbl>
    <w:p>
      <w:pPr>
        <w:spacing w:before="280" w:after="160"/>
      </w:pPr>
      <w:r>
        <w:rPr>
          <w:rFonts w:ascii="Times New Roman" w:hAnsi="Times New Roman" w:eastAsia="微软雅黑"/>
          <w:b/>
          <w:color w:val="2E75B6"/>
          <w:sz w:val="26"/>
        </w:rPr>
        <w:t>2.3 股价与均线的位置关系</w:t>
      </w:r>
    </w:p>
    <w:p>
      <w:pPr>
        <w:spacing w:line="360" w:lineRule="auto" w:after="80"/>
        <w:ind w:firstLine="440"/>
      </w:pPr>
      <w:r>
        <w:rPr>
          <w:rFonts w:ascii="Times New Roman" w:hAnsi="Times New Roman" w:eastAsia="宋体"/>
          <w:b w:val="0"/>
          <w:sz w:val="22"/>
        </w:rPr>
        <w:t>股价相对于均线的位置是判断多空的最直观依据，也是均线作为『成本线』功能的直接体现。</w:t>
      </w:r>
    </w:p>
    <w:p>
      <w:pPr>
        <w:spacing w:before="200" w:after="120"/>
      </w:pPr>
      <w:r>
        <w:rPr>
          <w:rFonts w:ascii="Times New Roman" w:hAnsi="Times New Roman" w:eastAsia="微软雅黑"/>
          <w:b/>
          <w:color w:val="44546A"/>
          <w:sz w:val="24"/>
        </w:rPr>
        <w:t>2.3.1 股价在均线上方运行（多头格局）</w:t>
      </w:r>
    </w:p>
    <w:p>
      <w:pPr>
        <w:spacing w:line="360" w:lineRule="auto" w:after="80"/>
        <w:ind w:firstLine="440"/>
      </w:pPr>
      <w:r>
        <w:rPr>
          <w:rFonts w:ascii="Times New Roman" w:hAnsi="Times New Roman" w:eastAsia="宋体"/>
          <w:b w:val="0"/>
          <w:sz w:val="22"/>
        </w:rPr>
        <w:t>多头格局表明：该周期内的平均成本低于当前价格，大多数买入者处于盈利状态，惜售心理强，抛压轻。均线对股价形成支撑，每次回踩均线都是潜在的买入机会。</w:t>
      </w:r>
    </w:p>
    <w:p>
      <w:pPr>
        <w:spacing w:line="360" w:lineRule="auto" w:after="80"/>
        <w:ind w:firstLine="440"/>
      </w:pPr>
      <w:r>
        <w:rPr>
          <w:rFonts w:ascii="Times New Roman" w:hAnsi="Times New Roman" w:eastAsia="宋体"/>
          <w:b w:val="0"/>
          <w:sz w:val="22"/>
        </w:rPr>
        <w:t>支撑强度规律：均线周期越长，涉及的投资者人数越多，资金体量越大，支撑作用越强。MA250的支撑远比MA5的支撑厚重得多。这也是『长线均线优于短线均线』这一核心法则的物理基础。</w:t>
      </w:r>
    </w:p>
    <w:p>
      <w:pPr>
        <w:spacing w:before="200" w:after="120"/>
      </w:pPr>
      <w:r>
        <w:rPr>
          <w:rFonts w:ascii="Times New Roman" w:hAnsi="Times New Roman" w:eastAsia="微软雅黑"/>
          <w:b/>
          <w:color w:val="44546A"/>
          <w:sz w:val="24"/>
        </w:rPr>
        <w:t>2.3.2 股价在均线下方运行（空头格局）</w:t>
      </w:r>
    </w:p>
    <w:p>
      <w:pPr>
        <w:spacing w:line="360" w:lineRule="auto" w:after="80"/>
        <w:ind w:firstLine="440"/>
      </w:pPr>
      <w:r>
        <w:rPr>
          <w:rFonts w:ascii="Times New Roman" w:hAnsi="Times New Roman" w:eastAsia="宋体"/>
          <w:b w:val="0"/>
          <w:sz w:val="22"/>
        </w:rPr>
        <w:t>空头格局表明：该周期内的平均成本高于当前价格，大多数买入者处于亏损状态，解套心理强，抛压重。均线对股价形成压力，每次反弹至均线都是潜在的卖出机会。</w:t>
      </w:r>
    </w:p>
    <w:p>
      <w:pPr>
        <w:spacing w:before="200" w:after="120"/>
      </w:pPr>
      <w:r>
        <w:rPr>
          <w:rFonts w:ascii="Times New Roman" w:hAnsi="Times New Roman" w:eastAsia="微软雅黑"/>
          <w:b/>
          <w:color w:val="44546A"/>
          <w:sz w:val="24"/>
        </w:rPr>
        <w:t>2.3.3 股价围绕均线波动（震荡格局）</w:t>
      </w:r>
    </w:p>
    <w:p>
      <w:pPr>
        <w:spacing w:line="360" w:lineRule="auto" w:after="80"/>
        <w:ind w:firstLine="440"/>
      </w:pPr>
      <w:r>
        <w:rPr>
          <w:rFonts w:ascii="Times New Roman" w:hAnsi="Times New Roman" w:eastAsia="宋体"/>
          <w:b w:val="0"/>
          <w:sz w:val="22"/>
        </w:rPr>
        <w:t>多空力量基本平衡，市场方向不明。此时任何均线信号可靠性都会大幅下降，需要等待方向性突破。这种状态下最容易出现『假金叉—假死叉—假金叉』的反复洗盘，散户最容易亏损。正确策略：缩手观望，等待均线斜率明显化后再行动。</w:t>
      </w:r>
    </w:p>
    <w:p>
      <w:pPr>
        <w:spacing w:before="200" w:after="120"/>
      </w:pPr>
      <w:r>
        <w:rPr>
          <w:rFonts w:ascii="Times New Roman" w:hAnsi="Times New Roman" w:eastAsia="微软雅黑"/>
          <w:b/>
          <w:color w:val="44546A"/>
          <w:sz w:val="24"/>
        </w:rPr>
        <w:t>2.3.4 股价远离均线（极端状态）</w:t>
      </w:r>
    </w:p>
    <w:p>
      <w:pPr>
        <w:spacing w:line="360" w:lineRule="auto" w:after="80"/>
        <w:ind w:firstLine="440"/>
      </w:pPr>
      <w:r>
        <w:rPr>
          <w:rFonts w:ascii="Times New Roman" w:hAnsi="Times New Roman" w:eastAsia="宋体"/>
          <w:b w:val="0"/>
          <w:sz w:val="22"/>
        </w:rPr>
        <w:t>正乖离率过大（股价远离均线上方）：超买状态，短期存在向均线回归的压力；负乖离率过大（股价远离均线下方）：超卖状态，短期存在向均线反弹的动能。具体警戒值见第八章乖离率BIAS章节。</w:t>
      </w:r>
    </w:p>
    <w:p>
      <w:pPr>
        <w:spacing w:before="280" w:after="160"/>
      </w:pPr>
      <w:r>
        <w:rPr>
          <w:rFonts w:ascii="Times New Roman" w:hAnsi="Times New Roman" w:eastAsia="微软雅黑"/>
          <w:b/>
          <w:color w:val="2E75B6"/>
          <w:sz w:val="26"/>
        </w:rPr>
        <w:t>2.4 各周期均线的多空分界标准</w:t>
      </w:r>
    </w:p>
    <w:p>
      <w:pPr>
        <w:spacing w:line="360" w:lineRule="auto" w:after="80"/>
        <w:ind w:firstLine="440"/>
      </w:pPr>
      <w:r>
        <w:rPr>
          <w:rFonts w:ascii="Times New Roman" w:hAnsi="Times New Roman" w:eastAsia="宋体"/>
          <w:b w:val="0"/>
          <w:sz w:val="22"/>
        </w:rPr>
        <w:t>对于任何一条均线，判断其多空状态需要同时满足两个条件：（1）股价位置条件；（2）均线方向条件。仅满足其一的信号不够可靠。</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850"/>
            <w:shd w:fill="2E75B6"/>
            <w:vAlign w:val="center"/>
          </w:tcPr>
          <w:p>
            <w:pPr>
              <w:jc w:val="center"/>
            </w:pPr>
            <w:r/>
            <w:r>
              <w:rPr>
                <w:rFonts w:ascii="Times New Roman" w:hAnsi="Times New Roman" w:eastAsia="微软雅黑"/>
                <w:b/>
                <w:color w:val="FFFFFF"/>
                <w:sz w:val="20"/>
              </w:rPr>
              <w:t>均线</w:t>
            </w:r>
          </w:p>
        </w:tc>
        <w:tc>
          <w:tcPr>
            <w:tcW w:type="dxa" w:w="2551"/>
            <w:shd w:fill="2E75B6"/>
            <w:vAlign w:val="center"/>
          </w:tcPr>
          <w:p>
            <w:pPr>
              <w:jc w:val="center"/>
            </w:pPr>
            <w:r/>
            <w:r>
              <w:rPr>
                <w:rFonts w:ascii="Times New Roman" w:hAnsi="Times New Roman" w:eastAsia="微软雅黑"/>
                <w:b/>
                <w:color w:val="FFFFFF"/>
                <w:sz w:val="20"/>
              </w:rPr>
              <w:t>多头条件（同时满足）</w:t>
            </w:r>
          </w:p>
        </w:tc>
        <w:tc>
          <w:tcPr>
            <w:tcW w:type="dxa" w:w="2551"/>
            <w:shd w:fill="2E75B6"/>
            <w:vAlign w:val="center"/>
          </w:tcPr>
          <w:p>
            <w:pPr>
              <w:jc w:val="center"/>
            </w:pPr>
            <w:r/>
            <w:r>
              <w:rPr>
                <w:rFonts w:ascii="Times New Roman" w:hAnsi="Times New Roman" w:eastAsia="微软雅黑"/>
                <w:b/>
                <w:color w:val="FFFFFF"/>
                <w:sz w:val="20"/>
              </w:rPr>
              <w:t>空头条件（同时满足）</w:t>
            </w:r>
          </w:p>
        </w:tc>
        <w:tc>
          <w:tcPr>
            <w:tcW w:type="dxa" w:w="1134"/>
            <w:shd w:fill="2E75B6"/>
            <w:vAlign w:val="center"/>
          </w:tcPr>
          <w:p>
            <w:pPr>
              <w:jc w:val="center"/>
            </w:pPr>
            <w:r/>
            <w:r>
              <w:rPr>
                <w:rFonts w:ascii="Times New Roman" w:hAnsi="Times New Roman" w:eastAsia="微软雅黑"/>
                <w:b/>
                <w:color w:val="FFFFFF"/>
                <w:sz w:val="20"/>
              </w:rPr>
              <w:t>信号强度</w:t>
            </w:r>
          </w:p>
        </w:tc>
        <w:tc>
          <w:tcPr>
            <w:tcW w:type="dxa" w:w="1701"/>
            <w:shd w:fill="2E75B6"/>
            <w:vAlign w:val="center"/>
          </w:tcPr>
          <w:p>
            <w:pPr>
              <w:jc w:val="center"/>
            </w:pPr>
            <w:r/>
            <w:r>
              <w:rPr>
                <w:rFonts w:ascii="Times New Roman" w:hAnsi="Times New Roman" w:eastAsia="微软雅黑"/>
                <w:b/>
                <w:color w:val="FFFFFF"/>
                <w:sz w:val="20"/>
              </w:rPr>
              <w:t>主要作用</w:t>
            </w:r>
          </w:p>
        </w:tc>
      </w:tr>
      <w:tr>
        <w:tc>
          <w:tcPr>
            <w:tcW w:type="dxa" w:w="850"/>
            <w:vAlign w:val="center"/>
          </w:tcPr>
          <w:p>
            <w:pPr>
              <w:jc w:val="left"/>
            </w:pPr>
            <w:r/>
            <w:r>
              <w:rPr>
                <w:rFonts w:ascii="Times New Roman" w:hAnsi="Times New Roman" w:eastAsia="宋体"/>
                <w:b w:val="0"/>
                <w:sz w:val="20"/>
              </w:rPr>
              <w:t>MA5</w:t>
            </w:r>
          </w:p>
        </w:tc>
        <w:tc>
          <w:tcPr>
            <w:tcW w:type="dxa" w:w="2551"/>
            <w:vAlign w:val="center"/>
          </w:tcPr>
          <w:p>
            <w:pPr>
              <w:jc w:val="left"/>
            </w:pPr>
            <w:r/>
            <w:r>
              <w:rPr>
                <w:rFonts w:ascii="Times New Roman" w:hAnsi="Times New Roman" w:eastAsia="宋体"/>
                <w:b w:val="0"/>
                <w:sz w:val="20"/>
              </w:rPr>
              <w:t>股价站上MA5 且 MA5上行</w:t>
            </w:r>
          </w:p>
        </w:tc>
        <w:tc>
          <w:tcPr>
            <w:tcW w:type="dxa" w:w="2551"/>
            <w:vAlign w:val="center"/>
          </w:tcPr>
          <w:p>
            <w:pPr>
              <w:jc w:val="left"/>
            </w:pPr>
            <w:r/>
            <w:r>
              <w:rPr>
                <w:rFonts w:ascii="Times New Roman" w:hAnsi="Times New Roman" w:eastAsia="宋体"/>
                <w:b w:val="0"/>
                <w:sz w:val="20"/>
              </w:rPr>
              <w:t>股价跌破MA5 且 MA5下行</w:t>
            </w:r>
          </w:p>
        </w:tc>
        <w:tc>
          <w:tcPr>
            <w:tcW w:type="dxa" w:w="1134"/>
            <w:vAlign w:val="center"/>
          </w:tcPr>
          <w:p>
            <w:pPr>
              <w:jc w:val="left"/>
            </w:pPr>
            <w:r/>
            <w:r>
              <w:rPr>
                <w:rFonts w:ascii="Times New Roman" w:hAnsi="Times New Roman" w:eastAsia="宋体"/>
                <w:b w:val="0"/>
                <w:sz w:val="20"/>
              </w:rPr>
              <w:t>弱</w:t>
            </w:r>
          </w:p>
        </w:tc>
        <w:tc>
          <w:tcPr>
            <w:tcW w:type="dxa" w:w="1701"/>
            <w:vAlign w:val="center"/>
          </w:tcPr>
          <w:p>
            <w:pPr>
              <w:jc w:val="left"/>
            </w:pPr>
            <w:r/>
            <w:r>
              <w:rPr>
                <w:rFonts w:ascii="Times New Roman" w:hAnsi="Times New Roman" w:eastAsia="宋体"/>
                <w:b w:val="0"/>
                <w:sz w:val="20"/>
              </w:rPr>
              <w:t>超短线方向</w:t>
            </w:r>
          </w:p>
        </w:tc>
      </w:tr>
      <w:tr>
        <w:tc>
          <w:tcPr>
            <w:tcW w:type="dxa" w:w="850"/>
            <w:vAlign w:val="center"/>
          </w:tcPr>
          <w:p>
            <w:pPr>
              <w:jc w:val="left"/>
            </w:pPr>
            <w:r/>
            <w:r>
              <w:rPr>
                <w:rFonts w:ascii="Times New Roman" w:hAnsi="Times New Roman" w:eastAsia="宋体"/>
                <w:b w:val="0"/>
                <w:sz w:val="20"/>
              </w:rPr>
              <w:t>MA10</w:t>
            </w:r>
          </w:p>
        </w:tc>
        <w:tc>
          <w:tcPr>
            <w:tcW w:type="dxa" w:w="2551"/>
            <w:vAlign w:val="center"/>
          </w:tcPr>
          <w:p>
            <w:pPr>
              <w:jc w:val="left"/>
            </w:pPr>
            <w:r/>
            <w:r>
              <w:rPr>
                <w:rFonts w:ascii="Times New Roman" w:hAnsi="Times New Roman" w:eastAsia="宋体"/>
                <w:b w:val="0"/>
                <w:sz w:val="20"/>
              </w:rPr>
              <w:t>股价站上MA10 且 MA10上行</w:t>
            </w:r>
          </w:p>
        </w:tc>
        <w:tc>
          <w:tcPr>
            <w:tcW w:type="dxa" w:w="2551"/>
            <w:vAlign w:val="center"/>
          </w:tcPr>
          <w:p>
            <w:pPr>
              <w:jc w:val="left"/>
            </w:pPr>
            <w:r/>
            <w:r>
              <w:rPr>
                <w:rFonts w:ascii="Times New Roman" w:hAnsi="Times New Roman" w:eastAsia="宋体"/>
                <w:b w:val="0"/>
                <w:sz w:val="20"/>
              </w:rPr>
              <w:t>股价跌破MA10 且 MA10下行</w:t>
            </w:r>
          </w:p>
        </w:tc>
        <w:tc>
          <w:tcPr>
            <w:tcW w:type="dxa" w:w="1134"/>
            <w:vAlign w:val="center"/>
          </w:tcPr>
          <w:p>
            <w:pPr>
              <w:jc w:val="left"/>
            </w:pPr>
            <w:r/>
            <w:r>
              <w:rPr>
                <w:rFonts w:ascii="Times New Roman" w:hAnsi="Times New Roman" w:eastAsia="宋体"/>
                <w:b w:val="0"/>
                <w:sz w:val="20"/>
              </w:rPr>
              <w:t>较弱</w:t>
            </w:r>
          </w:p>
        </w:tc>
        <w:tc>
          <w:tcPr>
            <w:tcW w:type="dxa" w:w="1701"/>
            <w:vAlign w:val="center"/>
          </w:tcPr>
          <w:p>
            <w:pPr>
              <w:jc w:val="left"/>
            </w:pPr>
            <w:r/>
            <w:r>
              <w:rPr>
                <w:rFonts w:ascii="Times New Roman" w:hAnsi="Times New Roman" w:eastAsia="宋体"/>
                <w:b w:val="0"/>
                <w:sz w:val="20"/>
              </w:rPr>
              <w:t>短线方向</w:t>
            </w:r>
          </w:p>
        </w:tc>
      </w:tr>
      <w:tr>
        <w:tc>
          <w:tcPr>
            <w:tcW w:type="dxa" w:w="850"/>
            <w:vAlign w:val="center"/>
          </w:tcPr>
          <w:p>
            <w:pPr>
              <w:jc w:val="left"/>
            </w:pPr>
            <w:r/>
            <w:r>
              <w:rPr>
                <w:rFonts w:ascii="Times New Roman" w:hAnsi="Times New Roman" w:eastAsia="宋体"/>
                <w:b w:val="0"/>
                <w:sz w:val="20"/>
              </w:rPr>
              <w:t>MA20</w:t>
            </w:r>
          </w:p>
        </w:tc>
        <w:tc>
          <w:tcPr>
            <w:tcW w:type="dxa" w:w="2551"/>
            <w:vAlign w:val="center"/>
          </w:tcPr>
          <w:p>
            <w:pPr>
              <w:jc w:val="left"/>
            </w:pPr>
            <w:r/>
            <w:r>
              <w:rPr>
                <w:rFonts w:ascii="Times New Roman" w:hAnsi="Times New Roman" w:eastAsia="宋体"/>
                <w:b w:val="0"/>
                <w:sz w:val="20"/>
              </w:rPr>
              <w:t>股价站上MA20 且 MA20上行</w:t>
            </w:r>
          </w:p>
        </w:tc>
        <w:tc>
          <w:tcPr>
            <w:tcW w:type="dxa" w:w="2551"/>
            <w:vAlign w:val="center"/>
          </w:tcPr>
          <w:p>
            <w:pPr>
              <w:jc w:val="left"/>
            </w:pPr>
            <w:r/>
            <w:r>
              <w:rPr>
                <w:rFonts w:ascii="Times New Roman" w:hAnsi="Times New Roman" w:eastAsia="宋体"/>
                <w:b w:val="0"/>
                <w:sz w:val="20"/>
              </w:rPr>
              <w:t>股价跌破MA20 且 MA20下行</w:t>
            </w:r>
          </w:p>
        </w:tc>
        <w:tc>
          <w:tcPr>
            <w:tcW w:type="dxa" w:w="1134"/>
            <w:vAlign w:val="center"/>
          </w:tcPr>
          <w:p>
            <w:pPr>
              <w:jc w:val="left"/>
            </w:pPr>
            <w:r/>
            <w:r>
              <w:rPr>
                <w:rFonts w:ascii="Times New Roman" w:hAnsi="Times New Roman" w:eastAsia="宋体"/>
                <w:b w:val="0"/>
                <w:sz w:val="20"/>
              </w:rPr>
              <w:t>中等</w:t>
            </w:r>
          </w:p>
        </w:tc>
        <w:tc>
          <w:tcPr>
            <w:tcW w:type="dxa" w:w="1701"/>
            <w:vAlign w:val="center"/>
          </w:tcPr>
          <w:p>
            <w:pPr>
              <w:jc w:val="left"/>
            </w:pPr>
            <w:r/>
            <w:r>
              <w:rPr>
                <w:rFonts w:ascii="Times New Roman" w:hAnsi="Times New Roman" w:eastAsia="宋体"/>
                <w:b w:val="0"/>
                <w:sz w:val="20"/>
              </w:rPr>
              <w:t>短中线方向（关键）</w:t>
            </w:r>
          </w:p>
        </w:tc>
      </w:tr>
      <w:tr>
        <w:tc>
          <w:tcPr>
            <w:tcW w:type="dxa" w:w="850"/>
            <w:vAlign w:val="center"/>
          </w:tcPr>
          <w:p>
            <w:pPr>
              <w:jc w:val="left"/>
            </w:pPr>
            <w:r/>
            <w:r>
              <w:rPr>
                <w:rFonts w:ascii="Times New Roman" w:hAnsi="Times New Roman" w:eastAsia="宋体"/>
                <w:b w:val="0"/>
                <w:sz w:val="20"/>
              </w:rPr>
              <w:t>MA60</w:t>
            </w:r>
          </w:p>
        </w:tc>
        <w:tc>
          <w:tcPr>
            <w:tcW w:type="dxa" w:w="2551"/>
            <w:vAlign w:val="center"/>
          </w:tcPr>
          <w:p>
            <w:pPr>
              <w:jc w:val="left"/>
            </w:pPr>
            <w:r/>
            <w:r>
              <w:rPr>
                <w:rFonts w:ascii="Times New Roman" w:hAnsi="Times New Roman" w:eastAsia="宋体"/>
                <w:b w:val="0"/>
                <w:sz w:val="20"/>
              </w:rPr>
              <w:t>股价站上MA60 且 MA60上行</w:t>
            </w:r>
          </w:p>
        </w:tc>
        <w:tc>
          <w:tcPr>
            <w:tcW w:type="dxa" w:w="2551"/>
            <w:vAlign w:val="center"/>
          </w:tcPr>
          <w:p>
            <w:pPr>
              <w:jc w:val="left"/>
            </w:pPr>
            <w:r/>
            <w:r>
              <w:rPr>
                <w:rFonts w:ascii="Times New Roman" w:hAnsi="Times New Roman" w:eastAsia="宋体"/>
                <w:b w:val="0"/>
                <w:sz w:val="20"/>
              </w:rPr>
              <w:t>股价跌破MA60 且 MA60下行</w:t>
            </w:r>
          </w:p>
        </w:tc>
        <w:tc>
          <w:tcPr>
            <w:tcW w:type="dxa" w:w="1134"/>
            <w:vAlign w:val="center"/>
          </w:tcPr>
          <w:p>
            <w:pPr>
              <w:jc w:val="left"/>
            </w:pPr>
            <w:r/>
            <w:r>
              <w:rPr>
                <w:rFonts w:ascii="Times New Roman" w:hAnsi="Times New Roman" w:eastAsia="宋体"/>
                <w:b w:val="0"/>
                <w:sz w:val="20"/>
              </w:rPr>
              <w:t>较强</w:t>
            </w:r>
          </w:p>
        </w:tc>
        <w:tc>
          <w:tcPr>
            <w:tcW w:type="dxa" w:w="1701"/>
            <w:vAlign w:val="center"/>
          </w:tcPr>
          <w:p>
            <w:pPr>
              <w:jc w:val="left"/>
            </w:pPr>
            <w:r/>
            <w:r>
              <w:rPr>
                <w:rFonts w:ascii="Times New Roman" w:hAnsi="Times New Roman" w:eastAsia="宋体"/>
                <w:b w:val="0"/>
                <w:sz w:val="20"/>
              </w:rPr>
              <w:t>中期方向（庄家线）</w:t>
            </w:r>
          </w:p>
        </w:tc>
      </w:tr>
      <w:tr>
        <w:tc>
          <w:tcPr>
            <w:tcW w:type="dxa" w:w="850"/>
            <w:vAlign w:val="center"/>
          </w:tcPr>
          <w:p>
            <w:pPr>
              <w:jc w:val="left"/>
            </w:pPr>
            <w:r/>
            <w:r>
              <w:rPr>
                <w:rFonts w:ascii="Times New Roman" w:hAnsi="Times New Roman" w:eastAsia="宋体"/>
                <w:b w:val="0"/>
                <w:sz w:val="20"/>
              </w:rPr>
              <w:t>MA120</w:t>
            </w:r>
          </w:p>
        </w:tc>
        <w:tc>
          <w:tcPr>
            <w:tcW w:type="dxa" w:w="2551"/>
            <w:vAlign w:val="center"/>
          </w:tcPr>
          <w:p>
            <w:pPr>
              <w:jc w:val="left"/>
            </w:pPr>
            <w:r/>
            <w:r>
              <w:rPr>
                <w:rFonts w:ascii="Times New Roman" w:hAnsi="Times New Roman" w:eastAsia="宋体"/>
                <w:b w:val="0"/>
                <w:sz w:val="20"/>
              </w:rPr>
              <w:t>股价站上MA120 且 MA120上行</w:t>
            </w:r>
          </w:p>
        </w:tc>
        <w:tc>
          <w:tcPr>
            <w:tcW w:type="dxa" w:w="2551"/>
            <w:vAlign w:val="center"/>
          </w:tcPr>
          <w:p>
            <w:pPr>
              <w:jc w:val="left"/>
            </w:pPr>
            <w:r/>
            <w:r>
              <w:rPr>
                <w:rFonts w:ascii="Times New Roman" w:hAnsi="Times New Roman" w:eastAsia="宋体"/>
                <w:b w:val="0"/>
                <w:sz w:val="20"/>
              </w:rPr>
              <w:t>股价跌破MA120 且 MA120下行</w:t>
            </w:r>
          </w:p>
        </w:tc>
        <w:tc>
          <w:tcPr>
            <w:tcW w:type="dxa" w:w="1134"/>
            <w:vAlign w:val="center"/>
          </w:tcPr>
          <w:p>
            <w:pPr>
              <w:jc w:val="left"/>
            </w:pPr>
            <w:r/>
            <w:r>
              <w:rPr>
                <w:rFonts w:ascii="Times New Roman" w:hAnsi="Times New Roman" w:eastAsia="宋体"/>
                <w:b w:val="0"/>
                <w:sz w:val="20"/>
              </w:rPr>
              <w:t>强</w:t>
            </w:r>
          </w:p>
        </w:tc>
        <w:tc>
          <w:tcPr>
            <w:tcW w:type="dxa" w:w="1701"/>
            <w:vAlign w:val="center"/>
          </w:tcPr>
          <w:p>
            <w:pPr>
              <w:jc w:val="left"/>
            </w:pPr>
            <w:r/>
            <w:r>
              <w:rPr>
                <w:rFonts w:ascii="Times New Roman" w:hAnsi="Times New Roman" w:eastAsia="宋体"/>
                <w:b w:val="0"/>
                <w:sz w:val="20"/>
              </w:rPr>
              <w:t>中长期多空</w:t>
            </w:r>
          </w:p>
        </w:tc>
      </w:tr>
      <w:tr>
        <w:tc>
          <w:tcPr>
            <w:tcW w:type="dxa" w:w="850"/>
            <w:vAlign w:val="center"/>
          </w:tcPr>
          <w:p>
            <w:pPr>
              <w:jc w:val="left"/>
            </w:pPr>
            <w:r/>
            <w:r>
              <w:rPr>
                <w:rFonts w:ascii="Times New Roman" w:hAnsi="Times New Roman" w:eastAsia="宋体"/>
                <w:b w:val="0"/>
                <w:sz w:val="20"/>
              </w:rPr>
              <w:t>MA250</w:t>
            </w:r>
          </w:p>
        </w:tc>
        <w:tc>
          <w:tcPr>
            <w:tcW w:type="dxa" w:w="2551"/>
            <w:vAlign w:val="center"/>
          </w:tcPr>
          <w:p>
            <w:pPr>
              <w:jc w:val="left"/>
            </w:pPr>
            <w:r/>
            <w:r>
              <w:rPr>
                <w:rFonts w:ascii="Times New Roman" w:hAnsi="Times New Roman" w:eastAsia="宋体"/>
                <w:b w:val="0"/>
                <w:sz w:val="20"/>
              </w:rPr>
              <w:t>股价站上MA250 且 MA250上行</w:t>
            </w:r>
          </w:p>
        </w:tc>
        <w:tc>
          <w:tcPr>
            <w:tcW w:type="dxa" w:w="2551"/>
            <w:vAlign w:val="center"/>
          </w:tcPr>
          <w:p>
            <w:pPr>
              <w:jc w:val="left"/>
            </w:pPr>
            <w:r/>
            <w:r>
              <w:rPr>
                <w:rFonts w:ascii="Times New Roman" w:hAnsi="Times New Roman" w:eastAsia="宋体"/>
                <w:b w:val="0"/>
                <w:sz w:val="20"/>
              </w:rPr>
              <w:t>股价跌破MA250 且 MA250下行</w:t>
            </w:r>
          </w:p>
        </w:tc>
        <w:tc>
          <w:tcPr>
            <w:tcW w:type="dxa" w:w="1134"/>
            <w:vAlign w:val="center"/>
          </w:tcPr>
          <w:p>
            <w:pPr>
              <w:jc w:val="left"/>
            </w:pPr>
            <w:r/>
            <w:r>
              <w:rPr>
                <w:rFonts w:ascii="Times New Roman" w:hAnsi="Times New Roman" w:eastAsia="宋体"/>
                <w:b w:val="0"/>
                <w:sz w:val="20"/>
              </w:rPr>
              <w:t>极强</w:t>
            </w:r>
          </w:p>
        </w:tc>
        <w:tc>
          <w:tcPr>
            <w:tcW w:type="dxa" w:w="1701"/>
            <w:vAlign w:val="center"/>
          </w:tcPr>
          <w:p>
            <w:pPr>
              <w:jc w:val="left"/>
            </w:pPr>
            <w:r/>
            <w:r>
              <w:rPr>
                <w:rFonts w:ascii="Times New Roman" w:hAnsi="Times New Roman" w:eastAsia="宋体"/>
                <w:b w:val="0"/>
                <w:sz w:val="20"/>
              </w:rPr>
              <w:t>牛熊分界</w:t>
            </w:r>
          </w:p>
        </w:tc>
      </w:tr>
      <w:tr>
        <w:tc>
          <w:tcPr>
            <w:tcW w:type="dxa" w:w="850"/>
            <w:vAlign w:val="center"/>
          </w:tcPr>
          <w:p>
            <w:pPr>
              <w:jc w:val="left"/>
            </w:pPr>
            <w:r/>
            <w:r>
              <w:rPr>
                <w:rFonts w:ascii="Times New Roman" w:hAnsi="Times New Roman" w:eastAsia="宋体"/>
                <w:b w:val="0"/>
                <w:sz w:val="20"/>
              </w:rPr>
              <w:t>MA850</w:t>
            </w:r>
          </w:p>
        </w:tc>
        <w:tc>
          <w:tcPr>
            <w:tcW w:type="dxa" w:w="2551"/>
            <w:vAlign w:val="center"/>
          </w:tcPr>
          <w:p>
            <w:pPr>
              <w:jc w:val="left"/>
            </w:pPr>
            <w:r/>
            <w:r>
              <w:rPr>
                <w:rFonts w:ascii="Times New Roman" w:hAnsi="Times New Roman" w:eastAsia="宋体"/>
                <w:b w:val="0"/>
                <w:sz w:val="20"/>
              </w:rPr>
              <w:t>股价站上MA850 且 MA850上行</w:t>
            </w:r>
          </w:p>
        </w:tc>
        <w:tc>
          <w:tcPr>
            <w:tcW w:type="dxa" w:w="2551"/>
            <w:vAlign w:val="center"/>
          </w:tcPr>
          <w:p>
            <w:pPr>
              <w:jc w:val="left"/>
            </w:pPr>
            <w:r/>
            <w:r>
              <w:rPr>
                <w:rFonts w:ascii="Times New Roman" w:hAnsi="Times New Roman" w:eastAsia="宋体"/>
                <w:b w:val="0"/>
                <w:sz w:val="20"/>
              </w:rPr>
              <w:t>股价跌破MA850 且 MA850下行</w:t>
            </w:r>
          </w:p>
        </w:tc>
        <w:tc>
          <w:tcPr>
            <w:tcW w:type="dxa" w:w="1134"/>
            <w:vAlign w:val="center"/>
          </w:tcPr>
          <w:p>
            <w:pPr>
              <w:jc w:val="left"/>
            </w:pPr>
            <w:r/>
            <w:r>
              <w:rPr>
                <w:rFonts w:ascii="Times New Roman" w:hAnsi="Times New Roman" w:eastAsia="宋体"/>
                <w:b w:val="0"/>
                <w:sz w:val="20"/>
              </w:rPr>
              <w:t>极强</w:t>
            </w:r>
          </w:p>
        </w:tc>
        <w:tc>
          <w:tcPr>
            <w:tcW w:type="dxa" w:w="1701"/>
            <w:vAlign w:val="center"/>
          </w:tcPr>
          <w:p>
            <w:pPr>
              <w:jc w:val="left"/>
            </w:pPr>
            <w:r/>
            <w:r>
              <w:rPr>
                <w:rFonts w:ascii="Times New Roman" w:hAnsi="Times New Roman" w:eastAsia="宋体"/>
                <w:b w:val="0"/>
                <w:sz w:val="20"/>
              </w:rPr>
              <w:t>超长期周期</w:t>
            </w:r>
          </w:p>
        </w:tc>
      </w:tr>
    </w:tbl>
    <w:p>
      <w:r>
        <w:br w:type="page"/>
      </w:r>
    </w:p>
    <w:p>
      <w:pPr>
        <w:spacing w:before="400" w:after="240"/>
      </w:pPr>
      <w:r>
        <w:rPr>
          <w:rFonts w:ascii="Times New Roman" w:hAnsi="Times New Roman" w:eastAsia="微软雅黑"/>
          <w:b/>
          <w:color w:val="1F4E78"/>
          <w:sz w:val="32"/>
        </w:rPr>
        <w:t>第三章  均线交叉规则（金叉与死叉）</w:t>
      </w:r>
    </w:p>
    <w:p>
      <w:pPr>
        <w:spacing w:before="280" w:after="160"/>
      </w:pPr>
      <w:r>
        <w:rPr>
          <w:rFonts w:ascii="Times New Roman" w:hAnsi="Times New Roman" w:eastAsia="微软雅黑"/>
          <w:b/>
          <w:color w:val="2E75B6"/>
          <w:sz w:val="26"/>
        </w:rPr>
        <w:t>3.1 金叉（黄金交叉）体系</w:t>
      </w:r>
    </w:p>
    <w:p>
      <w:pPr>
        <w:spacing w:line="360" w:lineRule="auto" w:after="80"/>
        <w:ind w:firstLine="440"/>
      </w:pPr>
      <w:r>
        <w:rPr>
          <w:rFonts w:ascii="Times New Roman" w:hAnsi="Times New Roman" w:eastAsia="宋体"/>
          <w:b w:val="0"/>
          <w:sz w:val="22"/>
        </w:rPr>
        <w:t>金叉是指短期均线从下方向上穿越长期均线，是最经典的多头信号之一。金叉代表短期成本开始超过长期成本，标志着买方力量的阶段性胜出。</w:t>
      </w:r>
    </w:p>
    <w:p>
      <w:pPr>
        <w:spacing w:before="200" w:after="120"/>
      </w:pPr>
      <w:r>
        <w:rPr>
          <w:rFonts w:ascii="Times New Roman" w:hAnsi="Times New Roman" w:eastAsia="微软雅黑"/>
          <w:b/>
          <w:color w:val="44546A"/>
          <w:sz w:val="24"/>
        </w:rPr>
        <w:t>3.1.1 金叉的级别分类</w:t>
      </w:r>
    </w:p>
    <w:p>
      <w:pPr>
        <w:spacing w:line="360" w:lineRule="auto" w:after="80"/>
        <w:ind w:firstLine="440"/>
      </w:pPr>
      <w:r>
        <w:rPr>
          <w:rFonts w:ascii="Times New Roman" w:hAnsi="Times New Roman" w:eastAsia="宋体"/>
          <w:b w:val="0"/>
          <w:sz w:val="22"/>
        </w:rPr>
        <w:t>按参与交叉的均线周期不同，金叉可分为不同级别，级别越高，信号越强，持仓周期越长：</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134"/>
            <w:shd w:fill="2E75B6"/>
            <w:vAlign w:val="center"/>
          </w:tcPr>
          <w:p>
            <w:pPr>
              <w:jc w:val="center"/>
            </w:pPr>
            <w:r/>
            <w:r>
              <w:rPr>
                <w:rFonts w:ascii="Times New Roman" w:hAnsi="Times New Roman" w:eastAsia="微软雅黑"/>
                <w:b/>
                <w:color w:val="FFFFFF"/>
                <w:sz w:val="20"/>
              </w:rPr>
              <w:t>金叉级别</w:t>
            </w:r>
          </w:p>
        </w:tc>
        <w:tc>
          <w:tcPr>
            <w:tcW w:type="dxa" w:w="1701"/>
            <w:shd w:fill="2E75B6"/>
            <w:vAlign w:val="center"/>
          </w:tcPr>
          <w:p>
            <w:pPr>
              <w:jc w:val="center"/>
            </w:pPr>
            <w:r/>
            <w:r>
              <w:rPr>
                <w:rFonts w:ascii="Times New Roman" w:hAnsi="Times New Roman" w:eastAsia="微软雅黑"/>
                <w:b/>
                <w:color w:val="FFFFFF"/>
                <w:sz w:val="20"/>
              </w:rPr>
              <w:t>交叉均线示例</w:t>
            </w:r>
          </w:p>
        </w:tc>
        <w:tc>
          <w:tcPr>
            <w:tcW w:type="dxa" w:w="1417"/>
            <w:shd w:fill="2E75B6"/>
            <w:vAlign w:val="center"/>
          </w:tcPr>
          <w:p>
            <w:pPr>
              <w:jc w:val="center"/>
            </w:pPr>
            <w:r/>
            <w:r>
              <w:rPr>
                <w:rFonts w:ascii="Times New Roman" w:hAnsi="Times New Roman" w:eastAsia="微软雅黑"/>
                <w:b/>
                <w:color w:val="FFFFFF"/>
                <w:sz w:val="20"/>
              </w:rPr>
              <w:t>信号含义</w:t>
            </w:r>
          </w:p>
        </w:tc>
        <w:tc>
          <w:tcPr>
            <w:tcW w:type="dxa" w:w="1417"/>
            <w:shd w:fill="2E75B6"/>
            <w:vAlign w:val="center"/>
          </w:tcPr>
          <w:p>
            <w:pPr>
              <w:jc w:val="center"/>
            </w:pPr>
            <w:r/>
            <w:r>
              <w:rPr>
                <w:rFonts w:ascii="Times New Roman" w:hAnsi="Times New Roman" w:eastAsia="微软雅黑"/>
                <w:b/>
                <w:color w:val="FFFFFF"/>
                <w:sz w:val="20"/>
              </w:rPr>
              <w:t>可靠性</w:t>
            </w:r>
          </w:p>
        </w:tc>
        <w:tc>
          <w:tcPr>
            <w:tcW w:type="dxa" w:w="1134"/>
            <w:shd w:fill="2E75B6"/>
            <w:vAlign w:val="center"/>
          </w:tcPr>
          <w:p>
            <w:pPr>
              <w:jc w:val="center"/>
            </w:pPr>
            <w:r/>
            <w:r>
              <w:rPr>
                <w:rFonts w:ascii="Times New Roman" w:hAnsi="Times New Roman" w:eastAsia="微软雅黑"/>
                <w:b/>
                <w:color w:val="FFFFFF"/>
                <w:sz w:val="20"/>
              </w:rPr>
              <w:t>持仓周期</w:t>
            </w:r>
          </w:p>
        </w:tc>
        <w:tc>
          <w:tcPr>
            <w:tcW w:type="dxa" w:w="1134"/>
            <w:shd w:fill="2E75B6"/>
            <w:vAlign w:val="center"/>
          </w:tcPr>
          <w:p>
            <w:pPr>
              <w:jc w:val="center"/>
            </w:pPr>
            <w:r/>
            <w:r>
              <w:rPr>
                <w:rFonts w:ascii="Times New Roman" w:hAnsi="Times New Roman" w:eastAsia="微软雅黑"/>
                <w:b/>
                <w:color w:val="FFFFFF"/>
                <w:sz w:val="20"/>
              </w:rPr>
              <w:t>适用交易风格</w:t>
            </w:r>
          </w:p>
        </w:tc>
      </w:tr>
      <w:tr>
        <w:tc>
          <w:tcPr>
            <w:tcW w:type="dxa" w:w="1134"/>
            <w:vAlign w:val="center"/>
          </w:tcPr>
          <w:p>
            <w:pPr>
              <w:jc w:val="left"/>
            </w:pPr>
            <w:r/>
            <w:r>
              <w:rPr>
                <w:rFonts w:ascii="Times New Roman" w:hAnsi="Times New Roman" w:eastAsia="宋体"/>
                <w:b w:val="0"/>
                <w:sz w:val="20"/>
              </w:rPr>
              <w:t>短期金叉</w:t>
            </w:r>
          </w:p>
        </w:tc>
        <w:tc>
          <w:tcPr>
            <w:tcW w:type="dxa" w:w="1701"/>
            <w:vAlign w:val="center"/>
          </w:tcPr>
          <w:p>
            <w:pPr>
              <w:jc w:val="left"/>
            </w:pPr>
            <w:r/>
            <w:r>
              <w:rPr>
                <w:rFonts w:ascii="Times New Roman" w:hAnsi="Times New Roman" w:eastAsia="宋体"/>
                <w:b w:val="0"/>
                <w:sz w:val="20"/>
              </w:rPr>
              <w:t>MA5上穿MA10</w:t>
            </w:r>
          </w:p>
        </w:tc>
        <w:tc>
          <w:tcPr>
            <w:tcW w:type="dxa" w:w="1417"/>
            <w:vAlign w:val="center"/>
          </w:tcPr>
          <w:p>
            <w:pPr>
              <w:jc w:val="left"/>
            </w:pPr>
            <w:r/>
            <w:r>
              <w:rPr>
                <w:rFonts w:ascii="Times New Roman" w:hAnsi="Times New Roman" w:eastAsia="宋体"/>
                <w:b w:val="0"/>
                <w:sz w:val="20"/>
              </w:rPr>
              <w:t>短期多头启动</w:t>
            </w:r>
          </w:p>
        </w:tc>
        <w:tc>
          <w:tcPr>
            <w:tcW w:type="dxa" w:w="1417"/>
            <w:vAlign w:val="center"/>
          </w:tcPr>
          <w:p>
            <w:pPr>
              <w:jc w:val="left"/>
            </w:pPr>
            <w:r/>
            <w:r>
              <w:rPr>
                <w:rFonts w:ascii="Times New Roman" w:hAnsi="Times New Roman" w:eastAsia="宋体"/>
                <w:b w:val="0"/>
                <w:sz w:val="20"/>
              </w:rPr>
              <w:t>中等，易有假信号</w:t>
            </w:r>
          </w:p>
        </w:tc>
        <w:tc>
          <w:tcPr>
            <w:tcW w:type="dxa" w:w="1134"/>
            <w:vAlign w:val="center"/>
          </w:tcPr>
          <w:p>
            <w:pPr>
              <w:jc w:val="left"/>
            </w:pPr>
            <w:r/>
            <w:r>
              <w:rPr>
                <w:rFonts w:ascii="Times New Roman" w:hAnsi="Times New Roman" w:eastAsia="宋体"/>
                <w:b w:val="0"/>
                <w:sz w:val="20"/>
              </w:rPr>
              <w:t>3-10日</w:t>
            </w:r>
          </w:p>
        </w:tc>
        <w:tc>
          <w:tcPr>
            <w:tcW w:type="dxa" w:w="1134"/>
            <w:vAlign w:val="center"/>
          </w:tcPr>
          <w:p>
            <w:pPr>
              <w:jc w:val="left"/>
            </w:pPr>
            <w:r/>
            <w:r>
              <w:rPr>
                <w:rFonts w:ascii="Times New Roman" w:hAnsi="Times New Roman" w:eastAsia="宋体"/>
                <w:b w:val="0"/>
                <w:sz w:val="20"/>
              </w:rPr>
              <w:t>超短线</w:t>
            </w:r>
          </w:p>
        </w:tc>
      </w:tr>
      <w:tr>
        <w:tc>
          <w:tcPr>
            <w:tcW w:type="dxa" w:w="1134"/>
            <w:vAlign w:val="center"/>
          </w:tcPr>
          <w:p>
            <w:pPr>
              <w:jc w:val="left"/>
            </w:pPr>
            <w:r/>
            <w:r>
              <w:rPr>
                <w:rFonts w:ascii="Times New Roman" w:hAnsi="Times New Roman" w:eastAsia="宋体"/>
                <w:b w:val="0"/>
                <w:sz w:val="20"/>
              </w:rPr>
              <w:t>中短期金叉</w:t>
            </w:r>
          </w:p>
        </w:tc>
        <w:tc>
          <w:tcPr>
            <w:tcW w:type="dxa" w:w="1701"/>
            <w:vAlign w:val="center"/>
          </w:tcPr>
          <w:p>
            <w:pPr>
              <w:jc w:val="left"/>
            </w:pPr>
            <w:r/>
            <w:r>
              <w:rPr>
                <w:rFonts w:ascii="Times New Roman" w:hAnsi="Times New Roman" w:eastAsia="宋体"/>
                <w:b w:val="0"/>
                <w:sz w:val="20"/>
              </w:rPr>
              <w:t>MA10上穿MA20</w:t>
            </w:r>
          </w:p>
        </w:tc>
        <w:tc>
          <w:tcPr>
            <w:tcW w:type="dxa" w:w="1417"/>
            <w:vAlign w:val="center"/>
          </w:tcPr>
          <w:p>
            <w:pPr>
              <w:jc w:val="left"/>
            </w:pPr>
            <w:r/>
            <w:r>
              <w:rPr>
                <w:rFonts w:ascii="Times New Roman" w:hAnsi="Times New Roman" w:eastAsia="宋体"/>
                <w:b w:val="0"/>
                <w:sz w:val="20"/>
              </w:rPr>
              <w:t>中短期转多</w:t>
            </w:r>
          </w:p>
        </w:tc>
        <w:tc>
          <w:tcPr>
            <w:tcW w:type="dxa" w:w="1417"/>
            <w:vAlign w:val="center"/>
          </w:tcPr>
          <w:p>
            <w:pPr>
              <w:jc w:val="left"/>
            </w:pPr>
            <w:r/>
            <w:r>
              <w:rPr>
                <w:rFonts w:ascii="Times New Roman" w:hAnsi="Times New Roman" w:eastAsia="宋体"/>
                <w:b w:val="0"/>
                <w:sz w:val="20"/>
              </w:rPr>
              <w:t>较高</w:t>
            </w:r>
          </w:p>
        </w:tc>
        <w:tc>
          <w:tcPr>
            <w:tcW w:type="dxa" w:w="1134"/>
            <w:vAlign w:val="center"/>
          </w:tcPr>
          <w:p>
            <w:pPr>
              <w:jc w:val="left"/>
            </w:pPr>
            <w:r/>
            <w:r>
              <w:rPr>
                <w:rFonts w:ascii="Times New Roman" w:hAnsi="Times New Roman" w:eastAsia="宋体"/>
                <w:b w:val="0"/>
                <w:sz w:val="20"/>
              </w:rPr>
              <w:t>10-20日</w:t>
            </w:r>
          </w:p>
        </w:tc>
        <w:tc>
          <w:tcPr>
            <w:tcW w:type="dxa" w:w="1134"/>
            <w:vAlign w:val="center"/>
          </w:tcPr>
          <w:p>
            <w:pPr>
              <w:jc w:val="left"/>
            </w:pPr>
            <w:r/>
            <w:r>
              <w:rPr>
                <w:rFonts w:ascii="Times New Roman" w:hAnsi="Times New Roman" w:eastAsia="宋体"/>
                <w:b w:val="0"/>
                <w:sz w:val="20"/>
              </w:rPr>
              <w:t>短线</w:t>
            </w:r>
          </w:p>
        </w:tc>
      </w:tr>
      <w:tr>
        <w:tc>
          <w:tcPr>
            <w:tcW w:type="dxa" w:w="1134"/>
            <w:vAlign w:val="center"/>
          </w:tcPr>
          <w:p>
            <w:pPr>
              <w:jc w:val="left"/>
            </w:pPr>
            <w:r/>
            <w:r>
              <w:rPr>
                <w:rFonts w:ascii="Times New Roman" w:hAnsi="Times New Roman" w:eastAsia="宋体"/>
                <w:b w:val="0"/>
                <w:sz w:val="20"/>
              </w:rPr>
              <w:t>中期金叉</w:t>
            </w:r>
          </w:p>
        </w:tc>
        <w:tc>
          <w:tcPr>
            <w:tcW w:type="dxa" w:w="1701"/>
            <w:vAlign w:val="center"/>
          </w:tcPr>
          <w:p>
            <w:pPr>
              <w:jc w:val="left"/>
            </w:pPr>
            <w:r/>
            <w:r>
              <w:rPr>
                <w:rFonts w:ascii="Times New Roman" w:hAnsi="Times New Roman" w:eastAsia="宋体"/>
                <w:b w:val="0"/>
                <w:sz w:val="20"/>
              </w:rPr>
              <w:t>MA20上穿MA60</w:t>
            </w:r>
          </w:p>
        </w:tc>
        <w:tc>
          <w:tcPr>
            <w:tcW w:type="dxa" w:w="1417"/>
            <w:vAlign w:val="center"/>
          </w:tcPr>
          <w:p>
            <w:pPr>
              <w:jc w:val="left"/>
            </w:pPr>
            <w:r/>
            <w:r>
              <w:rPr>
                <w:rFonts w:ascii="Times New Roman" w:hAnsi="Times New Roman" w:eastAsia="宋体"/>
                <w:b w:val="0"/>
                <w:sz w:val="20"/>
              </w:rPr>
              <w:t>中期趋势反转</w:t>
            </w:r>
          </w:p>
        </w:tc>
        <w:tc>
          <w:tcPr>
            <w:tcW w:type="dxa" w:w="1417"/>
            <w:vAlign w:val="center"/>
          </w:tcPr>
          <w:p>
            <w:pPr>
              <w:jc w:val="left"/>
            </w:pPr>
            <w:r/>
            <w:r>
              <w:rPr>
                <w:rFonts w:ascii="Times New Roman" w:hAnsi="Times New Roman" w:eastAsia="宋体"/>
                <w:b w:val="0"/>
                <w:sz w:val="20"/>
              </w:rPr>
              <w:t>高</w:t>
            </w:r>
          </w:p>
        </w:tc>
        <w:tc>
          <w:tcPr>
            <w:tcW w:type="dxa" w:w="1134"/>
            <w:vAlign w:val="center"/>
          </w:tcPr>
          <w:p>
            <w:pPr>
              <w:jc w:val="left"/>
            </w:pPr>
            <w:r/>
            <w:r>
              <w:rPr>
                <w:rFonts w:ascii="Times New Roman" w:hAnsi="Times New Roman" w:eastAsia="宋体"/>
                <w:b w:val="0"/>
                <w:sz w:val="20"/>
              </w:rPr>
              <w:t>20-60日</w:t>
            </w:r>
          </w:p>
        </w:tc>
        <w:tc>
          <w:tcPr>
            <w:tcW w:type="dxa" w:w="1134"/>
            <w:vAlign w:val="center"/>
          </w:tcPr>
          <w:p>
            <w:pPr>
              <w:jc w:val="left"/>
            </w:pPr>
            <w:r/>
            <w:r>
              <w:rPr>
                <w:rFonts w:ascii="Times New Roman" w:hAnsi="Times New Roman" w:eastAsia="宋体"/>
                <w:b w:val="0"/>
                <w:sz w:val="20"/>
              </w:rPr>
              <w:t>中线</w:t>
            </w:r>
          </w:p>
        </w:tc>
      </w:tr>
      <w:tr>
        <w:tc>
          <w:tcPr>
            <w:tcW w:type="dxa" w:w="1134"/>
            <w:vAlign w:val="center"/>
          </w:tcPr>
          <w:p>
            <w:pPr>
              <w:jc w:val="left"/>
            </w:pPr>
            <w:r/>
            <w:r>
              <w:rPr>
                <w:rFonts w:ascii="Times New Roman" w:hAnsi="Times New Roman" w:eastAsia="宋体"/>
                <w:b w:val="0"/>
                <w:sz w:val="20"/>
              </w:rPr>
              <w:t>中长期金叉</w:t>
            </w:r>
          </w:p>
        </w:tc>
        <w:tc>
          <w:tcPr>
            <w:tcW w:type="dxa" w:w="1701"/>
            <w:vAlign w:val="center"/>
          </w:tcPr>
          <w:p>
            <w:pPr>
              <w:jc w:val="left"/>
            </w:pPr>
            <w:r/>
            <w:r>
              <w:rPr>
                <w:rFonts w:ascii="Times New Roman" w:hAnsi="Times New Roman" w:eastAsia="宋体"/>
                <w:b w:val="0"/>
                <w:sz w:val="20"/>
              </w:rPr>
              <w:t>MA60上穿MA120</w:t>
            </w:r>
          </w:p>
        </w:tc>
        <w:tc>
          <w:tcPr>
            <w:tcW w:type="dxa" w:w="1417"/>
            <w:vAlign w:val="center"/>
          </w:tcPr>
          <w:p>
            <w:pPr>
              <w:jc w:val="left"/>
            </w:pPr>
            <w:r/>
            <w:r>
              <w:rPr>
                <w:rFonts w:ascii="Times New Roman" w:hAnsi="Times New Roman" w:eastAsia="宋体"/>
                <w:b w:val="0"/>
                <w:sz w:val="20"/>
              </w:rPr>
              <w:t>中长期多头启动</w:t>
            </w:r>
          </w:p>
        </w:tc>
        <w:tc>
          <w:tcPr>
            <w:tcW w:type="dxa" w:w="1417"/>
            <w:vAlign w:val="center"/>
          </w:tcPr>
          <w:p>
            <w:pPr>
              <w:jc w:val="left"/>
            </w:pPr>
            <w:r/>
            <w:r>
              <w:rPr>
                <w:rFonts w:ascii="Times New Roman" w:hAnsi="Times New Roman" w:eastAsia="宋体"/>
                <w:b w:val="0"/>
                <w:sz w:val="20"/>
              </w:rPr>
              <w:t>很高</w:t>
            </w:r>
          </w:p>
        </w:tc>
        <w:tc>
          <w:tcPr>
            <w:tcW w:type="dxa" w:w="1134"/>
            <w:vAlign w:val="center"/>
          </w:tcPr>
          <w:p>
            <w:pPr>
              <w:jc w:val="left"/>
            </w:pPr>
            <w:r/>
            <w:r>
              <w:rPr>
                <w:rFonts w:ascii="Times New Roman" w:hAnsi="Times New Roman" w:eastAsia="宋体"/>
                <w:b w:val="0"/>
                <w:sz w:val="20"/>
              </w:rPr>
              <w:t>60-120日</w:t>
            </w:r>
          </w:p>
        </w:tc>
        <w:tc>
          <w:tcPr>
            <w:tcW w:type="dxa" w:w="1134"/>
            <w:vAlign w:val="center"/>
          </w:tcPr>
          <w:p>
            <w:pPr>
              <w:jc w:val="left"/>
            </w:pPr>
            <w:r/>
            <w:r>
              <w:rPr>
                <w:rFonts w:ascii="Times New Roman" w:hAnsi="Times New Roman" w:eastAsia="宋体"/>
                <w:b w:val="0"/>
                <w:sz w:val="20"/>
              </w:rPr>
              <w:t>中长线</w:t>
            </w:r>
          </w:p>
        </w:tc>
      </w:tr>
      <w:tr>
        <w:tc>
          <w:tcPr>
            <w:tcW w:type="dxa" w:w="1134"/>
            <w:vAlign w:val="center"/>
          </w:tcPr>
          <w:p>
            <w:pPr>
              <w:jc w:val="left"/>
            </w:pPr>
            <w:r/>
            <w:r>
              <w:rPr>
                <w:rFonts w:ascii="Times New Roman" w:hAnsi="Times New Roman" w:eastAsia="宋体"/>
                <w:b w:val="0"/>
                <w:sz w:val="20"/>
              </w:rPr>
              <w:t>长期金叉</w:t>
            </w:r>
          </w:p>
        </w:tc>
        <w:tc>
          <w:tcPr>
            <w:tcW w:type="dxa" w:w="1701"/>
            <w:vAlign w:val="center"/>
          </w:tcPr>
          <w:p>
            <w:pPr>
              <w:jc w:val="left"/>
            </w:pPr>
            <w:r/>
            <w:r>
              <w:rPr>
                <w:rFonts w:ascii="Times New Roman" w:hAnsi="Times New Roman" w:eastAsia="宋体"/>
                <w:b w:val="0"/>
                <w:sz w:val="20"/>
              </w:rPr>
              <w:t>MA120上穿MA250</w:t>
            </w:r>
          </w:p>
        </w:tc>
        <w:tc>
          <w:tcPr>
            <w:tcW w:type="dxa" w:w="1417"/>
            <w:vAlign w:val="center"/>
          </w:tcPr>
          <w:p>
            <w:pPr>
              <w:jc w:val="left"/>
            </w:pPr>
            <w:r/>
            <w:r>
              <w:rPr>
                <w:rFonts w:ascii="Times New Roman" w:hAnsi="Times New Roman" w:eastAsia="宋体"/>
                <w:b w:val="0"/>
                <w:sz w:val="20"/>
              </w:rPr>
              <w:t>长期牛市确认</w:t>
            </w:r>
          </w:p>
        </w:tc>
        <w:tc>
          <w:tcPr>
            <w:tcW w:type="dxa" w:w="1417"/>
            <w:vAlign w:val="center"/>
          </w:tcPr>
          <w:p>
            <w:pPr>
              <w:jc w:val="left"/>
            </w:pPr>
            <w:r/>
            <w:r>
              <w:rPr>
                <w:rFonts w:ascii="Times New Roman" w:hAnsi="Times New Roman" w:eastAsia="宋体"/>
                <w:b w:val="0"/>
                <w:sz w:val="20"/>
              </w:rPr>
              <w:t>极高</w:t>
            </w:r>
          </w:p>
        </w:tc>
        <w:tc>
          <w:tcPr>
            <w:tcW w:type="dxa" w:w="1134"/>
            <w:vAlign w:val="center"/>
          </w:tcPr>
          <w:p>
            <w:pPr>
              <w:jc w:val="left"/>
            </w:pPr>
            <w:r/>
            <w:r>
              <w:rPr>
                <w:rFonts w:ascii="Times New Roman" w:hAnsi="Times New Roman" w:eastAsia="宋体"/>
                <w:b w:val="0"/>
                <w:sz w:val="20"/>
              </w:rPr>
              <w:t>半年以上</w:t>
            </w:r>
          </w:p>
        </w:tc>
        <w:tc>
          <w:tcPr>
            <w:tcW w:type="dxa" w:w="1134"/>
            <w:vAlign w:val="center"/>
          </w:tcPr>
          <w:p>
            <w:pPr>
              <w:jc w:val="left"/>
            </w:pPr>
            <w:r/>
            <w:r>
              <w:rPr>
                <w:rFonts w:ascii="Times New Roman" w:hAnsi="Times New Roman" w:eastAsia="宋体"/>
                <w:b w:val="0"/>
                <w:sz w:val="20"/>
              </w:rPr>
              <w:t>长线</w:t>
            </w:r>
          </w:p>
        </w:tc>
      </w:tr>
      <w:tr>
        <w:tc>
          <w:tcPr>
            <w:tcW w:type="dxa" w:w="1134"/>
            <w:vAlign w:val="center"/>
          </w:tcPr>
          <w:p>
            <w:pPr>
              <w:jc w:val="left"/>
            </w:pPr>
            <w:r/>
            <w:r>
              <w:rPr>
                <w:rFonts w:ascii="Times New Roman" w:hAnsi="Times New Roman" w:eastAsia="宋体"/>
                <w:b w:val="0"/>
                <w:sz w:val="20"/>
              </w:rPr>
              <w:t>超长期金叉</w:t>
            </w:r>
          </w:p>
        </w:tc>
        <w:tc>
          <w:tcPr>
            <w:tcW w:type="dxa" w:w="1701"/>
            <w:vAlign w:val="center"/>
          </w:tcPr>
          <w:p>
            <w:pPr>
              <w:jc w:val="left"/>
            </w:pPr>
            <w:r/>
            <w:r>
              <w:rPr>
                <w:rFonts w:ascii="Times New Roman" w:hAnsi="Times New Roman" w:eastAsia="宋体"/>
                <w:b w:val="0"/>
                <w:sz w:val="20"/>
              </w:rPr>
              <w:t>MA250上穿MA850</w:t>
            </w:r>
          </w:p>
        </w:tc>
        <w:tc>
          <w:tcPr>
            <w:tcW w:type="dxa" w:w="1417"/>
            <w:vAlign w:val="center"/>
          </w:tcPr>
          <w:p>
            <w:pPr>
              <w:jc w:val="left"/>
            </w:pPr>
            <w:r/>
            <w:r>
              <w:rPr>
                <w:rFonts w:ascii="Times New Roman" w:hAnsi="Times New Roman" w:eastAsia="宋体"/>
                <w:b w:val="0"/>
                <w:sz w:val="20"/>
              </w:rPr>
              <w:t>超长期牛市</w:t>
            </w:r>
          </w:p>
        </w:tc>
        <w:tc>
          <w:tcPr>
            <w:tcW w:type="dxa" w:w="1417"/>
            <w:vAlign w:val="center"/>
          </w:tcPr>
          <w:p>
            <w:pPr>
              <w:jc w:val="left"/>
            </w:pPr>
            <w:r/>
            <w:r>
              <w:rPr>
                <w:rFonts w:ascii="Times New Roman" w:hAnsi="Times New Roman" w:eastAsia="宋体"/>
                <w:b w:val="0"/>
                <w:sz w:val="20"/>
              </w:rPr>
              <w:t>历史级别</w:t>
            </w:r>
          </w:p>
        </w:tc>
        <w:tc>
          <w:tcPr>
            <w:tcW w:type="dxa" w:w="1134"/>
            <w:vAlign w:val="center"/>
          </w:tcPr>
          <w:p>
            <w:pPr>
              <w:jc w:val="left"/>
            </w:pPr>
            <w:r/>
            <w:r>
              <w:rPr>
                <w:rFonts w:ascii="Times New Roman" w:hAnsi="Times New Roman" w:eastAsia="宋体"/>
                <w:b w:val="0"/>
                <w:sz w:val="20"/>
              </w:rPr>
              <w:t>数年</w:t>
            </w:r>
          </w:p>
        </w:tc>
        <w:tc>
          <w:tcPr>
            <w:tcW w:type="dxa" w:w="1134"/>
            <w:vAlign w:val="center"/>
          </w:tcPr>
          <w:p>
            <w:pPr>
              <w:jc w:val="left"/>
            </w:pPr>
            <w:r/>
            <w:r>
              <w:rPr>
                <w:rFonts w:ascii="Times New Roman" w:hAnsi="Times New Roman" w:eastAsia="宋体"/>
                <w:b w:val="0"/>
                <w:sz w:val="20"/>
              </w:rPr>
              <w:t>超长线</w:t>
            </w:r>
          </w:p>
        </w:tc>
      </w:tr>
    </w:tbl>
    <w:p>
      <w:pPr>
        <w:spacing w:before="200" w:after="120"/>
      </w:pPr>
      <w:r>
        <w:rPr>
          <w:rFonts w:ascii="Times New Roman" w:hAnsi="Times New Roman" w:eastAsia="微软雅黑"/>
          <w:b/>
          <w:color w:val="44546A"/>
          <w:sz w:val="24"/>
        </w:rPr>
        <w:t>3.1.2 金叉的强化条件（提高可靠性）</w:t>
      </w:r>
    </w:p>
    <w:p>
      <w:pPr>
        <w:spacing w:line="360" w:lineRule="auto" w:after="80"/>
        <w:ind w:firstLine="440"/>
      </w:pPr>
      <w:r>
        <w:rPr>
          <w:rFonts w:ascii="Times New Roman" w:hAnsi="Times New Roman" w:eastAsia="宋体"/>
          <w:b w:val="0"/>
          <w:sz w:val="22"/>
        </w:rPr>
        <w:t>以下条件的同时出现会显著提升金叉信号的可靠性：</w:t>
      </w:r>
    </w:p>
    <w:p>
      <w:pPr>
        <w:spacing w:line="360" w:lineRule="auto" w:after="80"/>
        <w:ind w:firstLine="440"/>
      </w:pPr>
      <w:r>
        <w:rPr>
          <w:rFonts w:ascii="Times New Roman" w:hAnsi="Times New Roman" w:eastAsia="宋体"/>
          <w:b w:val="0"/>
          <w:sz w:val="22"/>
        </w:rPr>
        <w:t>1. 成交量明显放大：交叉当日成交量 &gt; 前5日均量的1.5倍。资金认可突破，信号真实。</w:t>
      </w:r>
    </w:p>
    <w:p>
      <w:pPr>
        <w:spacing w:line="360" w:lineRule="auto" w:after="80"/>
        <w:ind w:firstLine="440"/>
      </w:pPr>
      <w:r>
        <w:rPr>
          <w:rFonts w:ascii="Times New Roman" w:hAnsi="Times New Roman" w:eastAsia="宋体"/>
          <w:b w:val="0"/>
          <w:sz w:val="22"/>
        </w:rPr>
        <w:t>2. 交叉角度较大：呈锐角上穿（短期均线斜率 &gt; 长期均线斜率的2倍以上）。多头力量强劲，趋势有力。</w:t>
      </w:r>
    </w:p>
    <w:p>
      <w:pPr>
        <w:spacing w:line="360" w:lineRule="auto" w:after="80"/>
        <w:ind w:firstLine="440"/>
      </w:pPr>
      <w:r>
        <w:rPr>
          <w:rFonts w:ascii="Times New Roman" w:hAnsi="Times New Roman" w:eastAsia="宋体"/>
          <w:b w:val="0"/>
          <w:sz w:val="22"/>
        </w:rPr>
        <w:t>3. 交叉位置：发生在重要支撑位附近（如前期低点、黄金分割位、重要均线上方）。双重确认，可靠性高。</w:t>
      </w:r>
    </w:p>
    <w:p>
      <w:pPr>
        <w:spacing w:line="360" w:lineRule="auto" w:after="80"/>
        <w:ind w:firstLine="440"/>
      </w:pPr>
      <w:r>
        <w:rPr>
          <w:rFonts w:ascii="Times New Roman" w:hAnsi="Times New Roman" w:eastAsia="宋体"/>
          <w:b w:val="0"/>
          <w:sz w:val="22"/>
        </w:rPr>
        <w:t>4. 连锁金叉：多条均线在相近时间内相继形成金叉。多时间维度共振，信号极强。</w:t>
      </w:r>
    </w:p>
    <w:p>
      <w:pPr>
        <w:spacing w:line="360" w:lineRule="auto" w:after="80"/>
        <w:ind w:firstLine="440"/>
      </w:pPr>
      <w:r>
        <w:rPr>
          <w:rFonts w:ascii="Times New Roman" w:hAnsi="Times New Roman" w:eastAsia="宋体"/>
          <w:b w:val="0"/>
          <w:sz w:val="22"/>
        </w:rPr>
        <w:t>5. 蓄势充分：价格在交叉前已有充分的调整（&gt;1个月横盘）和蓄势。基础扎实，突破可持续。</w:t>
      </w:r>
    </w:p>
    <w:p>
      <w:pPr>
        <w:spacing w:line="360" w:lineRule="auto" w:after="80"/>
        <w:ind w:firstLine="440"/>
      </w:pPr>
      <w:r>
        <w:rPr>
          <w:rFonts w:ascii="Times New Roman" w:hAnsi="Times New Roman" w:eastAsia="宋体"/>
          <w:b w:val="0"/>
          <w:sz w:val="22"/>
        </w:rPr>
        <w:t>6. 大趋势配合：发生在多头排列或趋势向上的大环境中。顺势交叉比逆势交叉可靠得多。</w:t>
      </w:r>
    </w:p>
    <w:p>
      <w:pPr>
        <w:spacing w:before="200" w:after="120"/>
      </w:pPr>
      <w:r>
        <w:rPr>
          <w:rFonts w:ascii="Times New Roman" w:hAnsi="Times New Roman" w:eastAsia="微软雅黑"/>
          <w:b/>
          <w:color w:val="44546A"/>
          <w:sz w:val="24"/>
        </w:rPr>
        <w:t>3.1.3 金叉的减弱条件（降低可靠性/可能假金叉）</w:t>
      </w:r>
    </w:p>
    <w:p>
      <w:pPr>
        <w:spacing w:line="360" w:lineRule="auto" w:after="80"/>
        <w:ind w:firstLine="440"/>
      </w:pPr>
      <w:r>
        <w:rPr>
          <w:rFonts w:ascii="Times New Roman" w:hAnsi="Times New Roman" w:eastAsia="宋体"/>
          <w:b w:val="0"/>
          <w:sz w:val="22"/>
        </w:rPr>
        <w:t>以下条件的出现则会削弱甚至否定金叉信号：</w:t>
      </w:r>
    </w:p>
    <w:p>
      <w:pPr>
        <w:spacing w:line="360" w:lineRule="auto" w:after="80"/>
        <w:ind w:firstLine="440"/>
      </w:pPr>
      <w:r>
        <w:rPr>
          <w:rFonts w:ascii="Times New Roman" w:hAnsi="Times New Roman" w:eastAsia="宋体"/>
          <w:b w:val="0"/>
          <w:sz w:val="22"/>
        </w:rPr>
        <w:t>1. 成交量萎靡：交叉点缺乏资金支撑，很可能是假突破。</w:t>
      </w:r>
    </w:p>
    <w:p>
      <w:pPr>
        <w:spacing w:line="360" w:lineRule="auto" w:after="80"/>
        <w:ind w:firstLine="440"/>
      </w:pPr>
      <w:r>
        <w:rPr>
          <w:rFonts w:ascii="Times New Roman" w:hAnsi="Times New Roman" w:eastAsia="宋体"/>
          <w:b w:val="0"/>
          <w:sz w:val="22"/>
        </w:rPr>
        <w:t>2. 角度平缓：近似平行的交叉，多头力量不足。</w:t>
      </w:r>
    </w:p>
    <w:p>
      <w:pPr>
        <w:spacing w:line="360" w:lineRule="auto" w:after="80"/>
        <w:ind w:firstLine="440"/>
      </w:pPr>
      <w:r>
        <w:rPr>
          <w:rFonts w:ascii="Times New Roman" w:hAnsi="Times New Roman" w:eastAsia="宋体"/>
          <w:b w:val="0"/>
          <w:sz w:val="22"/>
        </w:rPr>
        <w:t>3. 交叉后立即回落：交叉次日或2-3日内价格跌回交叉点下方，典型假金叉，应立即止损。</w:t>
      </w:r>
    </w:p>
    <w:p>
      <w:pPr>
        <w:spacing w:line="360" w:lineRule="auto" w:after="80"/>
        <w:ind w:firstLine="440"/>
      </w:pPr>
      <w:r>
        <w:rPr>
          <w:rFonts w:ascii="Times New Roman" w:hAnsi="Times New Roman" w:eastAsia="宋体"/>
          <w:b w:val="0"/>
          <w:sz w:val="22"/>
        </w:rPr>
        <w:t>4. 大趋势空头：整体处于空头排列中，金叉仅为反弹信号（下跌中继）。</w:t>
      </w:r>
    </w:p>
    <w:p>
      <w:pPr>
        <w:spacing w:line="360" w:lineRule="auto" w:after="80"/>
        <w:ind w:firstLine="440"/>
      </w:pPr>
      <w:r>
        <w:rPr>
          <w:rFonts w:ascii="Times New Roman" w:hAnsi="Times New Roman" w:eastAsia="宋体"/>
          <w:b w:val="0"/>
          <w:sz w:val="22"/>
        </w:rPr>
        <w:t>5. 长期均线仍向下：长期均线方向与金叉方向矛盾，逆势交叉不可靠。</w:t>
      </w:r>
    </w:p>
    <w:p>
      <w:pPr>
        <w:spacing w:before="280" w:after="160"/>
      </w:pPr>
      <w:r>
        <w:rPr>
          <w:rFonts w:ascii="Times New Roman" w:hAnsi="Times New Roman" w:eastAsia="微软雅黑"/>
          <w:b/>
          <w:color w:val="2E75B6"/>
          <w:sz w:val="26"/>
        </w:rPr>
        <w:t>3.2 死叉（死亡交叉）体系</w:t>
      </w:r>
    </w:p>
    <w:p>
      <w:pPr>
        <w:spacing w:line="360" w:lineRule="auto" w:after="80"/>
        <w:ind w:firstLine="440"/>
      </w:pPr>
      <w:r>
        <w:rPr>
          <w:rFonts w:ascii="Times New Roman" w:hAnsi="Times New Roman" w:eastAsia="宋体"/>
          <w:b w:val="0"/>
          <w:sz w:val="22"/>
        </w:rPr>
        <w:t>死叉是指短期均线从上方向下穿越长期均线，是最经典的空头信号之一。死叉代表短期成本开始低于长期成本，标志着卖方力量的阶段性胜出。</w:t>
      </w:r>
    </w:p>
    <w:p>
      <w:pPr>
        <w:spacing w:before="200" w:after="120"/>
      </w:pPr>
      <w:r>
        <w:rPr>
          <w:rFonts w:ascii="Times New Roman" w:hAnsi="Times New Roman" w:eastAsia="微软雅黑"/>
          <w:b/>
          <w:color w:val="44546A"/>
          <w:sz w:val="24"/>
        </w:rPr>
        <w:t>3.2.1 死叉的级别分类</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134"/>
            <w:shd w:fill="2E75B6"/>
            <w:vAlign w:val="center"/>
          </w:tcPr>
          <w:p>
            <w:pPr>
              <w:jc w:val="center"/>
            </w:pPr>
            <w:r/>
            <w:r>
              <w:rPr>
                <w:rFonts w:ascii="Times New Roman" w:hAnsi="Times New Roman" w:eastAsia="微软雅黑"/>
                <w:b/>
                <w:color w:val="FFFFFF"/>
                <w:sz w:val="20"/>
              </w:rPr>
              <w:t>死叉级别</w:t>
            </w:r>
          </w:p>
        </w:tc>
        <w:tc>
          <w:tcPr>
            <w:tcW w:type="dxa" w:w="1701"/>
            <w:shd w:fill="2E75B6"/>
            <w:vAlign w:val="center"/>
          </w:tcPr>
          <w:p>
            <w:pPr>
              <w:jc w:val="center"/>
            </w:pPr>
            <w:r/>
            <w:r>
              <w:rPr>
                <w:rFonts w:ascii="Times New Roman" w:hAnsi="Times New Roman" w:eastAsia="微软雅黑"/>
                <w:b/>
                <w:color w:val="FFFFFF"/>
                <w:sz w:val="20"/>
              </w:rPr>
              <w:t>交叉均线示例</w:t>
            </w:r>
          </w:p>
        </w:tc>
        <w:tc>
          <w:tcPr>
            <w:tcW w:type="dxa" w:w="1417"/>
            <w:shd w:fill="2E75B6"/>
            <w:vAlign w:val="center"/>
          </w:tcPr>
          <w:p>
            <w:pPr>
              <w:jc w:val="center"/>
            </w:pPr>
            <w:r/>
            <w:r>
              <w:rPr>
                <w:rFonts w:ascii="Times New Roman" w:hAnsi="Times New Roman" w:eastAsia="微软雅黑"/>
                <w:b/>
                <w:color w:val="FFFFFF"/>
                <w:sz w:val="20"/>
              </w:rPr>
              <w:t>信号含义</w:t>
            </w:r>
          </w:p>
        </w:tc>
        <w:tc>
          <w:tcPr>
            <w:tcW w:type="dxa" w:w="1417"/>
            <w:shd w:fill="2E75B6"/>
            <w:vAlign w:val="center"/>
          </w:tcPr>
          <w:p>
            <w:pPr>
              <w:jc w:val="center"/>
            </w:pPr>
            <w:r/>
            <w:r>
              <w:rPr>
                <w:rFonts w:ascii="Times New Roman" w:hAnsi="Times New Roman" w:eastAsia="微软雅黑"/>
                <w:b/>
                <w:color w:val="FFFFFF"/>
                <w:sz w:val="20"/>
              </w:rPr>
              <w:t>可靠性</w:t>
            </w:r>
          </w:p>
        </w:tc>
        <w:tc>
          <w:tcPr>
            <w:tcW w:type="dxa" w:w="1134"/>
            <w:shd w:fill="2E75B6"/>
            <w:vAlign w:val="center"/>
          </w:tcPr>
          <w:p>
            <w:pPr>
              <w:jc w:val="center"/>
            </w:pPr>
            <w:r/>
            <w:r>
              <w:rPr>
                <w:rFonts w:ascii="Times New Roman" w:hAnsi="Times New Roman" w:eastAsia="微软雅黑"/>
                <w:b/>
                <w:color w:val="FFFFFF"/>
                <w:sz w:val="20"/>
              </w:rPr>
              <w:t>风险等级</w:t>
            </w:r>
          </w:p>
        </w:tc>
        <w:tc>
          <w:tcPr>
            <w:tcW w:type="dxa" w:w="1134"/>
            <w:shd w:fill="2E75B6"/>
            <w:vAlign w:val="center"/>
          </w:tcPr>
          <w:p>
            <w:pPr>
              <w:jc w:val="center"/>
            </w:pPr>
            <w:r/>
            <w:r>
              <w:rPr>
                <w:rFonts w:ascii="Times New Roman" w:hAnsi="Times New Roman" w:eastAsia="微软雅黑"/>
                <w:b/>
                <w:color w:val="FFFFFF"/>
                <w:sz w:val="20"/>
              </w:rPr>
              <w:t>操作建议</w:t>
            </w:r>
          </w:p>
        </w:tc>
      </w:tr>
      <w:tr>
        <w:tc>
          <w:tcPr>
            <w:tcW w:type="dxa" w:w="1134"/>
            <w:vAlign w:val="center"/>
          </w:tcPr>
          <w:p>
            <w:pPr>
              <w:jc w:val="left"/>
            </w:pPr>
            <w:r/>
            <w:r>
              <w:rPr>
                <w:rFonts w:ascii="Times New Roman" w:hAnsi="Times New Roman" w:eastAsia="宋体"/>
                <w:b w:val="0"/>
                <w:sz w:val="20"/>
              </w:rPr>
              <w:t>短期死叉</w:t>
            </w:r>
          </w:p>
        </w:tc>
        <w:tc>
          <w:tcPr>
            <w:tcW w:type="dxa" w:w="1701"/>
            <w:vAlign w:val="center"/>
          </w:tcPr>
          <w:p>
            <w:pPr>
              <w:jc w:val="left"/>
            </w:pPr>
            <w:r/>
            <w:r>
              <w:rPr>
                <w:rFonts w:ascii="Times New Roman" w:hAnsi="Times New Roman" w:eastAsia="宋体"/>
                <w:b w:val="0"/>
                <w:sz w:val="20"/>
              </w:rPr>
              <w:t>MA5下穿MA10</w:t>
            </w:r>
          </w:p>
        </w:tc>
        <w:tc>
          <w:tcPr>
            <w:tcW w:type="dxa" w:w="1417"/>
            <w:vAlign w:val="center"/>
          </w:tcPr>
          <w:p>
            <w:pPr>
              <w:jc w:val="left"/>
            </w:pPr>
            <w:r/>
            <w:r>
              <w:rPr>
                <w:rFonts w:ascii="Times New Roman" w:hAnsi="Times New Roman" w:eastAsia="宋体"/>
                <w:b w:val="0"/>
                <w:sz w:val="20"/>
              </w:rPr>
              <w:t>短期空头启动</w:t>
            </w:r>
          </w:p>
        </w:tc>
        <w:tc>
          <w:tcPr>
            <w:tcW w:type="dxa" w:w="1417"/>
            <w:vAlign w:val="center"/>
          </w:tcPr>
          <w:p>
            <w:pPr>
              <w:jc w:val="left"/>
            </w:pPr>
            <w:r/>
            <w:r>
              <w:rPr>
                <w:rFonts w:ascii="Times New Roman" w:hAnsi="Times New Roman" w:eastAsia="宋体"/>
                <w:b w:val="0"/>
                <w:sz w:val="20"/>
              </w:rPr>
              <w:t>中等，可能是洗盘</w:t>
            </w:r>
          </w:p>
        </w:tc>
        <w:tc>
          <w:tcPr>
            <w:tcW w:type="dxa" w:w="1134"/>
            <w:vAlign w:val="center"/>
          </w:tcPr>
          <w:p>
            <w:pPr>
              <w:jc w:val="left"/>
            </w:pPr>
            <w:r/>
            <w:r>
              <w:rPr>
                <w:rFonts w:ascii="Times New Roman" w:hAnsi="Times New Roman" w:eastAsia="宋体"/>
                <w:b w:val="0"/>
                <w:sz w:val="20"/>
              </w:rPr>
              <w:t>低风险</w:t>
            </w:r>
          </w:p>
        </w:tc>
        <w:tc>
          <w:tcPr>
            <w:tcW w:type="dxa" w:w="1134"/>
            <w:vAlign w:val="center"/>
          </w:tcPr>
          <w:p>
            <w:pPr>
              <w:jc w:val="left"/>
            </w:pPr>
            <w:r/>
            <w:r>
              <w:rPr>
                <w:rFonts w:ascii="Times New Roman" w:hAnsi="Times New Roman" w:eastAsia="宋体"/>
                <w:b w:val="0"/>
                <w:sz w:val="20"/>
              </w:rPr>
              <w:t>观察，避免盲目减仓</w:t>
            </w:r>
          </w:p>
        </w:tc>
      </w:tr>
      <w:tr>
        <w:tc>
          <w:tcPr>
            <w:tcW w:type="dxa" w:w="1134"/>
            <w:vAlign w:val="center"/>
          </w:tcPr>
          <w:p>
            <w:pPr>
              <w:jc w:val="left"/>
            </w:pPr>
            <w:r/>
            <w:r>
              <w:rPr>
                <w:rFonts w:ascii="Times New Roman" w:hAnsi="Times New Roman" w:eastAsia="宋体"/>
                <w:b w:val="0"/>
                <w:sz w:val="20"/>
              </w:rPr>
              <w:t>中短期死叉</w:t>
            </w:r>
          </w:p>
        </w:tc>
        <w:tc>
          <w:tcPr>
            <w:tcW w:type="dxa" w:w="1701"/>
            <w:vAlign w:val="center"/>
          </w:tcPr>
          <w:p>
            <w:pPr>
              <w:jc w:val="left"/>
            </w:pPr>
            <w:r/>
            <w:r>
              <w:rPr>
                <w:rFonts w:ascii="Times New Roman" w:hAnsi="Times New Roman" w:eastAsia="宋体"/>
                <w:b w:val="0"/>
                <w:sz w:val="20"/>
              </w:rPr>
              <w:t>MA10下穿MA20</w:t>
            </w:r>
          </w:p>
        </w:tc>
        <w:tc>
          <w:tcPr>
            <w:tcW w:type="dxa" w:w="1417"/>
            <w:vAlign w:val="center"/>
          </w:tcPr>
          <w:p>
            <w:pPr>
              <w:jc w:val="left"/>
            </w:pPr>
            <w:r/>
            <w:r>
              <w:rPr>
                <w:rFonts w:ascii="Times New Roman" w:hAnsi="Times New Roman" w:eastAsia="宋体"/>
                <w:b w:val="0"/>
                <w:sz w:val="20"/>
              </w:rPr>
              <w:t>中短期转空</w:t>
            </w:r>
          </w:p>
        </w:tc>
        <w:tc>
          <w:tcPr>
            <w:tcW w:type="dxa" w:w="1417"/>
            <w:vAlign w:val="center"/>
          </w:tcPr>
          <w:p>
            <w:pPr>
              <w:jc w:val="left"/>
            </w:pPr>
            <w:r/>
            <w:r>
              <w:rPr>
                <w:rFonts w:ascii="Times New Roman" w:hAnsi="Times New Roman" w:eastAsia="宋体"/>
                <w:b w:val="0"/>
                <w:sz w:val="20"/>
              </w:rPr>
              <w:t>较高</w:t>
            </w:r>
          </w:p>
        </w:tc>
        <w:tc>
          <w:tcPr>
            <w:tcW w:type="dxa" w:w="1134"/>
            <w:vAlign w:val="center"/>
          </w:tcPr>
          <w:p>
            <w:pPr>
              <w:jc w:val="left"/>
            </w:pPr>
            <w:r/>
            <w:r>
              <w:rPr>
                <w:rFonts w:ascii="Times New Roman" w:hAnsi="Times New Roman" w:eastAsia="宋体"/>
                <w:b w:val="0"/>
                <w:sz w:val="20"/>
              </w:rPr>
              <w:t>中低风险</w:t>
            </w:r>
          </w:p>
        </w:tc>
        <w:tc>
          <w:tcPr>
            <w:tcW w:type="dxa" w:w="1134"/>
            <w:vAlign w:val="center"/>
          </w:tcPr>
          <w:p>
            <w:pPr>
              <w:jc w:val="left"/>
            </w:pPr>
            <w:r/>
            <w:r>
              <w:rPr>
                <w:rFonts w:ascii="Times New Roman" w:hAnsi="Times New Roman" w:eastAsia="宋体"/>
                <w:b w:val="0"/>
                <w:sz w:val="20"/>
              </w:rPr>
              <w:t>减仓50%</w:t>
            </w:r>
          </w:p>
        </w:tc>
      </w:tr>
      <w:tr>
        <w:tc>
          <w:tcPr>
            <w:tcW w:type="dxa" w:w="1134"/>
            <w:vAlign w:val="center"/>
          </w:tcPr>
          <w:p>
            <w:pPr>
              <w:jc w:val="left"/>
            </w:pPr>
            <w:r/>
            <w:r>
              <w:rPr>
                <w:rFonts w:ascii="Times New Roman" w:hAnsi="Times New Roman" w:eastAsia="宋体"/>
                <w:b w:val="0"/>
                <w:sz w:val="20"/>
              </w:rPr>
              <w:t>中期死叉</w:t>
            </w:r>
          </w:p>
        </w:tc>
        <w:tc>
          <w:tcPr>
            <w:tcW w:type="dxa" w:w="1701"/>
            <w:vAlign w:val="center"/>
          </w:tcPr>
          <w:p>
            <w:pPr>
              <w:jc w:val="left"/>
            </w:pPr>
            <w:r/>
            <w:r>
              <w:rPr>
                <w:rFonts w:ascii="Times New Roman" w:hAnsi="Times New Roman" w:eastAsia="宋体"/>
                <w:b w:val="0"/>
                <w:sz w:val="20"/>
              </w:rPr>
              <w:t>MA20下穿MA60</w:t>
            </w:r>
          </w:p>
        </w:tc>
        <w:tc>
          <w:tcPr>
            <w:tcW w:type="dxa" w:w="1417"/>
            <w:vAlign w:val="center"/>
          </w:tcPr>
          <w:p>
            <w:pPr>
              <w:jc w:val="left"/>
            </w:pPr>
            <w:r/>
            <w:r>
              <w:rPr>
                <w:rFonts w:ascii="Times New Roman" w:hAnsi="Times New Roman" w:eastAsia="宋体"/>
                <w:b w:val="0"/>
                <w:sz w:val="20"/>
              </w:rPr>
              <w:t>中期趋势反转</w:t>
            </w:r>
          </w:p>
        </w:tc>
        <w:tc>
          <w:tcPr>
            <w:tcW w:type="dxa" w:w="1417"/>
            <w:vAlign w:val="center"/>
          </w:tcPr>
          <w:p>
            <w:pPr>
              <w:jc w:val="left"/>
            </w:pPr>
            <w:r/>
            <w:r>
              <w:rPr>
                <w:rFonts w:ascii="Times New Roman" w:hAnsi="Times New Roman" w:eastAsia="宋体"/>
                <w:b w:val="0"/>
                <w:sz w:val="20"/>
              </w:rPr>
              <w:t>高</w:t>
            </w:r>
          </w:p>
        </w:tc>
        <w:tc>
          <w:tcPr>
            <w:tcW w:type="dxa" w:w="1134"/>
            <w:vAlign w:val="center"/>
          </w:tcPr>
          <w:p>
            <w:pPr>
              <w:jc w:val="left"/>
            </w:pPr>
            <w:r/>
            <w:r>
              <w:rPr>
                <w:rFonts w:ascii="Times New Roman" w:hAnsi="Times New Roman" w:eastAsia="宋体"/>
                <w:b w:val="0"/>
                <w:sz w:val="20"/>
              </w:rPr>
              <w:t>中风险</w:t>
            </w:r>
          </w:p>
        </w:tc>
        <w:tc>
          <w:tcPr>
            <w:tcW w:type="dxa" w:w="1134"/>
            <w:vAlign w:val="center"/>
          </w:tcPr>
          <w:p>
            <w:pPr>
              <w:jc w:val="left"/>
            </w:pPr>
            <w:r/>
            <w:r>
              <w:rPr>
                <w:rFonts w:ascii="Times New Roman" w:hAnsi="Times New Roman" w:eastAsia="宋体"/>
                <w:b w:val="0"/>
                <w:sz w:val="20"/>
              </w:rPr>
              <w:t>减至轻仓（30%）</w:t>
            </w:r>
          </w:p>
        </w:tc>
      </w:tr>
      <w:tr>
        <w:tc>
          <w:tcPr>
            <w:tcW w:type="dxa" w:w="1134"/>
            <w:vAlign w:val="center"/>
          </w:tcPr>
          <w:p>
            <w:pPr>
              <w:jc w:val="left"/>
            </w:pPr>
            <w:r/>
            <w:r>
              <w:rPr>
                <w:rFonts w:ascii="Times New Roman" w:hAnsi="Times New Roman" w:eastAsia="宋体"/>
                <w:b w:val="0"/>
                <w:sz w:val="20"/>
              </w:rPr>
              <w:t>中长期死叉</w:t>
            </w:r>
          </w:p>
        </w:tc>
        <w:tc>
          <w:tcPr>
            <w:tcW w:type="dxa" w:w="1701"/>
            <w:vAlign w:val="center"/>
          </w:tcPr>
          <w:p>
            <w:pPr>
              <w:jc w:val="left"/>
            </w:pPr>
            <w:r/>
            <w:r>
              <w:rPr>
                <w:rFonts w:ascii="Times New Roman" w:hAnsi="Times New Roman" w:eastAsia="宋体"/>
                <w:b w:val="0"/>
                <w:sz w:val="20"/>
              </w:rPr>
              <w:t>MA60下穿MA120</w:t>
            </w:r>
          </w:p>
        </w:tc>
        <w:tc>
          <w:tcPr>
            <w:tcW w:type="dxa" w:w="1417"/>
            <w:vAlign w:val="center"/>
          </w:tcPr>
          <w:p>
            <w:pPr>
              <w:jc w:val="left"/>
            </w:pPr>
            <w:r/>
            <w:r>
              <w:rPr>
                <w:rFonts w:ascii="Times New Roman" w:hAnsi="Times New Roman" w:eastAsia="宋体"/>
                <w:b w:val="0"/>
                <w:sz w:val="20"/>
              </w:rPr>
              <w:t>中长期空头确立</w:t>
            </w:r>
          </w:p>
        </w:tc>
        <w:tc>
          <w:tcPr>
            <w:tcW w:type="dxa" w:w="1417"/>
            <w:vAlign w:val="center"/>
          </w:tcPr>
          <w:p>
            <w:pPr>
              <w:jc w:val="left"/>
            </w:pPr>
            <w:r/>
            <w:r>
              <w:rPr>
                <w:rFonts w:ascii="Times New Roman" w:hAnsi="Times New Roman" w:eastAsia="宋体"/>
                <w:b w:val="0"/>
                <w:sz w:val="20"/>
              </w:rPr>
              <w:t>很高</w:t>
            </w:r>
          </w:p>
        </w:tc>
        <w:tc>
          <w:tcPr>
            <w:tcW w:type="dxa" w:w="1134"/>
            <w:vAlign w:val="center"/>
          </w:tcPr>
          <w:p>
            <w:pPr>
              <w:jc w:val="left"/>
            </w:pPr>
            <w:r/>
            <w:r>
              <w:rPr>
                <w:rFonts w:ascii="Times New Roman" w:hAnsi="Times New Roman" w:eastAsia="宋体"/>
                <w:b w:val="0"/>
                <w:sz w:val="20"/>
              </w:rPr>
              <w:t>高风险</w:t>
            </w:r>
          </w:p>
        </w:tc>
        <w:tc>
          <w:tcPr>
            <w:tcW w:type="dxa" w:w="1134"/>
            <w:vAlign w:val="center"/>
          </w:tcPr>
          <w:p>
            <w:pPr>
              <w:jc w:val="left"/>
            </w:pPr>
            <w:r/>
            <w:r>
              <w:rPr>
                <w:rFonts w:ascii="Times New Roman" w:hAnsi="Times New Roman" w:eastAsia="宋体"/>
                <w:b w:val="0"/>
                <w:sz w:val="20"/>
              </w:rPr>
              <w:t>清仓为主</w:t>
            </w:r>
          </w:p>
        </w:tc>
      </w:tr>
      <w:tr>
        <w:tc>
          <w:tcPr>
            <w:tcW w:type="dxa" w:w="1134"/>
            <w:vAlign w:val="center"/>
          </w:tcPr>
          <w:p>
            <w:pPr>
              <w:jc w:val="left"/>
            </w:pPr>
            <w:r/>
            <w:r>
              <w:rPr>
                <w:rFonts w:ascii="Times New Roman" w:hAnsi="Times New Roman" w:eastAsia="宋体"/>
                <w:b w:val="0"/>
                <w:sz w:val="20"/>
              </w:rPr>
              <w:t>长期死叉</w:t>
            </w:r>
          </w:p>
        </w:tc>
        <w:tc>
          <w:tcPr>
            <w:tcW w:type="dxa" w:w="1701"/>
            <w:vAlign w:val="center"/>
          </w:tcPr>
          <w:p>
            <w:pPr>
              <w:jc w:val="left"/>
            </w:pPr>
            <w:r/>
            <w:r>
              <w:rPr>
                <w:rFonts w:ascii="Times New Roman" w:hAnsi="Times New Roman" w:eastAsia="宋体"/>
                <w:b w:val="0"/>
                <w:sz w:val="20"/>
              </w:rPr>
              <w:t>MA120下穿MA250</w:t>
            </w:r>
          </w:p>
        </w:tc>
        <w:tc>
          <w:tcPr>
            <w:tcW w:type="dxa" w:w="1417"/>
            <w:vAlign w:val="center"/>
          </w:tcPr>
          <w:p>
            <w:pPr>
              <w:jc w:val="left"/>
            </w:pPr>
            <w:r/>
            <w:r>
              <w:rPr>
                <w:rFonts w:ascii="Times New Roman" w:hAnsi="Times New Roman" w:eastAsia="宋体"/>
                <w:b w:val="0"/>
                <w:sz w:val="20"/>
              </w:rPr>
              <w:t>熊市确认</w:t>
            </w:r>
          </w:p>
        </w:tc>
        <w:tc>
          <w:tcPr>
            <w:tcW w:type="dxa" w:w="1417"/>
            <w:vAlign w:val="center"/>
          </w:tcPr>
          <w:p>
            <w:pPr>
              <w:jc w:val="left"/>
            </w:pPr>
            <w:r/>
            <w:r>
              <w:rPr>
                <w:rFonts w:ascii="Times New Roman" w:hAnsi="Times New Roman" w:eastAsia="宋体"/>
                <w:b w:val="0"/>
                <w:sz w:val="20"/>
              </w:rPr>
              <w:t>极高</w:t>
            </w:r>
          </w:p>
        </w:tc>
        <w:tc>
          <w:tcPr>
            <w:tcW w:type="dxa" w:w="1134"/>
            <w:vAlign w:val="center"/>
          </w:tcPr>
          <w:p>
            <w:pPr>
              <w:jc w:val="left"/>
            </w:pPr>
            <w:r/>
            <w:r>
              <w:rPr>
                <w:rFonts w:ascii="Times New Roman" w:hAnsi="Times New Roman" w:eastAsia="宋体"/>
                <w:b w:val="0"/>
                <w:sz w:val="20"/>
              </w:rPr>
              <w:t>极高风险</w:t>
            </w:r>
          </w:p>
        </w:tc>
        <w:tc>
          <w:tcPr>
            <w:tcW w:type="dxa" w:w="1134"/>
            <w:vAlign w:val="center"/>
          </w:tcPr>
          <w:p>
            <w:pPr>
              <w:jc w:val="left"/>
            </w:pPr>
            <w:r/>
            <w:r>
              <w:rPr>
                <w:rFonts w:ascii="Times New Roman" w:hAnsi="Times New Roman" w:eastAsia="宋体"/>
                <w:b w:val="0"/>
                <w:sz w:val="20"/>
              </w:rPr>
              <w:t>绝对空仓</w:t>
            </w:r>
          </w:p>
        </w:tc>
      </w:tr>
      <w:tr>
        <w:tc>
          <w:tcPr>
            <w:tcW w:type="dxa" w:w="1134"/>
            <w:vAlign w:val="center"/>
          </w:tcPr>
          <w:p>
            <w:pPr>
              <w:jc w:val="left"/>
            </w:pPr>
            <w:r/>
            <w:r>
              <w:rPr>
                <w:rFonts w:ascii="Times New Roman" w:hAnsi="Times New Roman" w:eastAsia="宋体"/>
                <w:b w:val="0"/>
                <w:sz w:val="20"/>
              </w:rPr>
              <w:t>超长期死叉</w:t>
            </w:r>
          </w:p>
        </w:tc>
        <w:tc>
          <w:tcPr>
            <w:tcW w:type="dxa" w:w="1701"/>
            <w:vAlign w:val="center"/>
          </w:tcPr>
          <w:p>
            <w:pPr>
              <w:jc w:val="left"/>
            </w:pPr>
            <w:r/>
            <w:r>
              <w:rPr>
                <w:rFonts w:ascii="Times New Roman" w:hAnsi="Times New Roman" w:eastAsia="宋体"/>
                <w:b w:val="0"/>
                <w:sz w:val="20"/>
              </w:rPr>
              <w:t>MA250下穿MA850</w:t>
            </w:r>
          </w:p>
        </w:tc>
        <w:tc>
          <w:tcPr>
            <w:tcW w:type="dxa" w:w="1417"/>
            <w:vAlign w:val="center"/>
          </w:tcPr>
          <w:p>
            <w:pPr>
              <w:jc w:val="left"/>
            </w:pPr>
            <w:r/>
            <w:r>
              <w:rPr>
                <w:rFonts w:ascii="Times New Roman" w:hAnsi="Times New Roman" w:eastAsia="宋体"/>
                <w:b w:val="0"/>
                <w:sz w:val="20"/>
              </w:rPr>
              <w:t>大熊市确认</w:t>
            </w:r>
          </w:p>
        </w:tc>
        <w:tc>
          <w:tcPr>
            <w:tcW w:type="dxa" w:w="1417"/>
            <w:vAlign w:val="center"/>
          </w:tcPr>
          <w:p>
            <w:pPr>
              <w:jc w:val="left"/>
            </w:pPr>
            <w:r/>
            <w:r>
              <w:rPr>
                <w:rFonts w:ascii="Times New Roman" w:hAnsi="Times New Roman" w:eastAsia="宋体"/>
                <w:b w:val="0"/>
                <w:sz w:val="20"/>
              </w:rPr>
              <w:t>历史级别</w:t>
            </w:r>
          </w:p>
        </w:tc>
        <w:tc>
          <w:tcPr>
            <w:tcW w:type="dxa" w:w="1134"/>
            <w:vAlign w:val="center"/>
          </w:tcPr>
          <w:p>
            <w:pPr>
              <w:jc w:val="left"/>
            </w:pPr>
            <w:r/>
            <w:r>
              <w:rPr>
                <w:rFonts w:ascii="Times New Roman" w:hAnsi="Times New Roman" w:eastAsia="宋体"/>
                <w:b w:val="0"/>
                <w:sz w:val="20"/>
              </w:rPr>
              <w:t>系统性风险</w:t>
            </w:r>
          </w:p>
        </w:tc>
        <w:tc>
          <w:tcPr>
            <w:tcW w:type="dxa" w:w="1134"/>
            <w:vAlign w:val="center"/>
          </w:tcPr>
          <w:p>
            <w:pPr>
              <w:jc w:val="left"/>
            </w:pPr>
            <w:r/>
            <w:r>
              <w:rPr>
                <w:rFonts w:ascii="Times New Roman" w:hAnsi="Times New Roman" w:eastAsia="宋体"/>
                <w:b w:val="0"/>
                <w:sz w:val="20"/>
              </w:rPr>
              <w:t>规避系统性风险</w:t>
            </w:r>
          </w:p>
        </w:tc>
      </w:tr>
    </w:tbl>
    <w:p>
      <w:pPr>
        <w:spacing w:before="200" w:after="120"/>
      </w:pPr>
      <w:r>
        <w:rPr>
          <w:rFonts w:ascii="Times New Roman" w:hAnsi="Times New Roman" w:eastAsia="微软雅黑"/>
          <w:b/>
          <w:color w:val="44546A"/>
          <w:sz w:val="24"/>
        </w:rPr>
        <w:t>3.2.2 死叉的强化与减弱条件</w:t>
      </w:r>
    </w:p>
    <w:p>
      <w:pPr>
        <w:spacing w:line="360" w:lineRule="auto" w:after="80"/>
        <w:ind w:firstLine="440"/>
      </w:pPr>
      <w:r>
        <w:rPr>
          <w:rFonts w:ascii="Times New Roman" w:hAnsi="Times New Roman" w:eastAsia="宋体"/>
          <w:b w:val="0"/>
          <w:sz w:val="22"/>
        </w:rPr>
        <w:t>强化条件：放量下跌配合死叉、发生在顶部区域、大趋势已转弱、均线角度陡峭、多条均线连锁死叉。</w:t>
      </w:r>
    </w:p>
    <w:p>
      <w:pPr>
        <w:spacing w:line="360" w:lineRule="auto" w:after="80"/>
        <w:ind w:firstLine="440"/>
      </w:pPr>
      <w:r>
        <w:rPr>
          <w:rFonts w:ascii="Times New Roman" w:hAnsi="Times New Roman" w:eastAsia="宋体"/>
          <w:b w:val="0"/>
          <w:sz w:val="22"/>
        </w:rPr>
        <w:t>减弱条件：缩量死叉（可能是洗盘）、大趋势仍为多头（可能是中途震荡）、死叉后立即收复（假死叉）。</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重要区分：『死叉』与『跌破』不同。死叉是两条均线的交叉，跌破是价格与均线的关系。死叉通常滞后于跌破，但比跌破更可靠。</w:t>
            </w:r>
          </w:p>
        </w:tc>
      </w:tr>
    </w:tbl>
    <w:p>
      <w:pPr>
        <w:spacing w:before="280" w:after="160"/>
      </w:pPr>
      <w:r>
        <w:rPr>
          <w:rFonts w:ascii="Times New Roman" w:hAnsi="Times New Roman" w:eastAsia="微软雅黑"/>
          <w:b/>
          <w:color w:val="2E75B6"/>
          <w:sz w:val="26"/>
        </w:rPr>
        <w:t>3.3 交叉策略的量化创新研究</w:t>
      </w:r>
    </w:p>
    <w:p>
      <w:pPr>
        <w:spacing w:line="360" w:lineRule="auto" w:after="80"/>
        <w:ind w:firstLine="440"/>
      </w:pPr>
      <w:r>
        <w:rPr>
          <w:rFonts w:ascii="Times New Roman" w:hAnsi="Times New Roman" w:eastAsia="宋体"/>
          <w:b w:val="0"/>
          <w:sz w:val="22"/>
        </w:rPr>
        <w:t>根据广发证券《均线交叉策略的另类创新研究》（2015年7月）的系统研究，传统金叉/死叉策略的风险收益情况并不尽如人意，在不同参数下表现不稳定。研究团队提出了以下创新方向：</w:t>
      </w:r>
    </w:p>
    <w:p>
      <w:pPr>
        <w:spacing w:before="200" w:after="120"/>
      </w:pPr>
      <w:r>
        <w:rPr>
          <w:rFonts w:ascii="Times New Roman" w:hAnsi="Times New Roman" w:eastAsia="微软雅黑"/>
          <w:b/>
          <w:color w:val="44546A"/>
          <w:sz w:val="24"/>
        </w:rPr>
        <w:t>3.3.1 改进的平仓条件</w:t>
      </w:r>
    </w:p>
    <w:p>
      <w:pPr>
        <w:spacing w:line="360" w:lineRule="auto" w:after="80"/>
        <w:ind w:firstLine="440"/>
      </w:pPr>
      <w:r>
        <w:rPr>
          <w:rFonts w:ascii="Times New Roman" w:hAnsi="Times New Roman" w:eastAsia="宋体"/>
          <w:b w:val="0"/>
          <w:sz w:val="22"/>
        </w:rPr>
        <w:t>传统策略：金叉买入、死叉卖出（对称反转）。</w:t>
      </w:r>
    </w:p>
    <w:p>
      <w:pPr>
        <w:spacing w:line="360" w:lineRule="auto" w:after="80"/>
        <w:ind w:firstLine="440"/>
      </w:pPr>
      <w:r>
        <w:rPr>
          <w:rFonts w:ascii="Times New Roman" w:hAnsi="Times New Roman" w:eastAsia="宋体"/>
          <w:b w:val="0"/>
          <w:sz w:val="22"/>
        </w:rPr>
        <w:t>改进策略：引入『浮动止盈』机制。买入后，若价格继续上涨，将止盈位不断上移；一旦价格回落触及止盈位立即平仓，而非等待死叉。这等同于让利润奔跑、及时锁定收益。</w:t>
      </w:r>
    </w:p>
    <w:p>
      <w:pPr>
        <w:spacing w:line="360" w:lineRule="auto" w:after="80"/>
        <w:ind w:firstLine="440"/>
      </w:pPr>
      <w:r>
        <w:rPr>
          <w:rFonts w:ascii="Times New Roman" w:hAnsi="Times New Roman" w:eastAsia="宋体"/>
          <w:b w:val="0"/>
          <w:sz w:val="22"/>
        </w:rPr>
        <w:t>实证结果（沪深300股指期货10分钟行情）：改进策略年化收益率约24%，盈亏比显著高于传统策略。</w:t>
      </w:r>
    </w:p>
    <w:p>
      <w:pPr>
        <w:spacing w:before="200" w:after="120"/>
      </w:pPr>
      <w:r>
        <w:rPr>
          <w:rFonts w:ascii="Times New Roman" w:hAnsi="Times New Roman" w:eastAsia="微软雅黑"/>
          <w:b/>
          <w:color w:val="44546A"/>
          <w:sz w:val="24"/>
        </w:rPr>
        <w:t>3.3.2 参数与均线类型的最优组合</w:t>
      </w:r>
    </w:p>
    <w:p>
      <w:pPr>
        <w:spacing w:line="360" w:lineRule="auto" w:after="80"/>
        <w:ind w:firstLine="440"/>
      </w:pPr>
      <w:r>
        <w:rPr>
          <w:rFonts w:ascii="Times New Roman" w:hAnsi="Times New Roman" w:eastAsia="宋体"/>
          <w:b w:val="0"/>
          <w:sz w:val="22"/>
        </w:rPr>
        <w:t>研究对SMA、EMA、WMA、LLT四种均线类型，以及5、10、20、30、60、120、240七个周期两两组合进行了全面回测。主要发现：</w:t>
      </w:r>
    </w:p>
    <w:p>
      <w:pPr>
        <w:spacing w:line="360" w:lineRule="auto" w:after="80"/>
        <w:ind w:firstLine="440"/>
      </w:pPr>
      <w:r>
        <w:rPr>
          <w:rFonts w:ascii="Times New Roman" w:hAnsi="Times New Roman" w:eastAsia="宋体"/>
          <w:b w:val="0"/>
          <w:sz w:val="22"/>
        </w:rPr>
        <w:t>• 对绝大多数参数组合，改进策略的表现明显胜于传统策略。</w:t>
      </w:r>
    </w:p>
    <w:p>
      <w:pPr>
        <w:spacing w:line="360" w:lineRule="auto" w:after="80"/>
        <w:ind w:firstLine="440"/>
      </w:pPr>
      <w:r>
        <w:rPr>
          <w:rFonts w:ascii="Times New Roman" w:hAnsi="Times New Roman" w:eastAsia="宋体"/>
          <w:b w:val="0"/>
          <w:sz w:val="22"/>
        </w:rPr>
        <w:t>• 不同参数下有不同的最优均线类型：短周期组合偏好LLT（低延迟优势明显）；中周期组合EMA与WMA表现相近；长周期组合SMA依然稳健。</w:t>
      </w:r>
    </w:p>
    <w:p>
      <w:pPr>
        <w:spacing w:line="360" w:lineRule="auto" w:after="80"/>
        <w:ind w:firstLine="440"/>
      </w:pPr>
      <w:r>
        <w:rPr>
          <w:rFonts w:ascii="Times New Roman" w:hAnsi="Times New Roman" w:eastAsia="宋体"/>
          <w:b w:val="0"/>
          <w:sz w:val="22"/>
        </w:rPr>
        <w:t>• SMA60/SMA120、WMA60/WMA120 在日线级别表现最佳；LLT60/LLT120 在高频行情下最优。</w:t>
      </w:r>
    </w:p>
    <w:p>
      <w:pPr>
        <w:spacing w:before="200" w:after="120"/>
      </w:pPr>
      <w:r>
        <w:rPr>
          <w:rFonts w:ascii="Times New Roman" w:hAnsi="Times New Roman" w:eastAsia="微软雅黑"/>
          <w:b/>
          <w:color w:val="44546A"/>
          <w:sz w:val="24"/>
        </w:rPr>
        <w:t>3.3.3 实战可行的优化建议</w:t>
      </w:r>
    </w:p>
    <w:p>
      <w:pPr>
        <w:spacing w:line="360" w:lineRule="auto" w:after="80"/>
        <w:ind w:firstLine="440"/>
      </w:pPr>
      <w:r>
        <w:rPr>
          <w:rFonts w:ascii="Times New Roman" w:hAnsi="Times New Roman" w:eastAsia="宋体"/>
          <w:b w:val="0"/>
          <w:sz w:val="22"/>
        </w:rPr>
        <w:t>1. 预判交叉法：当两条均线间距持续缩小时，提前预判交叉形成，在交叉确认前布局，可减少滞后带来的利润损失。</w:t>
      </w:r>
    </w:p>
    <w:p>
      <w:pPr>
        <w:spacing w:line="360" w:lineRule="auto" w:after="80"/>
        <w:ind w:firstLine="440"/>
      </w:pPr>
      <w:r>
        <w:rPr>
          <w:rFonts w:ascii="Times New Roman" w:hAnsi="Times New Roman" w:eastAsia="宋体"/>
          <w:b w:val="0"/>
          <w:sz w:val="22"/>
        </w:rPr>
        <w:t>2. 多重交叉确认法：等待短期、中期均线同时形成金叉或死叉，即『连锁交叉』出现时再行动，可大幅提高信号可靠性。</w:t>
      </w:r>
    </w:p>
    <w:p>
      <w:pPr>
        <w:spacing w:line="360" w:lineRule="auto" w:after="80"/>
        <w:ind w:firstLine="440"/>
      </w:pPr>
      <w:r>
        <w:rPr>
          <w:rFonts w:ascii="Times New Roman" w:hAnsi="Times New Roman" w:eastAsia="宋体"/>
          <w:b w:val="0"/>
          <w:sz w:val="22"/>
        </w:rPr>
        <w:t>3. 交叉角度过滤法：设定最小交叉角度（如不低于30度），过滤掉角度过于平缓的假交叉信号。</w:t>
      </w:r>
    </w:p>
    <w:p>
      <w:pPr>
        <w:spacing w:line="360" w:lineRule="auto" w:after="80"/>
        <w:ind w:firstLine="440"/>
      </w:pPr>
      <w:r>
        <w:rPr>
          <w:rFonts w:ascii="Times New Roman" w:hAnsi="Times New Roman" w:eastAsia="宋体"/>
          <w:b w:val="0"/>
          <w:sz w:val="22"/>
        </w:rPr>
        <w:t>4. 成交量过滤法：要求交叉日成交量达到前5日平均成交量的1.5倍以上，才确认交叉信号有效。</w:t>
      </w:r>
    </w:p>
    <w:p>
      <w:pPr>
        <w:spacing w:line="360" w:lineRule="auto" w:after="80"/>
        <w:ind w:firstLine="440"/>
      </w:pPr>
      <w:r>
        <w:rPr>
          <w:rFonts w:ascii="Times New Roman" w:hAnsi="Times New Roman" w:eastAsia="宋体"/>
          <w:b w:val="0"/>
          <w:sz w:val="22"/>
        </w:rPr>
        <w:t>5. 浮动止盈法：结合ATR（真实波幅）设定动态止盈位，让利润充分奔跑。</w:t>
      </w:r>
    </w:p>
    <w:p>
      <w:r>
        <w:br w:type="page"/>
      </w:r>
    </w:p>
    <w:p>
      <w:pPr>
        <w:spacing w:before="400" w:after="240"/>
      </w:pPr>
      <w:r>
        <w:rPr>
          <w:rFonts w:ascii="Times New Roman" w:hAnsi="Times New Roman" w:eastAsia="微软雅黑"/>
          <w:b/>
          <w:color w:val="1F4E78"/>
          <w:sz w:val="32"/>
        </w:rPr>
        <w:t>第四章  均线排列多空判读</w:t>
      </w:r>
    </w:p>
    <w:p>
      <w:pPr>
        <w:spacing w:before="280" w:after="160"/>
      </w:pPr>
      <w:r>
        <w:rPr>
          <w:rFonts w:ascii="Times New Roman" w:hAnsi="Times New Roman" w:eastAsia="微软雅黑"/>
          <w:b/>
          <w:color w:val="2E75B6"/>
          <w:sz w:val="26"/>
        </w:rPr>
        <w:t>4.1 多头排列的标准与分级</w:t>
      </w:r>
    </w:p>
    <w:p>
      <w:pPr>
        <w:spacing w:line="360" w:lineRule="auto" w:after="80"/>
        <w:ind w:firstLine="440"/>
      </w:pPr>
      <w:r>
        <w:rPr>
          <w:rFonts w:ascii="Times New Roman" w:hAnsi="Times New Roman" w:eastAsia="宋体"/>
          <w:b w:val="0"/>
          <w:sz w:val="22"/>
        </w:rPr>
        <w:t>多头排列是均线系统中最经典的多头形态，指短期均线在上、中期均线居中、长期均线在下，且所有均线均向上运行的排列状态。多头排列是『趋势』的可视化呈现，比任何单一信号都更可靠。</w:t>
      </w:r>
    </w:p>
    <w:p>
      <w:pPr>
        <w:spacing w:before="200" w:after="120"/>
      </w:pPr>
      <w:r>
        <w:rPr>
          <w:rFonts w:ascii="Times New Roman" w:hAnsi="Times New Roman" w:eastAsia="微软雅黑"/>
          <w:b/>
          <w:color w:val="44546A"/>
          <w:sz w:val="24"/>
        </w:rPr>
        <w:t>4.1.1 标准多头排列的判断条件</w:t>
      </w:r>
    </w:p>
    <w:p>
      <w:pPr>
        <w:spacing w:line="360" w:lineRule="auto" w:after="80"/>
        <w:ind w:firstLine="440"/>
      </w:pPr>
      <w:r>
        <w:rPr>
          <w:rFonts w:ascii="Times New Roman" w:hAnsi="Times New Roman" w:eastAsia="宋体"/>
          <w:b w:val="0"/>
          <w:sz w:val="22"/>
        </w:rPr>
        <w:t>完整多头排列要求三个条件同时满足：</w:t>
      </w:r>
    </w:p>
    <w:p>
      <w:pPr>
        <w:spacing w:line="360" w:lineRule="auto" w:after="80"/>
        <w:ind w:firstLine="440"/>
      </w:pPr>
      <w:r>
        <w:rPr>
          <w:rFonts w:ascii="Times New Roman" w:hAnsi="Times New Roman" w:eastAsia="宋体"/>
          <w:b w:val="0"/>
          <w:sz w:val="22"/>
        </w:rPr>
        <w:t>1. 排序条件：MA5 &gt; MA10 &gt; MA20 &gt; MA60 &gt; MA120 &gt; MA250，即周期越短的均线位置越高。</w:t>
      </w:r>
    </w:p>
    <w:p>
      <w:pPr>
        <w:spacing w:line="360" w:lineRule="auto" w:after="80"/>
        <w:ind w:firstLine="440"/>
      </w:pPr>
      <w:r>
        <w:rPr>
          <w:rFonts w:ascii="Times New Roman" w:hAnsi="Times New Roman" w:eastAsia="宋体"/>
          <w:b w:val="0"/>
          <w:sz w:val="22"/>
        </w:rPr>
        <w:t>2. 方向条件：所有均线方向均向上（斜率为正）。</w:t>
      </w:r>
    </w:p>
    <w:p>
      <w:pPr>
        <w:spacing w:line="360" w:lineRule="auto" w:after="80"/>
        <w:ind w:firstLine="440"/>
      </w:pPr>
      <w:r>
        <w:rPr>
          <w:rFonts w:ascii="Times New Roman" w:hAnsi="Times New Roman" w:eastAsia="宋体"/>
          <w:b w:val="0"/>
          <w:sz w:val="22"/>
        </w:rPr>
        <w:t>3. 位置条件：股价运行于全部均线之上。</w:t>
      </w:r>
    </w:p>
    <w:p>
      <w:pPr>
        <w:spacing w:line="360" w:lineRule="auto" w:after="80"/>
        <w:ind w:firstLine="440"/>
      </w:pPr>
      <w:r>
        <w:rPr>
          <w:rFonts w:ascii="Times New Roman" w:hAnsi="Times New Roman" w:eastAsia="宋体"/>
          <w:b w:val="0"/>
          <w:sz w:val="22"/>
        </w:rPr>
        <w:t>这是最强势的多头格局。参与的均线条数越多、排列越整齐、间距越大，多头信号越强。</w:t>
      </w:r>
    </w:p>
    <w:p>
      <w:pPr>
        <w:spacing w:before="200" w:after="120"/>
      </w:pPr>
      <w:r>
        <w:rPr>
          <w:rFonts w:ascii="Times New Roman" w:hAnsi="Times New Roman" w:eastAsia="微软雅黑"/>
          <w:b/>
          <w:color w:val="44546A"/>
          <w:sz w:val="24"/>
        </w:rPr>
        <w:t>4.1.2 多头排列的六级分类</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417"/>
            <w:shd w:fill="2E75B6"/>
            <w:vAlign w:val="center"/>
          </w:tcPr>
          <w:p>
            <w:pPr>
              <w:jc w:val="center"/>
            </w:pPr>
            <w:r/>
            <w:r>
              <w:rPr>
                <w:rFonts w:ascii="Times New Roman" w:hAnsi="Times New Roman" w:eastAsia="微软雅黑"/>
                <w:b/>
                <w:color w:val="FFFFFF"/>
                <w:sz w:val="20"/>
              </w:rPr>
              <w:t>排列级别</w:t>
            </w:r>
          </w:p>
        </w:tc>
        <w:tc>
          <w:tcPr>
            <w:tcW w:type="dxa" w:w="2268"/>
            <w:shd w:fill="2E75B6"/>
            <w:vAlign w:val="center"/>
          </w:tcPr>
          <w:p>
            <w:pPr>
              <w:jc w:val="center"/>
            </w:pPr>
            <w:r/>
            <w:r>
              <w:rPr>
                <w:rFonts w:ascii="Times New Roman" w:hAnsi="Times New Roman" w:eastAsia="微软雅黑"/>
                <w:b/>
                <w:color w:val="FFFFFF"/>
                <w:sz w:val="20"/>
              </w:rPr>
              <w:t>标准条件</w:t>
            </w:r>
          </w:p>
        </w:tc>
        <w:tc>
          <w:tcPr>
            <w:tcW w:type="dxa" w:w="1417"/>
            <w:shd w:fill="2E75B6"/>
            <w:vAlign w:val="center"/>
          </w:tcPr>
          <w:p>
            <w:pPr>
              <w:jc w:val="center"/>
            </w:pPr>
            <w:r/>
            <w:r>
              <w:rPr>
                <w:rFonts w:ascii="Times New Roman" w:hAnsi="Times New Roman" w:eastAsia="微软雅黑"/>
                <w:b/>
                <w:color w:val="FFFFFF"/>
                <w:sz w:val="20"/>
              </w:rPr>
              <w:t>方向特征</w:t>
            </w:r>
          </w:p>
        </w:tc>
        <w:tc>
          <w:tcPr>
            <w:tcW w:type="dxa" w:w="850"/>
            <w:shd w:fill="2E75B6"/>
            <w:vAlign w:val="center"/>
          </w:tcPr>
          <w:p>
            <w:pPr>
              <w:jc w:val="center"/>
            </w:pPr>
            <w:r/>
            <w:r>
              <w:rPr>
                <w:rFonts w:ascii="Times New Roman" w:hAnsi="Times New Roman" w:eastAsia="微软雅黑"/>
                <w:b/>
                <w:color w:val="FFFFFF"/>
                <w:sz w:val="20"/>
              </w:rPr>
              <w:t>信号强度</w:t>
            </w:r>
          </w:p>
        </w:tc>
        <w:tc>
          <w:tcPr>
            <w:tcW w:type="dxa" w:w="1020"/>
            <w:shd w:fill="2E75B6"/>
            <w:vAlign w:val="center"/>
          </w:tcPr>
          <w:p>
            <w:pPr>
              <w:jc w:val="center"/>
            </w:pPr>
            <w:r/>
            <w:r>
              <w:rPr>
                <w:rFonts w:ascii="Times New Roman" w:hAnsi="Times New Roman" w:eastAsia="微软雅黑"/>
                <w:b/>
                <w:color w:val="FFFFFF"/>
                <w:sz w:val="20"/>
              </w:rPr>
              <w:t>建议仓位</w:t>
            </w:r>
          </w:p>
        </w:tc>
        <w:tc>
          <w:tcPr>
            <w:tcW w:type="dxa" w:w="1701"/>
            <w:shd w:fill="2E75B6"/>
            <w:vAlign w:val="center"/>
          </w:tcPr>
          <w:p>
            <w:pPr>
              <w:jc w:val="center"/>
            </w:pPr>
            <w:r/>
            <w:r>
              <w:rPr>
                <w:rFonts w:ascii="Times New Roman" w:hAnsi="Times New Roman" w:eastAsia="微软雅黑"/>
                <w:b/>
                <w:color w:val="FFFFFF"/>
                <w:sz w:val="20"/>
              </w:rPr>
              <w:t>操作策略</w:t>
            </w:r>
          </w:p>
        </w:tc>
      </w:tr>
      <w:tr>
        <w:tc>
          <w:tcPr>
            <w:tcW w:type="dxa" w:w="1417"/>
            <w:vAlign w:val="center"/>
          </w:tcPr>
          <w:p>
            <w:pPr>
              <w:jc w:val="left"/>
            </w:pPr>
            <w:r/>
            <w:r>
              <w:rPr>
                <w:rFonts w:ascii="Times New Roman" w:hAnsi="Times New Roman" w:eastAsia="宋体"/>
                <w:b w:val="0"/>
                <w:sz w:val="20"/>
              </w:rPr>
              <w:t>纯多头排列</w:t>
            </w:r>
          </w:p>
        </w:tc>
        <w:tc>
          <w:tcPr>
            <w:tcW w:type="dxa" w:w="2268"/>
            <w:vAlign w:val="center"/>
          </w:tcPr>
          <w:p>
            <w:pPr>
              <w:jc w:val="left"/>
            </w:pPr>
            <w:r/>
            <w:r>
              <w:rPr>
                <w:rFonts w:ascii="Times New Roman" w:hAnsi="Times New Roman" w:eastAsia="宋体"/>
                <w:b w:val="0"/>
                <w:sz w:val="20"/>
              </w:rPr>
              <w:t>MA5&gt;MA10&gt;MA20&gt;MA60&gt;MA120&gt;MA250 且全部向上</w:t>
            </w:r>
          </w:p>
        </w:tc>
        <w:tc>
          <w:tcPr>
            <w:tcW w:type="dxa" w:w="1417"/>
            <w:vAlign w:val="center"/>
          </w:tcPr>
          <w:p>
            <w:pPr>
              <w:jc w:val="left"/>
            </w:pPr>
            <w:r/>
            <w:r>
              <w:rPr>
                <w:rFonts w:ascii="Times New Roman" w:hAnsi="Times New Roman" w:eastAsia="宋体"/>
                <w:b w:val="0"/>
                <w:sz w:val="20"/>
              </w:rPr>
              <w:t>全部向上，间距合理发散</w:t>
            </w:r>
          </w:p>
        </w:tc>
        <w:tc>
          <w:tcPr>
            <w:tcW w:type="dxa" w:w="850"/>
            <w:vAlign w:val="center"/>
          </w:tcPr>
          <w:p>
            <w:pPr>
              <w:jc w:val="left"/>
            </w:pPr>
            <w:r/>
            <w:r>
              <w:rPr>
                <w:rFonts w:ascii="Times New Roman" w:hAnsi="Times New Roman" w:eastAsia="宋体"/>
                <w:b w:val="0"/>
                <w:sz w:val="20"/>
              </w:rPr>
              <w:t>极强</w:t>
            </w:r>
          </w:p>
        </w:tc>
        <w:tc>
          <w:tcPr>
            <w:tcW w:type="dxa" w:w="1020"/>
            <w:vAlign w:val="center"/>
          </w:tcPr>
          <w:p>
            <w:pPr>
              <w:jc w:val="left"/>
            </w:pPr>
            <w:r/>
            <w:r>
              <w:rPr>
                <w:rFonts w:ascii="Times New Roman" w:hAnsi="Times New Roman" w:eastAsia="宋体"/>
                <w:b w:val="0"/>
                <w:sz w:val="20"/>
              </w:rPr>
              <w:t>80%-100%</w:t>
            </w:r>
          </w:p>
        </w:tc>
        <w:tc>
          <w:tcPr>
            <w:tcW w:type="dxa" w:w="1701"/>
            <w:vAlign w:val="center"/>
          </w:tcPr>
          <w:p>
            <w:pPr>
              <w:jc w:val="left"/>
            </w:pPr>
            <w:r/>
            <w:r>
              <w:rPr>
                <w:rFonts w:ascii="Times New Roman" w:hAnsi="Times New Roman" w:eastAsia="宋体"/>
                <w:b w:val="0"/>
                <w:sz w:val="20"/>
              </w:rPr>
              <w:t>重仓持有，回踩即加仓</w:t>
            </w:r>
          </w:p>
        </w:tc>
      </w:tr>
      <w:tr>
        <w:tc>
          <w:tcPr>
            <w:tcW w:type="dxa" w:w="1417"/>
            <w:vAlign w:val="center"/>
          </w:tcPr>
          <w:p>
            <w:pPr>
              <w:jc w:val="left"/>
            </w:pPr>
            <w:r/>
            <w:r>
              <w:rPr>
                <w:rFonts w:ascii="Times New Roman" w:hAnsi="Times New Roman" w:eastAsia="宋体"/>
                <w:b w:val="0"/>
                <w:sz w:val="20"/>
              </w:rPr>
              <w:t>标准多头排列</w:t>
            </w:r>
          </w:p>
        </w:tc>
        <w:tc>
          <w:tcPr>
            <w:tcW w:type="dxa" w:w="2268"/>
            <w:vAlign w:val="center"/>
          </w:tcPr>
          <w:p>
            <w:pPr>
              <w:jc w:val="left"/>
            </w:pPr>
            <w:r/>
            <w:r>
              <w:rPr>
                <w:rFonts w:ascii="Times New Roman" w:hAnsi="Times New Roman" w:eastAsia="宋体"/>
                <w:b w:val="0"/>
                <w:sz w:val="20"/>
              </w:rPr>
              <w:t>MA5&gt;MA10&gt;MA20&gt;MA60&gt;MA120 均向上</w:t>
            </w:r>
          </w:p>
        </w:tc>
        <w:tc>
          <w:tcPr>
            <w:tcW w:type="dxa" w:w="1417"/>
            <w:vAlign w:val="center"/>
          </w:tcPr>
          <w:p>
            <w:pPr>
              <w:jc w:val="left"/>
            </w:pPr>
            <w:r/>
            <w:r>
              <w:rPr>
                <w:rFonts w:ascii="Times New Roman" w:hAnsi="Times New Roman" w:eastAsia="宋体"/>
                <w:b w:val="0"/>
                <w:sz w:val="20"/>
              </w:rPr>
              <w:t>多数均线向上</w:t>
            </w:r>
          </w:p>
        </w:tc>
        <w:tc>
          <w:tcPr>
            <w:tcW w:type="dxa" w:w="850"/>
            <w:vAlign w:val="center"/>
          </w:tcPr>
          <w:p>
            <w:pPr>
              <w:jc w:val="left"/>
            </w:pPr>
            <w:r/>
            <w:r>
              <w:rPr>
                <w:rFonts w:ascii="Times New Roman" w:hAnsi="Times New Roman" w:eastAsia="宋体"/>
                <w:b w:val="0"/>
                <w:sz w:val="20"/>
              </w:rPr>
              <w:t>强</w:t>
            </w:r>
          </w:p>
        </w:tc>
        <w:tc>
          <w:tcPr>
            <w:tcW w:type="dxa" w:w="1020"/>
            <w:vAlign w:val="center"/>
          </w:tcPr>
          <w:p>
            <w:pPr>
              <w:jc w:val="left"/>
            </w:pPr>
            <w:r/>
            <w:r>
              <w:rPr>
                <w:rFonts w:ascii="Times New Roman" w:hAnsi="Times New Roman" w:eastAsia="宋体"/>
                <w:b w:val="0"/>
                <w:sz w:val="20"/>
              </w:rPr>
              <w:t>60%-80%</w:t>
            </w:r>
          </w:p>
        </w:tc>
        <w:tc>
          <w:tcPr>
            <w:tcW w:type="dxa" w:w="1701"/>
            <w:vAlign w:val="center"/>
          </w:tcPr>
          <w:p>
            <w:pPr>
              <w:jc w:val="left"/>
            </w:pPr>
            <w:r/>
            <w:r>
              <w:rPr>
                <w:rFonts w:ascii="Times New Roman" w:hAnsi="Times New Roman" w:eastAsia="宋体"/>
                <w:b w:val="0"/>
                <w:sz w:val="20"/>
              </w:rPr>
              <w:t>持有为主，回踩MA20买入</w:t>
            </w:r>
          </w:p>
        </w:tc>
      </w:tr>
      <w:tr>
        <w:tc>
          <w:tcPr>
            <w:tcW w:type="dxa" w:w="1417"/>
            <w:vAlign w:val="center"/>
          </w:tcPr>
          <w:p>
            <w:pPr>
              <w:jc w:val="left"/>
            </w:pPr>
            <w:r/>
            <w:r>
              <w:rPr>
                <w:rFonts w:ascii="Times New Roman" w:hAnsi="Times New Roman" w:eastAsia="宋体"/>
                <w:b w:val="0"/>
                <w:sz w:val="20"/>
              </w:rPr>
              <w:t>半多头排列</w:t>
            </w:r>
          </w:p>
        </w:tc>
        <w:tc>
          <w:tcPr>
            <w:tcW w:type="dxa" w:w="2268"/>
            <w:vAlign w:val="center"/>
          </w:tcPr>
          <w:p>
            <w:pPr>
              <w:jc w:val="left"/>
            </w:pPr>
            <w:r/>
            <w:r>
              <w:rPr>
                <w:rFonts w:ascii="Times New Roman" w:hAnsi="Times New Roman" w:eastAsia="宋体"/>
                <w:b w:val="0"/>
                <w:sz w:val="20"/>
              </w:rPr>
              <w:t>短中期(MA5-MA60)呈多头序，长线未转</w:t>
            </w:r>
          </w:p>
        </w:tc>
        <w:tc>
          <w:tcPr>
            <w:tcW w:type="dxa" w:w="1417"/>
            <w:vAlign w:val="center"/>
          </w:tcPr>
          <w:p>
            <w:pPr>
              <w:jc w:val="left"/>
            </w:pPr>
            <w:r/>
            <w:r>
              <w:rPr>
                <w:rFonts w:ascii="Times New Roman" w:hAnsi="Times New Roman" w:eastAsia="宋体"/>
                <w:b w:val="0"/>
                <w:sz w:val="20"/>
              </w:rPr>
              <w:t>短中期向上</w:t>
            </w:r>
          </w:p>
        </w:tc>
        <w:tc>
          <w:tcPr>
            <w:tcW w:type="dxa" w:w="850"/>
            <w:vAlign w:val="center"/>
          </w:tcPr>
          <w:p>
            <w:pPr>
              <w:jc w:val="left"/>
            </w:pPr>
            <w:r/>
            <w:r>
              <w:rPr>
                <w:rFonts w:ascii="Times New Roman" w:hAnsi="Times New Roman" w:eastAsia="宋体"/>
                <w:b w:val="0"/>
                <w:sz w:val="20"/>
              </w:rPr>
              <w:t>较强</w:t>
            </w:r>
          </w:p>
        </w:tc>
        <w:tc>
          <w:tcPr>
            <w:tcW w:type="dxa" w:w="1020"/>
            <w:vAlign w:val="center"/>
          </w:tcPr>
          <w:p>
            <w:pPr>
              <w:jc w:val="left"/>
            </w:pPr>
            <w:r/>
            <w:r>
              <w:rPr>
                <w:rFonts w:ascii="Times New Roman" w:hAnsi="Times New Roman" w:eastAsia="宋体"/>
                <w:b w:val="0"/>
                <w:sz w:val="20"/>
              </w:rPr>
              <w:t>40%-60%</w:t>
            </w:r>
          </w:p>
        </w:tc>
        <w:tc>
          <w:tcPr>
            <w:tcW w:type="dxa" w:w="1701"/>
            <w:vAlign w:val="center"/>
          </w:tcPr>
          <w:p>
            <w:pPr>
              <w:jc w:val="left"/>
            </w:pPr>
            <w:r/>
            <w:r>
              <w:rPr>
                <w:rFonts w:ascii="Times New Roman" w:hAnsi="Times New Roman" w:eastAsia="宋体"/>
                <w:b w:val="0"/>
                <w:sz w:val="20"/>
              </w:rPr>
              <w:t>中仓持有，关注长线走向</w:t>
            </w:r>
          </w:p>
        </w:tc>
      </w:tr>
      <w:tr>
        <w:tc>
          <w:tcPr>
            <w:tcW w:type="dxa" w:w="1417"/>
            <w:vAlign w:val="center"/>
          </w:tcPr>
          <w:p>
            <w:pPr>
              <w:jc w:val="left"/>
            </w:pPr>
            <w:r/>
            <w:r>
              <w:rPr>
                <w:rFonts w:ascii="Times New Roman" w:hAnsi="Times New Roman" w:eastAsia="宋体"/>
                <w:b w:val="0"/>
                <w:sz w:val="20"/>
              </w:rPr>
              <w:t>初始多头排列</w:t>
            </w:r>
          </w:p>
        </w:tc>
        <w:tc>
          <w:tcPr>
            <w:tcW w:type="dxa" w:w="2268"/>
            <w:vAlign w:val="center"/>
          </w:tcPr>
          <w:p>
            <w:pPr>
              <w:jc w:val="left"/>
            </w:pPr>
            <w:r/>
            <w:r>
              <w:rPr>
                <w:rFonts w:ascii="Times New Roman" w:hAnsi="Times New Roman" w:eastAsia="宋体"/>
                <w:b w:val="0"/>
                <w:sz w:val="20"/>
              </w:rPr>
              <w:t>MA5&gt;MA10&gt;MA20 刚形成</w:t>
            </w:r>
          </w:p>
        </w:tc>
        <w:tc>
          <w:tcPr>
            <w:tcW w:type="dxa" w:w="1417"/>
            <w:vAlign w:val="center"/>
          </w:tcPr>
          <w:p>
            <w:pPr>
              <w:jc w:val="left"/>
            </w:pPr>
            <w:r/>
            <w:r>
              <w:rPr>
                <w:rFonts w:ascii="Times New Roman" w:hAnsi="Times New Roman" w:eastAsia="宋体"/>
                <w:b w:val="0"/>
                <w:sz w:val="20"/>
              </w:rPr>
              <w:t>短线向上</w:t>
            </w:r>
          </w:p>
        </w:tc>
        <w:tc>
          <w:tcPr>
            <w:tcW w:type="dxa" w:w="850"/>
            <w:vAlign w:val="center"/>
          </w:tcPr>
          <w:p>
            <w:pPr>
              <w:jc w:val="left"/>
            </w:pPr>
            <w:r/>
            <w:r>
              <w:rPr>
                <w:rFonts w:ascii="Times New Roman" w:hAnsi="Times New Roman" w:eastAsia="宋体"/>
                <w:b w:val="0"/>
                <w:sz w:val="20"/>
              </w:rPr>
              <w:t>中等</w:t>
            </w:r>
          </w:p>
        </w:tc>
        <w:tc>
          <w:tcPr>
            <w:tcW w:type="dxa" w:w="1020"/>
            <w:vAlign w:val="center"/>
          </w:tcPr>
          <w:p>
            <w:pPr>
              <w:jc w:val="left"/>
            </w:pPr>
            <w:r/>
            <w:r>
              <w:rPr>
                <w:rFonts w:ascii="Times New Roman" w:hAnsi="Times New Roman" w:eastAsia="宋体"/>
                <w:b w:val="0"/>
                <w:sz w:val="20"/>
              </w:rPr>
              <w:t>20%-40%</w:t>
            </w:r>
          </w:p>
        </w:tc>
        <w:tc>
          <w:tcPr>
            <w:tcW w:type="dxa" w:w="1701"/>
            <w:vAlign w:val="center"/>
          </w:tcPr>
          <w:p>
            <w:pPr>
              <w:jc w:val="left"/>
            </w:pPr>
            <w:r/>
            <w:r>
              <w:rPr>
                <w:rFonts w:ascii="Times New Roman" w:hAnsi="Times New Roman" w:eastAsia="宋体"/>
                <w:b w:val="0"/>
                <w:sz w:val="20"/>
              </w:rPr>
              <w:t>试探性建仓</w:t>
            </w:r>
          </w:p>
        </w:tc>
      </w:tr>
      <w:tr>
        <w:tc>
          <w:tcPr>
            <w:tcW w:type="dxa" w:w="1417"/>
            <w:vAlign w:val="center"/>
          </w:tcPr>
          <w:p>
            <w:pPr>
              <w:jc w:val="left"/>
            </w:pPr>
            <w:r/>
            <w:r>
              <w:rPr>
                <w:rFonts w:ascii="Times New Roman" w:hAnsi="Times New Roman" w:eastAsia="宋体"/>
                <w:b w:val="0"/>
                <w:sz w:val="20"/>
              </w:rPr>
              <w:t>混沌排列</w:t>
            </w:r>
          </w:p>
        </w:tc>
        <w:tc>
          <w:tcPr>
            <w:tcW w:type="dxa" w:w="2268"/>
            <w:vAlign w:val="center"/>
          </w:tcPr>
          <w:p>
            <w:pPr>
              <w:jc w:val="left"/>
            </w:pPr>
            <w:r/>
            <w:r>
              <w:rPr>
                <w:rFonts w:ascii="Times New Roman" w:hAnsi="Times New Roman" w:eastAsia="宋体"/>
                <w:b w:val="0"/>
                <w:sz w:val="20"/>
              </w:rPr>
              <w:t>均线相互缠绕，无明显序列</w:t>
            </w:r>
          </w:p>
        </w:tc>
        <w:tc>
          <w:tcPr>
            <w:tcW w:type="dxa" w:w="1417"/>
            <w:vAlign w:val="center"/>
          </w:tcPr>
          <w:p>
            <w:pPr>
              <w:jc w:val="left"/>
            </w:pPr>
            <w:r/>
            <w:r>
              <w:rPr>
                <w:rFonts w:ascii="Times New Roman" w:hAnsi="Times New Roman" w:eastAsia="宋体"/>
                <w:b w:val="0"/>
                <w:sz w:val="20"/>
              </w:rPr>
              <w:t>方向不明</w:t>
            </w:r>
          </w:p>
        </w:tc>
        <w:tc>
          <w:tcPr>
            <w:tcW w:type="dxa" w:w="850"/>
            <w:vAlign w:val="center"/>
          </w:tcPr>
          <w:p>
            <w:pPr>
              <w:jc w:val="left"/>
            </w:pPr>
            <w:r/>
            <w:r>
              <w:rPr>
                <w:rFonts w:ascii="Times New Roman" w:hAnsi="Times New Roman" w:eastAsia="宋体"/>
                <w:b w:val="0"/>
                <w:sz w:val="20"/>
              </w:rPr>
              <w:t>无</w:t>
            </w:r>
          </w:p>
        </w:tc>
        <w:tc>
          <w:tcPr>
            <w:tcW w:type="dxa" w:w="1020"/>
            <w:vAlign w:val="center"/>
          </w:tcPr>
          <w:p>
            <w:pPr>
              <w:jc w:val="left"/>
            </w:pPr>
            <w:r/>
            <w:r>
              <w:rPr>
                <w:rFonts w:ascii="Times New Roman" w:hAnsi="Times New Roman" w:eastAsia="宋体"/>
                <w:b w:val="0"/>
                <w:sz w:val="20"/>
              </w:rPr>
              <w:t>0%-20%</w:t>
            </w:r>
          </w:p>
        </w:tc>
        <w:tc>
          <w:tcPr>
            <w:tcW w:type="dxa" w:w="1701"/>
            <w:vAlign w:val="center"/>
          </w:tcPr>
          <w:p>
            <w:pPr>
              <w:jc w:val="left"/>
            </w:pPr>
            <w:r/>
            <w:r>
              <w:rPr>
                <w:rFonts w:ascii="Times New Roman" w:hAnsi="Times New Roman" w:eastAsia="宋体"/>
                <w:b w:val="0"/>
                <w:sz w:val="20"/>
              </w:rPr>
              <w:t>空仓观望</w:t>
            </w:r>
          </w:p>
        </w:tc>
      </w:tr>
      <w:tr>
        <w:tc>
          <w:tcPr>
            <w:tcW w:type="dxa" w:w="1417"/>
            <w:vAlign w:val="center"/>
          </w:tcPr>
          <w:p>
            <w:pPr>
              <w:jc w:val="left"/>
            </w:pPr>
            <w:r/>
            <w:r>
              <w:rPr>
                <w:rFonts w:ascii="Times New Roman" w:hAnsi="Times New Roman" w:eastAsia="宋体"/>
                <w:b w:val="0"/>
                <w:sz w:val="20"/>
              </w:rPr>
              <w:t>破坏中的多头</w:t>
            </w:r>
          </w:p>
        </w:tc>
        <w:tc>
          <w:tcPr>
            <w:tcW w:type="dxa" w:w="2268"/>
            <w:vAlign w:val="center"/>
          </w:tcPr>
          <w:p>
            <w:pPr>
              <w:jc w:val="left"/>
            </w:pPr>
            <w:r/>
            <w:r>
              <w:rPr>
                <w:rFonts w:ascii="Times New Roman" w:hAnsi="Times New Roman" w:eastAsia="宋体"/>
                <w:b w:val="0"/>
                <w:sz w:val="20"/>
              </w:rPr>
              <w:t>原本多头排列开始瓦解</w:t>
            </w:r>
          </w:p>
        </w:tc>
        <w:tc>
          <w:tcPr>
            <w:tcW w:type="dxa" w:w="1417"/>
            <w:vAlign w:val="center"/>
          </w:tcPr>
          <w:p>
            <w:pPr>
              <w:jc w:val="left"/>
            </w:pPr>
            <w:r/>
            <w:r>
              <w:rPr>
                <w:rFonts w:ascii="Times New Roman" w:hAnsi="Times New Roman" w:eastAsia="宋体"/>
                <w:b w:val="0"/>
                <w:sz w:val="20"/>
              </w:rPr>
              <w:t>短线先转向下</w:t>
            </w:r>
          </w:p>
        </w:tc>
        <w:tc>
          <w:tcPr>
            <w:tcW w:type="dxa" w:w="850"/>
            <w:vAlign w:val="center"/>
          </w:tcPr>
          <w:p>
            <w:pPr>
              <w:jc w:val="left"/>
            </w:pPr>
            <w:r/>
            <w:r>
              <w:rPr>
                <w:rFonts w:ascii="Times New Roman" w:hAnsi="Times New Roman" w:eastAsia="宋体"/>
                <w:b w:val="0"/>
                <w:sz w:val="20"/>
              </w:rPr>
              <w:t>警示</w:t>
            </w:r>
          </w:p>
        </w:tc>
        <w:tc>
          <w:tcPr>
            <w:tcW w:type="dxa" w:w="1020"/>
            <w:vAlign w:val="center"/>
          </w:tcPr>
          <w:p>
            <w:pPr>
              <w:jc w:val="left"/>
            </w:pPr>
            <w:r/>
            <w:r>
              <w:rPr>
                <w:rFonts w:ascii="Times New Roman" w:hAnsi="Times New Roman" w:eastAsia="宋体"/>
                <w:b w:val="0"/>
                <w:sz w:val="20"/>
              </w:rPr>
              <w:t>清仓50%以上</w:t>
            </w:r>
          </w:p>
        </w:tc>
        <w:tc>
          <w:tcPr>
            <w:tcW w:type="dxa" w:w="1701"/>
            <w:vAlign w:val="center"/>
          </w:tcPr>
          <w:p>
            <w:pPr>
              <w:jc w:val="left"/>
            </w:pPr>
            <w:r/>
            <w:r>
              <w:rPr>
                <w:rFonts w:ascii="Times New Roman" w:hAnsi="Times New Roman" w:eastAsia="宋体"/>
                <w:b w:val="0"/>
                <w:sz w:val="20"/>
              </w:rPr>
              <w:t>分批减仓</w:t>
            </w:r>
          </w:p>
        </w:tc>
      </w:tr>
    </w:tbl>
    <w:p>
      <w:pPr>
        <w:spacing w:before="200" w:after="120"/>
      </w:pPr>
      <w:r>
        <w:rPr>
          <w:rFonts w:ascii="Times New Roman" w:hAnsi="Times New Roman" w:eastAsia="微软雅黑"/>
          <w:b/>
          <w:color w:val="44546A"/>
          <w:sz w:val="24"/>
        </w:rPr>
        <w:t>4.1.3 多头排列中的支撑规则（多级防御体系）</w:t>
      </w:r>
    </w:p>
    <w:p>
      <w:pPr>
        <w:spacing w:line="360" w:lineRule="auto" w:after="80"/>
        <w:ind w:firstLine="440"/>
      </w:pPr>
      <w:r>
        <w:rPr>
          <w:rFonts w:ascii="Times New Roman" w:hAnsi="Times New Roman" w:eastAsia="宋体"/>
          <w:b w:val="0"/>
          <w:sz w:val="22"/>
        </w:rPr>
        <w:t>在多头排列中，均线按照从近到远的顺序依次构成不同级别的支撑，形成层层递进的防御体系：</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支撑级别</w:t>
            </w:r>
          </w:p>
        </w:tc>
        <w:tc>
          <w:tcPr>
            <w:tcW w:type="dxa" w:w="1701"/>
            <w:shd w:fill="2E75B6"/>
            <w:vAlign w:val="center"/>
          </w:tcPr>
          <w:p>
            <w:pPr>
              <w:jc w:val="center"/>
            </w:pPr>
            <w:r/>
            <w:r>
              <w:rPr>
                <w:rFonts w:ascii="Times New Roman" w:hAnsi="Times New Roman" w:eastAsia="微软雅黑"/>
                <w:b/>
                <w:color w:val="FFFFFF"/>
                <w:sz w:val="20"/>
              </w:rPr>
              <w:t>支撑均线</w:t>
            </w:r>
          </w:p>
        </w:tc>
        <w:tc>
          <w:tcPr>
            <w:tcW w:type="dxa" w:w="1701"/>
            <w:shd w:fill="2E75B6"/>
            <w:vAlign w:val="center"/>
          </w:tcPr>
          <w:p>
            <w:pPr>
              <w:jc w:val="center"/>
            </w:pPr>
            <w:r/>
            <w:r>
              <w:rPr>
                <w:rFonts w:ascii="Times New Roman" w:hAnsi="Times New Roman" w:eastAsia="微软雅黑"/>
                <w:b/>
                <w:color w:val="FFFFFF"/>
                <w:sz w:val="20"/>
              </w:rPr>
              <w:t>破位含义</w:t>
            </w:r>
          </w:p>
        </w:tc>
        <w:tc>
          <w:tcPr>
            <w:tcW w:type="dxa" w:w="1701"/>
            <w:shd w:fill="2E75B6"/>
            <w:vAlign w:val="center"/>
          </w:tcPr>
          <w:p>
            <w:pPr>
              <w:jc w:val="center"/>
            </w:pPr>
            <w:r/>
            <w:r>
              <w:rPr>
                <w:rFonts w:ascii="Times New Roman" w:hAnsi="Times New Roman" w:eastAsia="微软雅黑"/>
                <w:b/>
                <w:color w:val="FFFFFF"/>
                <w:sz w:val="20"/>
              </w:rPr>
              <w:t>操作建议</w:t>
            </w:r>
          </w:p>
        </w:tc>
        <w:tc>
          <w:tcPr>
            <w:tcW w:type="dxa" w:w="1701"/>
            <w:shd w:fill="2E75B6"/>
            <w:vAlign w:val="center"/>
          </w:tcPr>
          <w:p>
            <w:pPr>
              <w:jc w:val="center"/>
            </w:pPr>
            <w:r/>
            <w:r>
              <w:rPr>
                <w:rFonts w:ascii="Times New Roman" w:hAnsi="Times New Roman" w:eastAsia="微软雅黑"/>
                <w:b/>
                <w:color w:val="FFFFFF"/>
                <w:sz w:val="20"/>
              </w:rPr>
              <w:t>止损方式</w:t>
            </w:r>
          </w:p>
        </w:tc>
      </w:tr>
      <w:tr>
        <w:tc>
          <w:tcPr>
            <w:tcW w:type="dxa" w:w="1134"/>
            <w:vAlign w:val="center"/>
          </w:tcPr>
          <w:p>
            <w:pPr>
              <w:jc w:val="left"/>
            </w:pPr>
            <w:r/>
            <w:r>
              <w:rPr>
                <w:rFonts w:ascii="Times New Roman" w:hAnsi="Times New Roman" w:eastAsia="宋体"/>
                <w:b w:val="0"/>
                <w:sz w:val="20"/>
              </w:rPr>
              <w:t>第一支撑带</w:t>
            </w:r>
          </w:p>
        </w:tc>
        <w:tc>
          <w:tcPr>
            <w:tcW w:type="dxa" w:w="1701"/>
            <w:vAlign w:val="center"/>
          </w:tcPr>
          <w:p>
            <w:pPr>
              <w:jc w:val="left"/>
            </w:pPr>
            <w:r/>
            <w:r>
              <w:rPr>
                <w:rFonts w:ascii="Times New Roman" w:hAnsi="Times New Roman" w:eastAsia="宋体"/>
                <w:b w:val="0"/>
                <w:sz w:val="20"/>
              </w:rPr>
              <w:t>MA5、MA10</w:t>
            </w:r>
          </w:p>
        </w:tc>
        <w:tc>
          <w:tcPr>
            <w:tcW w:type="dxa" w:w="1701"/>
            <w:vAlign w:val="center"/>
          </w:tcPr>
          <w:p>
            <w:pPr>
              <w:jc w:val="left"/>
            </w:pPr>
            <w:r/>
            <w:r>
              <w:rPr>
                <w:rFonts w:ascii="Times New Roman" w:hAnsi="Times New Roman" w:eastAsia="宋体"/>
                <w:b w:val="0"/>
                <w:sz w:val="20"/>
              </w:rPr>
              <w:t>短线回踩，多为洗盘</w:t>
            </w:r>
          </w:p>
        </w:tc>
        <w:tc>
          <w:tcPr>
            <w:tcW w:type="dxa" w:w="1701"/>
            <w:vAlign w:val="center"/>
          </w:tcPr>
          <w:p>
            <w:pPr>
              <w:jc w:val="left"/>
            </w:pPr>
            <w:r/>
            <w:r>
              <w:rPr>
                <w:rFonts w:ascii="Times New Roman" w:hAnsi="Times New Roman" w:eastAsia="宋体"/>
                <w:b w:val="0"/>
                <w:sz w:val="20"/>
              </w:rPr>
              <w:t>短线低吸</w:t>
            </w:r>
          </w:p>
        </w:tc>
        <w:tc>
          <w:tcPr>
            <w:tcW w:type="dxa" w:w="1701"/>
            <w:vAlign w:val="center"/>
          </w:tcPr>
          <w:p>
            <w:pPr>
              <w:jc w:val="left"/>
            </w:pPr>
            <w:r/>
            <w:r>
              <w:rPr>
                <w:rFonts w:ascii="Times New Roman" w:hAnsi="Times New Roman" w:eastAsia="宋体"/>
                <w:b w:val="0"/>
                <w:sz w:val="20"/>
              </w:rPr>
              <w:t>破MA10止损</w:t>
            </w:r>
          </w:p>
        </w:tc>
      </w:tr>
      <w:tr>
        <w:tc>
          <w:tcPr>
            <w:tcW w:type="dxa" w:w="1134"/>
            <w:vAlign w:val="center"/>
          </w:tcPr>
          <w:p>
            <w:pPr>
              <w:jc w:val="left"/>
            </w:pPr>
            <w:r/>
            <w:r>
              <w:rPr>
                <w:rFonts w:ascii="Times New Roman" w:hAnsi="Times New Roman" w:eastAsia="宋体"/>
                <w:b w:val="0"/>
                <w:sz w:val="20"/>
              </w:rPr>
              <w:t>第二支撑位</w:t>
            </w:r>
          </w:p>
        </w:tc>
        <w:tc>
          <w:tcPr>
            <w:tcW w:type="dxa" w:w="1701"/>
            <w:vAlign w:val="center"/>
          </w:tcPr>
          <w:p>
            <w:pPr>
              <w:jc w:val="left"/>
            </w:pPr>
            <w:r/>
            <w:r>
              <w:rPr>
                <w:rFonts w:ascii="Times New Roman" w:hAnsi="Times New Roman" w:eastAsia="宋体"/>
                <w:b w:val="0"/>
                <w:sz w:val="20"/>
              </w:rPr>
              <w:t>MA20（月线）</w:t>
            </w:r>
          </w:p>
        </w:tc>
        <w:tc>
          <w:tcPr>
            <w:tcW w:type="dxa" w:w="1701"/>
            <w:vAlign w:val="center"/>
          </w:tcPr>
          <w:p>
            <w:pPr>
              <w:jc w:val="left"/>
            </w:pPr>
            <w:r/>
            <w:r>
              <w:rPr>
                <w:rFonts w:ascii="Times New Roman" w:hAnsi="Times New Roman" w:eastAsia="宋体"/>
                <w:b w:val="0"/>
                <w:sz w:val="20"/>
              </w:rPr>
              <w:t>中短期关键支撑</w:t>
            </w:r>
          </w:p>
        </w:tc>
        <w:tc>
          <w:tcPr>
            <w:tcW w:type="dxa" w:w="1701"/>
            <w:vAlign w:val="center"/>
          </w:tcPr>
          <w:p>
            <w:pPr>
              <w:jc w:val="left"/>
            </w:pPr>
            <w:r/>
            <w:r>
              <w:rPr>
                <w:rFonts w:ascii="Times New Roman" w:hAnsi="Times New Roman" w:eastAsia="宋体"/>
                <w:b w:val="0"/>
                <w:sz w:val="20"/>
              </w:rPr>
              <w:t>回踩买入区</w:t>
            </w:r>
          </w:p>
        </w:tc>
        <w:tc>
          <w:tcPr>
            <w:tcW w:type="dxa" w:w="1701"/>
            <w:vAlign w:val="center"/>
          </w:tcPr>
          <w:p>
            <w:pPr>
              <w:jc w:val="left"/>
            </w:pPr>
            <w:r/>
            <w:r>
              <w:rPr>
                <w:rFonts w:ascii="Times New Roman" w:hAnsi="Times New Roman" w:eastAsia="宋体"/>
                <w:b w:val="0"/>
                <w:sz w:val="20"/>
              </w:rPr>
              <w:t>破MA20减仓</w:t>
            </w:r>
          </w:p>
        </w:tc>
      </w:tr>
      <w:tr>
        <w:tc>
          <w:tcPr>
            <w:tcW w:type="dxa" w:w="1134"/>
            <w:vAlign w:val="center"/>
          </w:tcPr>
          <w:p>
            <w:pPr>
              <w:jc w:val="left"/>
            </w:pPr>
            <w:r/>
            <w:r>
              <w:rPr>
                <w:rFonts w:ascii="Times New Roman" w:hAnsi="Times New Roman" w:eastAsia="宋体"/>
                <w:b w:val="0"/>
                <w:sz w:val="20"/>
              </w:rPr>
              <w:t>第三支撑位</w:t>
            </w:r>
          </w:p>
        </w:tc>
        <w:tc>
          <w:tcPr>
            <w:tcW w:type="dxa" w:w="1701"/>
            <w:vAlign w:val="center"/>
          </w:tcPr>
          <w:p>
            <w:pPr>
              <w:jc w:val="left"/>
            </w:pPr>
            <w:r/>
            <w:r>
              <w:rPr>
                <w:rFonts w:ascii="Times New Roman" w:hAnsi="Times New Roman" w:eastAsia="宋体"/>
                <w:b w:val="0"/>
                <w:sz w:val="20"/>
              </w:rPr>
              <w:t>MA60（季线/庄家线）</w:t>
            </w:r>
          </w:p>
        </w:tc>
        <w:tc>
          <w:tcPr>
            <w:tcW w:type="dxa" w:w="1701"/>
            <w:vAlign w:val="center"/>
          </w:tcPr>
          <w:p>
            <w:pPr>
              <w:jc w:val="left"/>
            </w:pPr>
            <w:r/>
            <w:r>
              <w:rPr>
                <w:rFonts w:ascii="Times New Roman" w:hAnsi="Times New Roman" w:eastAsia="宋体"/>
                <w:b w:val="0"/>
                <w:sz w:val="20"/>
              </w:rPr>
              <w:t>中期生命线</w:t>
            </w:r>
          </w:p>
        </w:tc>
        <w:tc>
          <w:tcPr>
            <w:tcW w:type="dxa" w:w="1701"/>
            <w:vAlign w:val="center"/>
          </w:tcPr>
          <w:p>
            <w:pPr>
              <w:jc w:val="left"/>
            </w:pPr>
            <w:r/>
            <w:r>
              <w:rPr>
                <w:rFonts w:ascii="Times New Roman" w:hAnsi="Times New Roman" w:eastAsia="宋体"/>
                <w:b w:val="0"/>
                <w:sz w:val="20"/>
              </w:rPr>
              <w:t>跌破则排列瓦解</w:t>
            </w:r>
          </w:p>
        </w:tc>
        <w:tc>
          <w:tcPr>
            <w:tcW w:type="dxa" w:w="1701"/>
            <w:vAlign w:val="center"/>
          </w:tcPr>
          <w:p>
            <w:pPr>
              <w:jc w:val="left"/>
            </w:pPr>
            <w:r/>
            <w:r>
              <w:rPr>
                <w:rFonts w:ascii="Times New Roman" w:hAnsi="Times New Roman" w:eastAsia="宋体"/>
                <w:b w:val="0"/>
                <w:sz w:val="20"/>
              </w:rPr>
              <w:t>破MA60清仓一半</w:t>
            </w:r>
          </w:p>
        </w:tc>
      </w:tr>
      <w:tr>
        <w:tc>
          <w:tcPr>
            <w:tcW w:type="dxa" w:w="1134"/>
            <w:vAlign w:val="center"/>
          </w:tcPr>
          <w:p>
            <w:pPr>
              <w:jc w:val="left"/>
            </w:pPr>
            <w:r/>
            <w:r>
              <w:rPr>
                <w:rFonts w:ascii="Times New Roman" w:hAnsi="Times New Roman" w:eastAsia="宋体"/>
                <w:b w:val="0"/>
                <w:sz w:val="20"/>
              </w:rPr>
              <w:t>第四支撑位</w:t>
            </w:r>
          </w:p>
        </w:tc>
        <w:tc>
          <w:tcPr>
            <w:tcW w:type="dxa" w:w="1701"/>
            <w:vAlign w:val="center"/>
          </w:tcPr>
          <w:p>
            <w:pPr>
              <w:jc w:val="left"/>
            </w:pPr>
            <w:r/>
            <w:r>
              <w:rPr>
                <w:rFonts w:ascii="Times New Roman" w:hAnsi="Times New Roman" w:eastAsia="宋体"/>
                <w:b w:val="0"/>
                <w:sz w:val="20"/>
              </w:rPr>
              <w:t>MA120（半年线）</w:t>
            </w:r>
          </w:p>
        </w:tc>
        <w:tc>
          <w:tcPr>
            <w:tcW w:type="dxa" w:w="1701"/>
            <w:vAlign w:val="center"/>
          </w:tcPr>
          <w:p>
            <w:pPr>
              <w:jc w:val="left"/>
            </w:pPr>
            <w:r/>
            <w:r>
              <w:rPr>
                <w:rFonts w:ascii="Times New Roman" w:hAnsi="Times New Roman" w:eastAsia="宋体"/>
                <w:b w:val="0"/>
                <w:sz w:val="20"/>
              </w:rPr>
              <w:t>中长期底线</w:t>
            </w:r>
          </w:p>
        </w:tc>
        <w:tc>
          <w:tcPr>
            <w:tcW w:type="dxa" w:w="1701"/>
            <w:vAlign w:val="center"/>
          </w:tcPr>
          <w:p>
            <w:pPr>
              <w:jc w:val="left"/>
            </w:pPr>
            <w:r/>
            <w:r>
              <w:rPr>
                <w:rFonts w:ascii="Times New Roman" w:hAnsi="Times New Roman" w:eastAsia="宋体"/>
                <w:b w:val="0"/>
                <w:sz w:val="20"/>
              </w:rPr>
              <w:t>跌破则趋势反转</w:t>
            </w:r>
          </w:p>
        </w:tc>
        <w:tc>
          <w:tcPr>
            <w:tcW w:type="dxa" w:w="1701"/>
            <w:vAlign w:val="center"/>
          </w:tcPr>
          <w:p>
            <w:pPr>
              <w:jc w:val="left"/>
            </w:pPr>
            <w:r/>
            <w:r>
              <w:rPr>
                <w:rFonts w:ascii="Times New Roman" w:hAnsi="Times New Roman" w:eastAsia="宋体"/>
                <w:b w:val="0"/>
                <w:sz w:val="20"/>
              </w:rPr>
              <w:t>立即全部清仓</w:t>
            </w:r>
          </w:p>
        </w:tc>
      </w:tr>
      <w:tr>
        <w:tc>
          <w:tcPr>
            <w:tcW w:type="dxa" w:w="1134"/>
            <w:vAlign w:val="center"/>
          </w:tcPr>
          <w:p>
            <w:pPr>
              <w:jc w:val="left"/>
            </w:pPr>
            <w:r/>
            <w:r>
              <w:rPr>
                <w:rFonts w:ascii="Times New Roman" w:hAnsi="Times New Roman" w:eastAsia="宋体"/>
                <w:b w:val="0"/>
                <w:sz w:val="20"/>
              </w:rPr>
              <w:t>终极支撑</w:t>
            </w:r>
          </w:p>
        </w:tc>
        <w:tc>
          <w:tcPr>
            <w:tcW w:type="dxa" w:w="1701"/>
            <w:vAlign w:val="center"/>
          </w:tcPr>
          <w:p>
            <w:pPr>
              <w:jc w:val="left"/>
            </w:pPr>
            <w:r/>
            <w:r>
              <w:rPr>
                <w:rFonts w:ascii="Times New Roman" w:hAnsi="Times New Roman" w:eastAsia="宋体"/>
                <w:b w:val="0"/>
                <w:sz w:val="20"/>
              </w:rPr>
              <w:t>MA250（年线）</w:t>
            </w:r>
          </w:p>
        </w:tc>
        <w:tc>
          <w:tcPr>
            <w:tcW w:type="dxa" w:w="1701"/>
            <w:vAlign w:val="center"/>
          </w:tcPr>
          <w:p>
            <w:pPr>
              <w:jc w:val="left"/>
            </w:pPr>
            <w:r/>
            <w:r>
              <w:rPr>
                <w:rFonts w:ascii="Times New Roman" w:hAnsi="Times New Roman" w:eastAsia="宋体"/>
                <w:b w:val="0"/>
                <w:sz w:val="20"/>
              </w:rPr>
              <w:t>牛熊分界</w:t>
            </w:r>
          </w:p>
        </w:tc>
        <w:tc>
          <w:tcPr>
            <w:tcW w:type="dxa" w:w="1701"/>
            <w:vAlign w:val="center"/>
          </w:tcPr>
          <w:p>
            <w:pPr>
              <w:jc w:val="left"/>
            </w:pPr>
            <w:r/>
            <w:r>
              <w:rPr>
                <w:rFonts w:ascii="Times New Roman" w:hAnsi="Times New Roman" w:eastAsia="宋体"/>
                <w:b w:val="0"/>
                <w:sz w:val="20"/>
              </w:rPr>
              <w:t>跌破则熊市确认</w:t>
            </w:r>
          </w:p>
        </w:tc>
        <w:tc>
          <w:tcPr>
            <w:tcW w:type="dxa" w:w="1701"/>
            <w:vAlign w:val="center"/>
          </w:tcPr>
          <w:p>
            <w:pPr>
              <w:jc w:val="left"/>
            </w:pPr>
            <w:r/>
            <w:r>
              <w:rPr>
                <w:rFonts w:ascii="Times New Roman" w:hAnsi="Times New Roman" w:eastAsia="宋体"/>
                <w:b w:val="0"/>
                <w:sz w:val="20"/>
              </w:rPr>
              <w:t>绝对空仓、不抄底</w:t>
            </w:r>
          </w:p>
        </w:tc>
      </w:tr>
    </w:tbl>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多级支撑的实战价值：股价在多头排列中的每次回踩，都可能触及不同级别的支撑。短线交易者关注MA5/MA10的回踩；波段交易者关注MA20；中线交易者关注MA60；长线交易者关注MA120/MA250。不同级别的买点，应匹配不同的持仓周期。</w:t>
            </w:r>
          </w:p>
        </w:tc>
      </w:tr>
    </w:tbl>
    <w:p>
      <w:pPr>
        <w:spacing w:before="280" w:after="160"/>
      </w:pPr>
      <w:r>
        <w:rPr>
          <w:rFonts w:ascii="Times New Roman" w:hAnsi="Times New Roman" w:eastAsia="微软雅黑"/>
          <w:b/>
          <w:color w:val="2E75B6"/>
          <w:sz w:val="26"/>
        </w:rPr>
        <w:t>4.2 空头排列的标准与分级</w:t>
      </w:r>
    </w:p>
    <w:p>
      <w:pPr>
        <w:spacing w:line="360" w:lineRule="auto" w:after="80"/>
        <w:ind w:firstLine="440"/>
      </w:pPr>
      <w:r>
        <w:rPr>
          <w:rFonts w:ascii="Times New Roman" w:hAnsi="Times New Roman" w:eastAsia="宋体"/>
          <w:b w:val="0"/>
          <w:sz w:val="22"/>
        </w:rPr>
        <w:t>空头排列是多头排列的镜像，指长期均线在上、中期均线居中、短期均线在下，且所有均线均向下运行的排列状态。</w:t>
      </w:r>
    </w:p>
    <w:p>
      <w:pPr>
        <w:spacing w:before="200" w:after="120"/>
      </w:pPr>
      <w:r>
        <w:rPr>
          <w:rFonts w:ascii="Times New Roman" w:hAnsi="Times New Roman" w:eastAsia="微软雅黑"/>
          <w:b/>
          <w:color w:val="44546A"/>
          <w:sz w:val="24"/>
        </w:rPr>
        <w:t>4.2.1 标准空头排列的判断条件</w:t>
      </w:r>
    </w:p>
    <w:p>
      <w:pPr>
        <w:spacing w:line="360" w:lineRule="auto" w:after="80"/>
        <w:ind w:firstLine="440"/>
      </w:pPr>
      <w:r>
        <w:rPr>
          <w:rFonts w:ascii="Times New Roman" w:hAnsi="Times New Roman" w:eastAsia="宋体"/>
          <w:b w:val="0"/>
          <w:sz w:val="22"/>
        </w:rPr>
        <w:t>完整空头排列要求：MA250 &gt; MA120 &gt; MA60 &gt; MA20 &gt; MA10 &gt; MA5，所有均线方向向下，股价运行于全部均线之下。这是最弱势的空头格局，也是投资者最需要规避的市场状态。</w:t>
      </w:r>
    </w:p>
    <w:p>
      <w:pPr>
        <w:spacing w:before="200" w:after="120"/>
      </w:pPr>
      <w:r>
        <w:rPr>
          <w:rFonts w:ascii="Times New Roman" w:hAnsi="Times New Roman" w:eastAsia="微软雅黑"/>
          <w:b/>
          <w:color w:val="44546A"/>
          <w:sz w:val="24"/>
        </w:rPr>
        <w:t>4.2.2 空头排列中的阻力规则</w:t>
      </w:r>
    </w:p>
    <w:p>
      <w:pPr>
        <w:spacing w:line="360" w:lineRule="auto" w:after="80"/>
        <w:ind w:firstLine="440"/>
      </w:pPr>
      <w:r>
        <w:rPr>
          <w:rFonts w:ascii="Times New Roman" w:hAnsi="Times New Roman" w:eastAsia="宋体"/>
          <w:b w:val="0"/>
          <w:sz w:val="22"/>
        </w:rPr>
        <w:t>在空头排列中，均线按照从近到远的顺序依次构成不同级别的阻力：</w:t>
      </w:r>
    </w:p>
    <w:p>
      <w:pPr>
        <w:spacing w:line="360" w:lineRule="auto" w:after="80"/>
        <w:ind w:firstLine="440"/>
      </w:pPr>
      <w:r>
        <w:rPr>
          <w:rFonts w:ascii="Times New Roman" w:hAnsi="Times New Roman" w:eastAsia="宋体"/>
          <w:b w:val="0"/>
          <w:sz w:val="22"/>
        </w:rPr>
        <w:t>• MA5和MA10构成第一阻力带，是短线反弹的卖出区域；</w:t>
      </w:r>
    </w:p>
    <w:p>
      <w:pPr>
        <w:spacing w:line="360" w:lineRule="auto" w:after="80"/>
        <w:ind w:firstLine="440"/>
      </w:pPr>
      <w:r>
        <w:rPr>
          <w:rFonts w:ascii="Times New Roman" w:hAnsi="Times New Roman" w:eastAsia="宋体"/>
          <w:b w:val="0"/>
          <w:sz w:val="22"/>
        </w:rPr>
        <w:t>• MA20构成第二阻力位，反弹至此通常会遇到较大卖压；</w:t>
      </w:r>
    </w:p>
    <w:p>
      <w:pPr>
        <w:spacing w:line="360" w:lineRule="auto" w:after="80"/>
        <w:ind w:firstLine="440"/>
      </w:pPr>
      <w:r>
        <w:rPr>
          <w:rFonts w:ascii="Times New Roman" w:hAnsi="Times New Roman" w:eastAsia="宋体"/>
          <w:b w:val="0"/>
          <w:sz w:val="22"/>
        </w:rPr>
        <w:t>• MA60构成第三阻力位，能突破MA60则空头排列可能开始瓦解；</w:t>
      </w:r>
    </w:p>
    <w:p>
      <w:pPr>
        <w:spacing w:line="360" w:lineRule="auto" w:after="80"/>
        <w:ind w:firstLine="440"/>
      </w:pPr>
      <w:r>
        <w:rPr>
          <w:rFonts w:ascii="Times New Roman" w:hAnsi="Times New Roman" w:eastAsia="宋体"/>
          <w:b w:val="0"/>
          <w:sz w:val="22"/>
        </w:rPr>
        <w:t>• MA120和MA250构成终极阻力，突破这些均线才意味着熊转牛。</w:t>
      </w:r>
    </w:p>
    <w:p>
      <w:pPr>
        <w:spacing w:before="280" w:after="160"/>
      </w:pPr>
      <w:r>
        <w:rPr>
          <w:rFonts w:ascii="Times New Roman" w:hAnsi="Times New Roman" w:eastAsia="微软雅黑"/>
          <w:b/>
          <w:color w:val="2E75B6"/>
          <w:sz w:val="26"/>
        </w:rPr>
        <w:t>4.3 均线排列的转化过程</w:t>
      </w:r>
    </w:p>
    <w:p>
      <w:pPr>
        <w:spacing w:line="360" w:lineRule="auto" w:after="80"/>
        <w:ind w:firstLine="440"/>
      </w:pPr>
      <w:r>
        <w:rPr>
          <w:rFonts w:ascii="Times New Roman" w:hAnsi="Times New Roman" w:eastAsia="宋体"/>
          <w:b w:val="0"/>
          <w:sz w:val="22"/>
        </w:rPr>
        <w:t>均线排列从空头转向多头（或从多头转向空头）通常经历三个阶段，是趋势反转的完整路径图：</w:t>
      </w:r>
    </w:p>
    <w:p>
      <w:pPr>
        <w:spacing w:before="200" w:after="120"/>
      </w:pPr>
      <w:r>
        <w:rPr>
          <w:rFonts w:ascii="Times New Roman" w:hAnsi="Times New Roman" w:eastAsia="微软雅黑"/>
          <w:b/>
          <w:color w:val="44546A"/>
          <w:sz w:val="24"/>
        </w:rPr>
        <w:t>4.3.1 第一阶段——粘合期</w:t>
      </w:r>
    </w:p>
    <w:p>
      <w:pPr>
        <w:spacing w:line="360" w:lineRule="auto" w:after="80"/>
        <w:ind w:firstLine="440"/>
      </w:pPr>
      <w:r>
        <w:rPr>
          <w:rFonts w:ascii="Times New Roman" w:hAnsi="Times New Roman" w:eastAsia="宋体"/>
          <w:b w:val="0"/>
          <w:sz w:val="22"/>
        </w:rPr>
        <w:t>原有排列的均线开始收敛聚拢，间距逐渐缩小，多条均线几乎粘合在一起。这个阶段的典型特征：</w:t>
      </w:r>
    </w:p>
    <w:p>
      <w:pPr>
        <w:spacing w:line="360" w:lineRule="auto" w:after="80"/>
        <w:ind w:firstLine="440"/>
      </w:pPr>
      <w:r>
        <w:rPr>
          <w:rFonts w:ascii="Times New Roman" w:hAnsi="Times New Roman" w:eastAsia="宋体"/>
          <w:b w:val="0"/>
          <w:sz w:val="22"/>
        </w:rPr>
        <w:t>• 均线斜率减小，趋向走平；</w:t>
      </w:r>
    </w:p>
    <w:p>
      <w:pPr>
        <w:spacing w:line="360" w:lineRule="auto" w:after="80"/>
        <w:ind w:firstLine="440"/>
      </w:pPr>
      <w:r>
        <w:rPr>
          <w:rFonts w:ascii="Times New Roman" w:hAnsi="Times New Roman" w:eastAsia="宋体"/>
          <w:b w:val="0"/>
          <w:sz w:val="22"/>
        </w:rPr>
        <w:t>• 股价在均线群附近横向整理；</w:t>
      </w:r>
    </w:p>
    <w:p>
      <w:pPr>
        <w:spacing w:line="360" w:lineRule="auto" w:after="80"/>
        <w:ind w:firstLine="440"/>
      </w:pPr>
      <w:r>
        <w:rPr>
          <w:rFonts w:ascii="Times New Roman" w:hAnsi="Times New Roman" w:eastAsia="宋体"/>
          <w:b w:val="0"/>
          <w:sz w:val="22"/>
        </w:rPr>
        <w:t>• 成交量显著萎缩（减至前期高峰的30%以下）；</w:t>
      </w:r>
    </w:p>
    <w:p>
      <w:pPr>
        <w:spacing w:line="360" w:lineRule="auto" w:after="80"/>
        <w:ind w:firstLine="440"/>
      </w:pPr>
      <w:r>
        <w:rPr>
          <w:rFonts w:ascii="Times New Roman" w:hAnsi="Times New Roman" w:eastAsia="宋体"/>
          <w:b w:val="0"/>
          <w:sz w:val="22"/>
        </w:rPr>
        <w:t>• 均线间距缩小到3%-5%以内。</w:t>
      </w:r>
    </w:p>
    <w:p>
      <w:pPr>
        <w:spacing w:line="360" w:lineRule="auto" w:after="80"/>
        <w:ind w:firstLine="440"/>
      </w:pPr>
      <w:r>
        <w:rPr>
          <w:rFonts w:ascii="Times New Roman" w:hAnsi="Times New Roman" w:eastAsia="宋体"/>
          <w:b w:val="0"/>
          <w:sz w:val="22"/>
        </w:rPr>
        <w:t>这个阶段表明原有趋势正在衰竭，市场处于方向选择的关键期。粘合时间越长，后续突破的力度越大，通常粘合3-6个月的后续行情最为壮观。</w:t>
      </w:r>
    </w:p>
    <w:p>
      <w:pPr>
        <w:spacing w:before="200" w:after="120"/>
      </w:pPr>
      <w:r>
        <w:rPr>
          <w:rFonts w:ascii="Times New Roman" w:hAnsi="Times New Roman" w:eastAsia="微软雅黑"/>
          <w:b/>
          <w:color w:val="44546A"/>
          <w:sz w:val="24"/>
        </w:rPr>
        <w:t>4.3.2 第二阶段——交叉期</w:t>
      </w:r>
    </w:p>
    <w:p>
      <w:pPr>
        <w:spacing w:line="360" w:lineRule="auto" w:after="80"/>
        <w:ind w:firstLine="440"/>
      </w:pPr>
      <w:r>
        <w:rPr>
          <w:rFonts w:ascii="Times New Roman" w:hAnsi="Times New Roman" w:eastAsia="宋体"/>
          <w:b w:val="0"/>
          <w:sz w:val="22"/>
        </w:rPr>
        <w:t>短期均线率先改变方向，逐一穿越中期和长期均线，形成一系列金叉或死叉。这个阶段是趋势转换的核心过程，也是『连锁交叉』高发期：</w:t>
      </w:r>
    </w:p>
    <w:p>
      <w:pPr>
        <w:spacing w:line="360" w:lineRule="auto" w:after="80"/>
        <w:ind w:firstLine="440"/>
      </w:pPr>
      <w:r>
        <w:rPr>
          <w:rFonts w:ascii="Times New Roman" w:hAnsi="Times New Roman" w:eastAsia="宋体"/>
          <w:b w:val="0"/>
          <w:sz w:val="22"/>
        </w:rPr>
        <w:t>• 向多头转：MA5金叉MA10 → MA5金叉MA20 → MA10金叉MA20 → 短线先上行 → 中长期随后跟上。</w:t>
      </w:r>
    </w:p>
    <w:p>
      <w:pPr>
        <w:spacing w:line="360" w:lineRule="auto" w:after="80"/>
        <w:ind w:firstLine="440"/>
      </w:pPr>
      <w:r>
        <w:rPr>
          <w:rFonts w:ascii="Times New Roman" w:hAnsi="Times New Roman" w:eastAsia="宋体"/>
          <w:b w:val="0"/>
          <w:sz w:val="22"/>
        </w:rPr>
        <w:t>• 向空头转：MA5死叉MA10 → MA5死叉MA20 → MA10死叉MA20 → 短线先下行 → 中长期随后跟跌。</w:t>
      </w:r>
    </w:p>
    <w:p>
      <w:pPr>
        <w:spacing w:line="360" w:lineRule="auto" w:after="80"/>
        <w:ind w:firstLine="440"/>
      </w:pPr>
      <w:r>
        <w:rPr>
          <w:rFonts w:ascii="Times New Roman" w:hAnsi="Times New Roman" w:eastAsia="宋体"/>
          <w:b w:val="0"/>
          <w:sz w:val="22"/>
        </w:rPr>
        <w:t>交叉期的最佳买卖点：连锁交叉首次出现时（通常是短期间的2-3个金叉/死叉集中形成）。</w:t>
      </w:r>
    </w:p>
    <w:p>
      <w:pPr>
        <w:spacing w:before="200" w:after="120"/>
      </w:pPr>
      <w:r>
        <w:rPr>
          <w:rFonts w:ascii="Times New Roman" w:hAnsi="Times New Roman" w:eastAsia="微软雅黑"/>
          <w:b/>
          <w:color w:val="44546A"/>
          <w:sz w:val="24"/>
        </w:rPr>
        <w:t>4.3.3 第三阶段——发散期</w:t>
      </w:r>
    </w:p>
    <w:p>
      <w:pPr>
        <w:spacing w:line="360" w:lineRule="auto" w:after="80"/>
        <w:ind w:firstLine="440"/>
      </w:pPr>
      <w:r>
        <w:rPr>
          <w:rFonts w:ascii="Times New Roman" w:hAnsi="Times New Roman" w:eastAsia="宋体"/>
          <w:b w:val="0"/>
          <w:sz w:val="22"/>
        </w:rPr>
        <w:t>均线完成新的排列后开始向新的方向发散，间距逐渐扩大。新趋势确立并加速：</w:t>
      </w:r>
    </w:p>
    <w:p>
      <w:pPr>
        <w:spacing w:line="360" w:lineRule="auto" w:after="80"/>
        <w:ind w:firstLine="440"/>
      </w:pPr>
      <w:r>
        <w:rPr>
          <w:rFonts w:ascii="Times New Roman" w:hAnsi="Times New Roman" w:eastAsia="宋体"/>
          <w:b w:val="0"/>
          <w:sz w:val="22"/>
        </w:rPr>
        <w:t>• 多头发散：均线间距持续扩大，短线均线率先加速上行，形成多头排列的『喇叭口』形态。这是主升浪特征。</w:t>
      </w:r>
    </w:p>
    <w:p>
      <w:pPr>
        <w:spacing w:line="360" w:lineRule="auto" w:after="80"/>
        <w:ind w:firstLine="440"/>
      </w:pPr>
      <w:r>
        <w:rPr>
          <w:rFonts w:ascii="Times New Roman" w:hAnsi="Times New Roman" w:eastAsia="宋体"/>
          <w:b w:val="0"/>
          <w:sz w:val="22"/>
        </w:rPr>
        <w:t>• 空头发散：均线间距持续扩大，短线均线率先加速下跌，形成空头排列的『倒喇叭口』形态。这是主跌浪特征。</w:t>
      </w:r>
    </w:p>
    <w:p>
      <w:pPr>
        <w:spacing w:line="360" w:lineRule="auto" w:after="80"/>
        <w:ind w:firstLine="440"/>
      </w:pPr>
      <w:r>
        <w:rPr>
          <w:rFonts w:ascii="Times New Roman" w:hAnsi="Times New Roman" w:eastAsia="宋体"/>
          <w:b w:val="0"/>
          <w:sz w:val="22"/>
        </w:rPr>
        <w:t>发散阶段的投资策略：趋势加速阶段，应顺势操作，不追高（多头）或不抄底（空头）。</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完整的『粘合—交叉—发散』循环，就是均线体系反映的完整趋势反转过程。识别三阶段并在各阶段采取匹配策略，是均线实战的精髓。</w:t>
            </w:r>
          </w:p>
        </w:tc>
      </w:tr>
    </w:tbl>
    <w:p>
      <w:r>
        <w:br w:type="page"/>
      </w:r>
    </w:p>
    <w:p>
      <w:pPr>
        <w:spacing w:before="400" w:after="240"/>
      </w:pPr>
      <w:r>
        <w:rPr>
          <w:rFonts w:ascii="Times New Roman" w:hAnsi="Times New Roman" w:eastAsia="微软雅黑"/>
          <w:b/>
          <w:color w:val="1F4E78"/>
          <w:sz w:val="32"/>
        </w:rPr>
        <w:t>第五章  25种经典均线形态信号</w:t>
      </w:r>
    </w:p>
    <w:p>
      <w:pPr>
        <w:spacing w:line="360" w:lineRule="auto" w:after="80"/>
        <w:ind w:firstLine="440"/>
      </w:pPr>
      <w:r>
        <w:rPr>
          <w:rFonts w:ascii="Times New Roman" w:hAnsi="Times New Roman" w:eastAsia="宋体"/>
          <w:b w:val="0"/>
          <w:sz w:val="22"/>
        </w:rPr>
        <w:t>经过数十年实战积累，均线理论总结出25种经典形态。这些形态本质上是均线组合运动的特殊状态，识别它们能帮助投资者更早、更准地捕捉买卖点。以下按『多头形态→空头形态→特殊形态』分类详解。</w:t>
      </w:r>
    </w:p>
    <w:p>
      <w:pPr>
        <w:spacing w:before="280" w:after="160"/>
      </w:pPr>
      <w:r>
        <w:rPr>
          <w:rFonts w:ascii="Times New Roman" w:hAnsi="Times New Roman" w:eastAsia="微软雅黑"/>
          <w:b/>
          <w:color w:val="2E75B6"/>
          <w:sz w:val="26"/>
        </w:rPr>
        <w:t>5.1 多头形态（10种买入信号）</w:t>
      </w:r>
    </w:p>
    <w:p>
      <w:pPr>
        <w:spacing w:before="200" w:after="120"/>
      </w:pPr>
      <w:r>
        <w:rPr>
          <w:rFonts w:ascii="Times New Roman" w:hAnsi="Times New Roman" w:eastAsia="微软雅黑"/>
          <w:b/>
          <w:color w:val="44546A"/>
          <w:sz w:val="24"/>
        </w:rPr>
        <w:t>5.1.1 三线开花</w:t>
      </w:r>
    </w:p>
    <w:p>
      <w:pPr>
        <w:spacing w:line="360" w:lineRule="auto" w:after="80"/>
        <w:ind w:firstLine="440"/>
      </w:pPr>
      <w:r>
        <w:rPr>
          <w:rFonts w:ascii="Times New Roman" w:hAnsi="Times New Roman" w:eastAsia="宋体"/>
          <w:b w:val="0"/>
          <w:sz w:val="22"/>
        </w:rPr>
        <w:t>这是1250均线系统中最核心的多头形态，由中国本土研究者总结归纳而成。</w:t>
      </w:r>
    </w:p>
    <w:p>
      <w:pPr>
        <w:spacing w:line="360" w:lineRule="auto" w:after="80"/>
        <w:ind w:firstLine="440"/>
      </w:pPr>
      <w:r>
        <w:rPr>
          <w:rFonts w:ascii="Times New Roman" w:hAnsi="Times New Roman" w:eastAsia="宋体"/>
          <w:b w:val="0"/>
          <w:sz w:val="22"/>
        </w:rPr>
        <w:t>定义：20日均线、50日均线、120日均线三线依次由下而上穿越后，形成三条均线同时向上发散展开的形态，犹如花朵绽放。</w:t>
      </w:r>
    </w:p>
    <w:p>
      <w:pPr>
        <w:spacing w:line="360" w:lineRule="auto" w:after="80"/>
        <w:ind w:firstLine="440"/>
      </w:pPr>
      <w:r>
        <w:rPr>
          <w:rFonts w:ascii="Times New Roman" w:hAnsi="Times New Roman" w:eastAsia="宋体"/>
          <w:b w:val="0"/>
          <w:sz w:val="22"/>
        </w:rPr>
        <w:t>形成条件：(1) 20日均线上穿50日均线形成金叉；(2) 随后20日均线继续上穿120日均线；(3) 50日均线也上穿120日均线；(4) 三线开始同时向上发散。</w:t>
      </w:r>
    </w:p>
    <w:p>
      <w:pPr>
        <w:spacing w:line="360" w:lineRule="auto" w:after="80"/>
        <w:ind w:firstLine="440"/>
      </w:pPr>
      <w:r>
        <w:rPr>
          <w:rFonts w:ascii="Times New Roman" w:hAnsi="Times New Roman" w:eastAsia="宋体"/>
          <w:b w:val="0"/>
          <w:sz w:val="22"/>
        </w:rPr>
        <w:t>成功率：历史回测显示，该形态成功率高达90%以上，往往预示30%至300%的上涨空间，是强势股启动的重要标志。</w:t>
      </w:r>
    </w:p>
    <w:p>
      <w:pPr>
        <w:spacing w:line="360" w:lineRule="auto" w:after="80"/>
        <w:ind w:firstLine="440"/>
      </w:pPr>
      <w:r>
        <w:rPr>
          <w:rFonts w:ascii="Times New Roman" w:hAnsi="Times New Roman" w:eastAsia="宋体"/>
          <w:b w:val="0"/>
          <w:sz w:val="22"/>
        </w:rPr>
        <w:t>操作要点：三线开花形成后的首次回踩50日线不破，是绝佳买点；止损设在三线开花形态的最低点下方。</w:t>
      </w:r>
    </w:p>
    <w:p>
      <w:pPr>
        <w:spacing w:before="200" w:after="120"/>
      </w:pPr>
      <w:r>
        <w:rPr>
          <w:rFonts w:ascii="Times New Roman" w:hAnsi="Times New Roman" w:eastAsia="微软雅黑"/>
          <w:b/>
          <w:color w:val="44546A"/>
          <w:sz w:val="24"/>
        </w:rPr>
        <w:t>5.1.2 均线粘合后向上发散</w:t>
      </w:r>
    </w:p>
    <w:p>
      <w:pPr>
        <w:spacing w:line="360" w:lineRule="auto" w:after="80"/>
        <w:ind w:firstLine="440"/>
      </w:pPr>
      <w:r>
        <w:rPr>
          <w:rFonts w:ascii="Times New Roman" w:hAnsi="Times New Roman" w:eastAsia="宋体"/>
          <w:b w:val="0"/>
          <w:sz w:val="22"/>
        </w:rPr>
        <w:t>定义：当多条均线（通常是3条以上）在相近位置聚集，间距缩小到5%以内，然后突然向上突破、开始发散的形态。</w:t>
      </w:r>
    </w:p>
    <w:p>
      <w:pPr>
        <w:spacing w:line="360" w:lineRule="auto" w:after="80"/>
        <w:ind w:firstLine="440"/>
      </w:pPr>
      <w:r>
        <w:rPr>
          <w:rFonts w:ascii="Times New Roman" w:hAnsi="Times New Roman" w:eastAsia="宋体"/>
          <w:b w:val="0"/>
          <w:sz w:val="22"/>
        </w:rPr>
        <w:t>识别要点：粘合时间≥10个交易日；粘合期间成交量萎缩；突破日成交量放大2倍以上。</w:t>
      </w:r>
    </w:p>
    <w:p>
      <w:pPr>
        <w:spacing w:line="360" w:lineRule="auto" w:after="80"/>
        <w:ind w:firstLine="440"/>
      </w:pPr>
      <w:r>
        <w:rPr>
          <w:rFonts w:ascii="Times New Roman" w:hAnsi="Times New Roman" w:eastAsia="宋体"/>
          <w:b w:val="0"/>
          <w:sz w:val="22"/>
        </w:rPr>
        <w:t>操作要点：在粘合状态下持续关注，在向上突破确认时果断买入。粘合时间越长、参与粘合的均线越多，后续突破的力度越大。</w:t>
      </w:r>
    </w:p>
    <w:p>
      <w:pPr>
        <w:spacing w:before="200" w:after="120"/>
      </w:pPr>
      <w:r>
        <w:rPr>
          <w:rFonts w:ascii="Times New Roman" w:hAnsi="Times New Roman" w:eastAsia="微软雅黑"/>
          <w:b/>
          <w:color w:val="44546A"/>
          <w:sz w:val="24"/>
        </w:rPr>
        <w:t>5.1.3 均线多头首次发散</w:t>
      </w:r>
    </w:p>
    <w:p>
      <w:pPr>
        <w:spacing w:line="360" w:lineRule="auto" w:after="80"/>
        <w:ind w:firstLine="440"/>
      </w:pPr>
      <w:r>
        <w:rPr>
          <w:rFonts w:ascii="Times New Roman" w:hAnsi="Times New Roman" w:eastAsia="宋体"/>
          <w:b w:val="0"/>
          <w:sz w:val="22"/>
        </w:rPr>
        <w:t>定义：均线从粘合状态首次向多头方向发散，是新一轮上升趋势的起始点。</w:t>
      </w:r>
    </w:p>
    <w:p>
      <w:pPr>
        <w:spacing w:line="360" w:lineRule="auto" w:after="80"/>
        <w:ind w:firstLine="440"/>
      </w:pPr>
      <w:r>
        <w:rPr>
          <w:rFonts w:ascii="Times New Roman" w:hAnsi="Times New Roman" w:eastAsia="宋体"/>
          <w:b w:val="0"/>
          <w:sz w:val="22"/>
        </w:rPr>
        <w:t>识别要点：短期均线率先上行，中期均线跟随，成交量配合放大，股价强势突破均线带。</w:t>
      </w:r>
    </w:p>
    <w:p>
      <w:pPr>
        <w:spacing w:line="360" w:lineRule="auto" w:after="80"/>
        <w:ind w:firstLine="440"/>
      </w:pPr>
      <w:r>
        <w:rPr>
          <w:rFonts w:ascii="Times New Roman" w:hAnsi="Times New Roman" w:eastAsia="宋体"/>
          <w:b w:val="0"/>
          <w:sz w:val="22"/>
        </w:rPr>
        <w:t>操作要点：这是最早的介入机会，风险相对较小。适合中长期价值投资者。</w:t>
      </w:r>
    </w:p>
    <w:p>
      <w:pPr>
        <w:spacing w:before="200" w:after="120"/>
      </w:pPr>
      <w:r>
        <w:rPr>
          <w:rFonts w:ascii="Times New Roman" w:hAnsi="Times New Roman" w:eastAsia="微软雅黑"/>
          <w:b/>
          <w:color w:val="44546A"/>
          <w:sz w:val="24"/>
        </w:rPr>
        <w:t>5.1.4 火车轨形态</w:t>
      </w:r>
    </w:p>
    <w:p>
      <w:pPr>
        <w:spacing w:line="360" w:lineRule="auto" w:after="80"/>
        <w:ind w:firstLine="440"/>
      </w:pPr>
      <w:r>
        <w:rPr>
          <w:rFonts w:ascii="Times New Roman" w:hAnsi="Times New Roman" w:eastAsia="宋体"/>
          <w:b w:val="0"/>
          <w:sz w:val="22"/>
        </w:rPr>
        <w:t>定义：两条均线（通常是MA20和MA60）保持平行向上运行，股价在两条均线之间来回震荡。</w:t>
      </w:r>
    </w:p>
    <w:p>
      <w:pPr>
        <w:spacing w:line="360" w:lineRule="auto" w:after="80"/>
        <w:ind w:firstLine="440"/>
      </w:pPr>
      <w:r>
        <w:rPr>
          <w:rFonts w:ascii="Times New Roman" w:hAnsi="Times New Roman" w:eastAsia="宋体"/>
          <w:b w:val="0"/>
          <w:sz w:val="22"/>
        </w:rPr>
        <w:t>典型特征：两均线间距保持稳定，上轨（短期均线）为阻力，下轨（长期均线）为支撑，股价像列车一样在轨道内运行。</w:t>
      </w:r>
    </w:p>
    <w:p>
      <w:pPr>
        <w:spacing w:line="360" w:lineRule="auto" w:after="80"/>
        <w:ind w:firstLine="440"/>
      </w:pPr>
      <w:r>
        <w:rPr>
          <w:rFonts w:ascii="Times New Roman" w:hAnsi="Times New Roman" w:eastAsia="宋体"/>
          <w:b w:val="0"/>
          <w:sz w:val="22"/>
        </w:rPr>
        <w:t>操作要点：在股价接近下轨（较长周期均线）时买入，在接近上轨（较短周期均线）上方时部分获利了结。持仓周期以中线为主。</w:t>
      </w:r>
    </w:p>
    <w:p>
      <w:pPr>
        <w:spacing w:before="200" w:after="120"/>
      </w:pPr>
      <w:r>
        <w:rPr>
          <w:rFonts w:ascii="Times New Roman" w:hAnsi="Times New Roman" w:eastAsia="微软雅黑"/>
          <w:b/>
          <w:color w:val="44546A"/>
          <w:sz w:val="24"/>
        </w:rPr>
        <w:t>5.1.5 股价回踩均线不破</w:t>
      </w:r>
    </w:p>
    <w:p>
      <w:pPr>
        <w:spacing w:line="360" w:lineRule="auto" w:after="80"/>
        <w:ind w:firstLine="440"/>
      </w:pPr>
      <w:r>
        <w:rPr>
          <w:rFonts w:ascii="Times New Roman" w:hAnsi="Times New Roman" w:eastAsia="宋体"/>
          <w:b w:val="0"/>
          <w:sz w:val="22"/>
        </w:rPr>
        <w:t>定义：在多头排列中，股价从高位回落至某条重要均线（如MA20、MA30、MA60）附近获得支撑后再次上行。</w:t>
      </w:r>
    </w:p>
    <w:p>
      <w:pPr>
        <w:spacing w:line="360" w:lineRule="auto" w:after="80"/>
        <w:ind w:firstLine="440"/>
      </w:pPr>
      <w:r>
        <w:rPr>
          <w:rFonts w:ascii="Times New Roman" w:hAnsi="Times New Roman" w:eastAsia="宋体"/>
          <w:b w:val="0"/>
          <w:sz w:val="22"/>
        </w:rPr>
        <w:t>关键判断：回踩不破的均线周期越长，后续上涨的可靠性越高。回踩MA20不破→短线买点；回踩MA60不破→中线买点；回踩MA120不破→中长线买点。</w:t>
      </w:r>
    </w:p>
    <w:p>
      <w:pPr>
        <w:spacing w:line="360" w:lineRule="auto" w:after="80"/>
        <w:ind w:firstLine="440"/>
      </w:pPr>
      <w:r>
        <w:rPr>
          <w:rFonts w:ascii="Times New Roman" w:hAnsi="Times New Roman" w:eastAsia="宋体"/>
          <w:b w:val="0"/>
          <w:sz w:val="22"/>
        </w:rPr>
        <w:t>最佳买入点：价格触及均线并出现止跌K线信号（如下影线长阳、十字星、锤子线、启明星等）时。</w:t>
      </w:r>
    </w:p>
    <w:p>
      <w:pPr>
        <w:spacing w:before="200" w:after="120"/>
      </w:pPr>
      <w:r>
        <w:rPr>
          <w:rFonts w:ascii="Times New Roman" w:hAnsi="Times New Roman" w:eastAsia="微软雅黑"/>
          <w:b/>
          <w:color w:val="44546A"/>
          <w:sz w:val="24"/>
        </w:rPr>
        <w:t>5.1.6 回头望月</w:t>
      </w:r>
    </w:p>
    <w:p>
      <w:pPr>
        <w:spacing w:line="360" w:lineRule="auto" w:after="80"/>
        <w:ind w:firstLine="440"/>
      </w:pPr>
      <w:r>
        <w:rPr>
          <w:rFonts w:ascii="Times New Roman" w:hAnsi="Times New Roman" w:eastAsia="宋体"/>
          <w:b w:val="0"/>
          <w:sz w:val="22"/>
        </w:rPr>
        <w:t>定义：股价向上穿越250日均线后回落，但回落时并未跌破250日均线，随后再次上行。</w:t>
      </w:r>
    </w:p>
    <w:p>
      <w:pPr>
        <w:spacing w:line="360" w:lineRule="auto" w:after="80"/>
        <w:ind w:firstLine="440"/>
      </w:pPr>
      <w:r>
        <w:rPr>
          <w:rFonts w:ascii="Times New Roman" w:hAnsi="Times New Roman" w:eastAsia="宋体"/>
          <w:b w:val="0"/>
          <w:sz w:val="22"/>
        </w:rPr>
        <w:t>形态意义：表明年线支撑有效，中期强势格局确立，通常会迎来更大幅度的上涨。这是250日均线特有的多头确认形态。</w:t>
      </w:r>
    </w:p>
    <w:p>
      <w:pPr>
        <w:spacing w:line="360" w:lineRule="auto" w:after="80"/>
        <w:ind w:firstLine="440"/>
      </w:pPr>
      <w:r>
        <w:rPr>
          <w:rFonts w:ascii="Times New Roman" w:hAnsi="Times New Roman" w:eastAsia="宋体"/>
          <w:b w:val="0"/>
          <w:sz w:val="22"/>
        </w:rPr>
        <w:t>操作价值：这是典型的『确认后买入』机会，虽然不是最早介入点，但胜率极高，适合稳健型投资者。</w:t>
      </w:r>
    </w:p>
    <w:p>
      <w:pPr>
        <w:spacing w:before="200" w:after="120"/>
      </w:pPr>
      <w:r>
        <w:rPr>
          <w:rFonts w:ascii="Times New Roman" w:hAnsi="Times New Roman" w:eastAsia="微软雅黑"/>
          <w:b/>
          <w:color w:val="44546A"/>
          <w:sz w:val="24"/>
        </w:rPr>
        <w:t>5.1.7 银山谷</w:t>
      </w:r>
    </w:p>
    <w:p>
      <w:pPr>
        <w:spacing w:line="360" w:lineRule="auto" w:after="80"/>
        <w:ind w:firstLine="440"/>
      </w:pPr>
      <w:r>
        <w:rPr>
          <w:rFonts w:ascii="Times New Roman" w:hAnsi="Times New Roman" w:eastAsia="宋体"/>
          <w:b w:val="0"/>
          <w:sz w:val="22"/>
        </w:rPr>
        <w:t>定义：短期均线、中期均线、长期均线三条均线首次交叉向上形成的封闭三角形区域。</w:t>
      </w:r>
    </w:p>
    <w:p>
      <w:pPr>
        <w:spacing w:line="360" w:lineRule="auto" w:after="80"/>
        <w:ind w:firstLine="440"/>
      </w:pPr>
      <w:r>
        <w:rPr>
          <w:rFonts w:ascii="Times New Roman" w:hAnsi="Times New Roman" w:eastAsia="宋体"/>
          <w:b w:val="0"/>
          <w:sz w:val="22"/>
        </w:rPr>
        <w:t>形态意义：是底部反转的第一次买入信号，由于只经历了一次交叉，可靠性较低，可试探性建仓。</w:t>
      </w:r>
    </w:p>
    <w:p>
      <w:pPr>
        <w:spacing w:line="360" w:lineRule="auto" w:after="80"/>
        <w:ind w:firstLine="440"/>
      </w:pPr>
      <w:r>
        <w:rPr>
          <w:rFonts w:ascii="Times New Roman" w:hAnsi="Times New Roman" w:eastAsia="宋体"/>
          <w:b w:val="0"/>
          <w:sz w:val="22"/>
        </w:rPr>
        <w:t>操作要点：仓位控制在30%以内，止损设在银山谷底部，目标观察是否形成后续的金山谷。</w:t>
      </w:r>
    </w:p>
    <w:p>
      <w:pPr>
        <w:spacing w:before="200" w:after="120"/>
      </w:pPr>
      <w:r>
        <w:rPr>
          <w:rFonts w:ascii="Times New Roman" w:hAnsi="Times New Roman" w:eastAsia="微软雅黑"/>
          <w:b/>
          <w:color w:val="44546A"/>
          <w:sz w:val="24"/>
        </w:rPr>
        <w:t>5.1.8 金山谷</w:t>
      </w:r>
    </w:p>
    <w:p>
      <w:pPr>
        <w:spacing w:line="360" w:lineRule="auto" w:after="80"/>
        <w:ind w:firstLine="440"/>
      </w:pPr>
      <w:r>
        <w:rPr>
          <w:rFonts w:ascii="Times New Roman" w:hAnsi="Times New Roman" w:eastAsia="宋体"/>
          <w:b w:val="0"/>
          <w:sz w:val="22"/>
        </w:rPr>
        <w:t>定义：在银山谷之后出现的第二个三角形区域。</w:t>
      </w:r>
    </w:p>
    <w:p>
      <w:pPr>
        <w:spacing w:line="360" w:lineRule="auto" w:after="80"/>
        <w:ind w:firstLine="440"/>
      </w:pPr>
      <w:r>
        <w:rPr>
          <w:rFonts w:ascii="Times New Roman" w:hAnsi="Times New Roman" w:eastAsia="宋体"/>
          <w:b w:val="0"/>
          <w:sz w:val="22"/>
        </w:rPr>
        <w:t>形态意义：由于经过了一次回踩确认，可靠性大大提高，是重要的买入信号。金山谷的位置高于银山谷时，信号更强。</w:t>
      </w:r>
    </w:p>
    <w:p>
      <w:pPr>
        <w:spacing w:line="360" w:lineRule="auto" w:after="80"/>
        <w:ind w:firstLine="440"/>
      </w:pPr>
      <w:r>
        <w:rPr>
          <w:rFonts w:ascii="Times New Roman" w:hAnsi="Times New Roman" w:eastAsia="宋体"/>
          <w:b w:val="0"/>
          <w:sz w:val="22"/>
        </w:rPr>
        <w:t>操作要点：这是教科书级别的买点，可果断加仓。止损设在金山谷底部。</w:t>
      </w:r>
    </w:p>
    <w:p>
      <w:pPr>
        <w:spacing w:before="200" w:after="120"/>
      </w:pPr>
      <w:r>
        <w:rPr>
          <w:rFonts w:ascii="Times New Roman" w:hAnsi="Times New Roman" w:eastAsia="微软雅黑"/>
          <w:b/>
          <w:color w:val="44546A"/>
          <w:sz w:val="24"/>
        </w:rPr>
        <w:t>5.1.9 贴线上升</w:t>
      </w:r>
    </w:p>
    <w:p>
      <w:pPr>
        <w:spacing w:line="360" w:lineRule="auto" w:after="80"/>
        <w:ind w:firstLine="440"/>
      </w:pPr>
      <w:r>
        <w:rPr>
          <w:rFonts w:ascii="Times New Roman" w:hAnsi="Times New Roman" w:eastAsia="宋体"/>
          <w:b w:val="0"/>
          <w:sz w:val="22"/>
        </w:rPr>
        <w:t>定义：股价沿着某条均线（通常是MA5或MA20）紧密贴合上行，回调幅度极小。</w:t>
      </w:r>
    </w:p>
    <w:p>
      <w:pPr>
        <w:spacing w:line="360" w:lineRule="auto" w:after="80"/>
        <w:ind w:firstLine="440"/>
      </w:pPr>
      <w:r>
        <w:rPr>
          <w:rFonts w:ascii="Times New Roman" w:hAnsi="Times New Roman" w:eastAsia="宋体"/>
          <w:b w:val="0"/>
          <w:sz w:val="22"/>
        </w:rPr>
        <w:t>形态特征：股价基本不离开均线支撑；每次回调都是当日阳线完成；成交量保持温和持续放大。</w:t>
      </w:r>
    </w:p>
    <w:p>
      <w:pPr>
        <w:spacing w:line="360" w:lineRule="auto" w:after="80"/>
        <w:ind w:firstLine="440"/>
      </w:pPr>
      <w:r>
        <w:rPr>
          <w:rFonts w:ascii="Times New Roman" w:hAnsi="Times New Roman" w:eastAsia="宋体"/>
          <w:b w:val="0"/>
          <w:sz w:val="22"/>
        </w:rPr>
        <w:t>操作要点：这是极强势的多头形态，表明持股者惜售、买入力量持续。不应轻易卖出，可沿着贴合的均线设置动态止损（连续两日收盘跌破均线止损）。</w:t>
      </w:r>
    </w:p>
    <w:p>
      <w:pPr>
        <w:spacing w:before="200" w:after="120"/>
      </w:pPr>
      <w:r>
        <w:rPr>
          <w:rFonts w:ascii="Times New Roman" w:hAnsi="Times New Roman" w:eastAsia="微软雅黑"/>
          <w:b/>
          <w:color w:val="44546A"/>
          <w:sz w:val="24"/>
        </w:rPr>
        <w:t>5.1.10 均线多头加速发散</w:t>
      </w:r>
    </w:p>
    <w:p>
      <w:pPr>
        <w:spacing w:line="360" w:lineRule="auto" w:after="80"/>
        <w:ind w:firstLine="440"/>
      </w:pPr>
      <w:r>
        <w:rPr>
          <w:rFonts w:ascii="Times New Roman" w:hAnsi="Times New Roman" w:eastAsia="宋体"/>
          <w:b w:val="0"/>
          <w:sz w:val="22"/>
        </w:rPr>
        <w:t>定义：在多头排列中，均线间距持续扩大、发散角度持续增大的形态。</w:t>
      </w:r>
    </w:p>
    <w:p>
      <w:pPr>
        <w:spacing w:line="360" w:lineRule="auto" w:after="80"/>
        <w:ind w:firstLine="440"/>
      </w:pPr>
      <w:r>
        <w:rPr>
          <w:rFonts w:ascii="Times New Roman" w:hAnsi="Times New Roman" w:eastAsia="宋体"/>
          <w:b w:val="0"/>
          <w:sz w:val="22"/>
        </w:rPr>
        <w:t>形态意义：表明主升浪正在加速，多头力量极强。</w:t>
      </w:r>
    </w:p>
    <w:p>
      <w:pPr>
        <w:spacing w:line="360" w:lineRule="auto" w:after="80"/>
        <w:ind w:firstLine="440"/>
      </w:pPr>
      <w:r>
        <w:rPr>
          <w:rFonts w:ascii="Times New Roman" w:hAnsi="Times New Roman" w:eastAsia="宋体"/>
          <w:b w:val="0"/>
          <w:sz w:val="22"/>
        </w:rPr>
        <w:t>操作要点：持有不动，不轻易止盈。等到出现以下信号才考虑减仓：(1) 乖离率过大警戒值被触发；(2) 均线发散角度开始收敛；(3) 出现巨量滞涨K线。</w:t>
      </w:r>
    </w:p>
    <w:p>
      <w:pPr>
        <w:spacing w:before="280" w:after="160"/>
      </w:pPr>
      <w:r>
        <w:rPr>
          <w:rFonts w:ascii="Times New Roman" w:hAnsi="Times New Roman" w:eastAsia="微软雅黑"/>
          <w:b/>
          <w:color w:val="2E75B6"/>
          <w:sz w:val="26"/>
        </w:rPr>
        <w:t>5.2 空头形态（8种卖出信号）</w:t>
      </w:r>
    </w:p>
    <w:p>
      <w:pPr>
        <w:spacing w:before="200" w:after="120"/>
      </w:pPr>
      <w:r>
        <w:rPr>
          <w:rFonts w:ascii="Times New Roman" w:hAnsi="Times New Roman" w:eastAsia="微软雅黑"/>
          <w:b/>
          <w:color w:val="44546A"/>
          <w:sz w:val="24"/>
        </w:rPr>
        <w:t>5.2.1 三线闭合</w:t>
      </w:r>
    </w:p>
    <w:p>
      <w:pPr>
        <w:spacing w:line="360" w:lineRule="auto" w:after="80"/>
        <w:ind w:firstLine="440"/>
      </w:pPr>
      <w:r>
        <w:rPr>
          <w:rFonts w:ascii="Times New Roman" w:hAnsi="Times New Roman" w:eastAsia="宋体"/>
          <w:b w:val="0"/>
          <w:sz w:val="22"/>
        </w:rPr>
        <w:t>三线开花的反向形态。当原本发散运行的20日、50日、120日均线开始收敛聚拢，间距缩小到3%以内时，表示上升趋势正在衰竭，主力资金可能正在撤离。</w:t>
      </w:r>
    </w:p>
    <w:p>
      <w:pPr>
        <w:spacing w:line="360" w:lineRule="auto" w:after="80"/>
        <w:ind w:firstLine="440"/>
      </w:pPr>
      <w:r>
        <w:rPr>
          <w:rFonts w:ascii="Times New Roman" w:hAnsi="Times New Roman" w:eastAsia="宋体"/>
          <w:b w:val="0"/>
          <w:sz w:val="22"/>
        </w:rPr>
        <w:t>操作要点：逢高减仓或清仓，不可恋战。三线闭合后通常进入新一轮下跌或长期横盘。</w:t>
      </w:r>
    </w:p>
    <w:p>
      <w:pPr>
        <w:spacing w:before="200" w:after="120"/>
      </w:pPr>
      <w:r>
        <w:rPr>
          <w:rFonts w:ascii="Times New Roman" w:hAnsi="Times New Roman" w:eastAsia="微软雅黑"/>
          <w:b/>
          <w:color w:val="44546A"/>
          <w:sz w:val="24"/>
        </w:rPr>
        <w:t>5.2.2 均线粘合后向下发散</w:t>
      </w:r>
    </w:p>
    <w:p>
      <w:pPr>
        <w:spacing w:line="360" w:lineRule="auto" w:after="80"/>
        <w:ind w:firstLine="440"/>
      </w:pPr>
      <w:r>
        <w:rPr>
          <w:rFonts w:ascii="Times New Roman" w:hAnsi="Times New Roman" w:eastAsia="宋体"/>
          <w:b w:val="0"/>
          <w:sz w:val="22"/>
        </w:rPr>
        <w:t>与向上发散相反，当多条均线粘合后选择向下突破、开始向下发散时，是强烈的空头信号。</w:t>
      </w:r>
    </w:p>
    <w:p>
      <w:pPr>
        <w:spacing w:line="360" w:lineRule="auto" w:after="80"/>
        <w:ind w:firstLine="440"/>
      </w:pPr>
      <w:r>
        <w:rPr>
          <w:rFonts w:ascii="Times New Roman" w:hAnsi="Times New Roman" w:eastAsia="宋体"/>
          <w:b w:val="0"/>
          <w:sz w:val="22"/>
        </w:rPr>
        <w:t>形态意义：多空博弈的结果是空方胜出，后续下跌的空间可能很大。</w:t>
      </w:r>
    </w:p>
    <w:p>
      <w:pPr>
        <w:spacing w:line="360" w:lineRule="auto" w:after="80"/>
        <w:ind w:firstLine="440"/>
      </w:pPr>
      <w:r>
        <w:rPr>
          <w:rFonts w:ascii="Times New Roman" w:hAnsi="Times New Roman" w:eastAsia="宋体"/>
          <w:b w:val="0"/>
          <w:sz w:val="22"/>
        </w:rPr>
        <w:t>操作要点：在向下突破确认时果断卖出离场。粘合时间越长，后续下跌空间越大。</w:t>
      </w:r>
    </w:p>
    <w:p>
      <w:pPr>
        <w:spacing w:before="200" w:after="120"/>
      </w:pPr>
      <w:r>
        <w:rPr>
          <w:rFonts w:ascii="Times New Roman" w:hAnsi="Times New Roman" w:eastAsia="微软雅黑"/>
          <w:b/>
          <w:color w:val="44546A"/>
          <w:sz w:val="24"/>
        </w:rPr>
        <w:t>5.2.3 均线空头加速发散</w:t>
      </w:r>
    </w:p>
    <w:p>
      <w:pPr>
        <w:spacing w:line="360" w:lineRule="auto" w:after="80"/>
        <w:ind w:firstLine="440"/>
      </w:pPr>
      <w:r>
        <w:rPr>
          <w:rFonts w:ascii="Times New Roman" w:hAnsi="Times New Roman" w:eastAsia="宋体"/>
          <w:b w:val="0"/>
          <w:sz w:val="22"/>
        </w:rPr>
        <w:t>空头排列形成后，如果均线间距持续扩大、发散角度持续增大，表明空头趋势正在加速。</w:t>
      </w:r>
    </w:p>
    <w:p>
      <w:pPr>
        <w:spacing w:line="360" w:lineRule="auto" w:after="80"/>
        <w:ind w:firstLine="440"/>
      </w:pPr>
      <w:r>
        <w:rPr>
          <w:rFonts w:ascii="Times New Roman" w:hAnsi="Times New Roman" w:eastAsia="宋体"/>
          <w:b w:val="0"/>
          <w:sz w:val="22"/>
        </w:rPr>
        <w:t>操作要点：这个阶段绝不应抄底。应耐心等待均线间距开始收敛、发散角度减小的信号出现，那才是反转信号。</w:t>
      </w:r>
    </w:p>
    <w:p>
      <w:pPr>
        <w:spacing w:before="200" w:after="120"/>
      </w:pPr>
      <w:r>
        <w:rPr>
          <w:rFonts w:ascii="Times New Roman" w:hAnsi="Times New Roman" w:eastAsia="微软雅黑"/>
          <w:b/>
          <w:color w:val="44546A"/>
          <w:sz w:val="24"/>
        </w:rPr>
        <w:t>5.2.4 股价反弹至均线受阻</w:t>
      </w:r>
    </w:p>
    <w:p>
      <w:pPr>
        <w:spacing w:line="360" w:lineRule="auto" w:after="80"/>
        <w:ind w:firstLine="440"/>
      </w:pPr>
      <w:r>
        <w:rPr>
          <w:rFonts w:ascii="Times New Roman" w:hAnsi="Times New Roman" w:eastAsia="宋体"/>
          <w:b w:val="0"/>
          <w:sz w:val="22"/>
        </w:rPr>
        <w:t>在空头排列中，股价从低位反弹至某条重要均线（如MA20、MA60）附近遭遇阻力后再次下跌。</w:t>
      </w:r>
    </w:p>
    <w:p>
      <w:pPr>
        <w:spacing w:line="360" w:lineRule="auto" w:after="80"/>
        <w:ind w:firstLine="440"/>
      </w:pPr>
      <w:r>
        <w:rPr>
          <w:rFonts w:ascii="Times New Roman" w:hAnsi="Times New Roman" w:eastAsia="宋体"/>
          <w:b w:val="0"/>
          <w:sz w:val="22"/>
        </w:rPr>
        <w:t>操作要点：反弹受阻的均线周期越短，说明空头力量越强。反弹至MA20受阻→弱反弹卖出；反弹至MA60受阻→中等反弹卖出。</w:t>
      </w:r>
    </w:p>
    <w:p>
      <w:pPr>
        <w:spacing w:before="200" w:after="120"/>
      </w:pPr>
      <w:r>
        <w:rPr>
          <w:rFonts w:ascii="Times New Roman" w:hAnsi="Times New Roman" w:eastAsia="微软雅黑"/>
          <w:b/>
          <w:color w:val="44546A"/>
          <w:sz w:val="24"/>
        </w:rPr>
        <w:t>5.2.5 死亡谷</w:t>
      </w:r>
    </w:p>
    <w:p>
      <w:pPr>
        <w:spacing w:line="360" w:lineRule="auto" w:after="80"/>
        <w:ind w:firstLine="440"/>
      </w:pPr>
      <w:r>
        <w:rPr>
          <w:rFonts w:ascii="Times New Roman" w:hAnsi="Times New Roman" w:eastAsia="宋体"/>
          <w:b w:val="0"/>
          <w:sz w:val="22"/>
        </w:rPr>
        <w:t>金山谷的反向形态，短期均线、中期均线、长期均线交叉向下形成封闭三角形区域。</w:t>
      </w:r>
    </w:p>
    <w:p>
      <w:pPr>
        <w:spacing w:line="360" w:lineRule="auto" w:after="80"/>
        <w:ind w:firstLine="440"/>
      </w:pPr>
      <w:r>
        <w:rPr>
          <w:rFonts w:ascii="Times New Roman" w:hAnsi="Times New Roman" w:eastAsia="宋体"/>
          <w:b w:val="0"/>
          <w:sz w:val="22"/>
        </w:rPr>
        <w:t>形态意义：非常强烈的空头信号，往往预示大幅下跌的开始。</w:t>
      </w:r>
    </w:p>
    <w:p>
      <w:pPr>
        <w:spacing w:line="360" w:lineRule="auto" w:after="80"/>
        <w:ind w:firstLine="440"/>
      </w:pPr>
      <w:r>
        <w:rPr>
          <w:rFonts w:ascii="Times New Roman" w:hAnsi="Times New Roman" w:eastAsia="宋体"/>
          <w:b w:val="0"/>
          <w:sz w:val="22"/>
        </w:rPr>
        <w:t>操作要点：出现死亡谷时应立即清仓离场。不要心存侥幸。</w:t>
      </w:r>
    </w:p>
    <w:p>
      <w:pPr>
        <w:spacing w:before="200" w:after="120"/>
      </w:pPr>
      <w:r>
        <w:rPr>
          <w:rFonts w:ascii="Times New Roman" w:hAnsi="Times New Roman" w:eastAsia="微软雅黑"/>
          <w:b/>
          <w:color w:val="44546A"/>
          <w:sz w:val="24"/>
        </w:rPr>
        <w:t>5.2.6 贴线下跌</w:t>
      </w:r>
    </w:p>
    <w:p>
      <w:pPr>
        <w:spacing w:line="360" w:lineRule="auto" w:after="80"/>
        <w:ind w:firstLine="440"/>
      </w:pPr>
      <w:r>
        <w:rPr>
          <w:rFonts w:ascii="Times New Roman" w:hAnsi="Times New Roman" w:eastAsia="宋体"/>
          <w:b w:val="0"/>
          <w:sz w:val="22"/>
        </w:rPr>
        <w:t>贴线上升的反向形态。股价沿着某均线紧密贴合下跌，反弹极弱。</w:t>
      </w:r>
    </w:p>
    <w:p>
      <w:pPr>
        <w:spacing w:line="360" w:lineRule="auto" w:after="80"/>
        <w:ind w:firstLine="440"/>
      </w:pPr>
      <w:r>
        <w:rPr>
          <w:rFonts w:ascii="Times New Roman" w:hAnsi="Times New Roman" w:eastAsia="宋体"/>
          <w:b w:val="0"/>
          <w:sz w:val="22"/>
        </w:rPr>
        <w:t>操作要点：极弱空头形态，坚决空仓。每一次贴线反弹都是减仓机会。</w:t>
      </w:r>
    </w:p>
    <w:p>
      <w:pPr>
        <w:spacing w:before="200" w:after="120"/>
      </w:pPr>
      <w:r>
        <w:rPr>
          <w:rFonts w:ascii="Times New Roman" w:hAnsi="Times New Roman" w:eastAsia="微软雅黑"/>
          <w:b/>
          <w:color w:val="44546A"/>
          <w:sz w:val="24"/>
        </w:rPr>
        <w:t>5.2.7 断头铡刀</w:t>
      </w:r>
    </w:p>
    <w:p>
      <w:pPr>
        <w:spacing w:line="360" w:lineRule="auto" w:after="80"/>
        <w:ind w:firstLine="440"/>
      </w:pPr>
      <w:r>
        <w:rPr>
          <w:rFonts w:ascii="Times New Roman" w:hAnsi="Times New Roman" w:eastAsia="宋体"/>
          <w:b w:val="0"/>
          <w:sz w:val="22"/>
        </w:rPr>
        <w:t>定义：一根大阴线同时跌破3条以上均线（通常是MA5、MA10、MA20、甚至MA60）。</w:t>
      </w:r>
    </w:p>
    <w:p>
      <w:pPr>
        <w:spacing w:line="360" w:lineRule="auto" w:after="80"/>
        <w:ind w:firstLine="440"/>
      </w:pPr>
      <w:r>
        <w:rPr>
          <w:rFonts w:ascii="Times New Roman" w:hAnsi="Times New Roman" w:eastAsia="宋体"/>
          <w:b w:val="0"/>
          <w:sz w:val="22"/>
        </w:rPr>
        <w:t>形态意义：极强空头信号，多头防线全面崩溃，主力出货完毕。</w:t>
      </w:r>
    </w:p>
    <w:p>
      <w:pPr>
        <w:spacing w:line="360" w:lineRule="auto" w:after="80"/>
        <w:ind w:firstLine="440"/>
      </w:pPr>
      <w:r>
        <w:rPr>
          <w:rFonts w:ascii="Times New Roman" w:hAnsi="Times New Roman" w:eastAsia="宋体"/>
          <w:b w:val="0"/>
          <w:sz w:val="22"/>
        </w:rPr>
        <w:t>操作要点：立即止损，不问价位。后续通常有较长下跌期。</w:t>
      </w:r>
    </w:p>
    <w:p>
      <w:pPr>
        <w:spacing w:before="200" w:after="120"/>
      </w:pPr>
      <w:r>
        <w:rPr>
          <w:rFonts w:ascii="Times New Roman" w:hAnsi="Times New Roman" w:eastAsia="微软雅黑"/>
          <w:b/>
          <w:color w:val="44546A"/>
          <w:sz w:val="24"/>
        </w:rPr>
        <w:t>5.2.8 岛型反转向下</w:t>
      </w:r>
    </w:p>
    <w:p>
      <w:pPr>
        <w:spacing w:line="360" w:lineRule="auto" w:after="80"/>
        <w:ind w:firstLine="440"/>
      </w:pPr>
      <w:r>
        <w:rPr>
          <w:rFonts w:ascii="Times New Roman" w:hAnsi="Times New Roman" w:eastAsia="宋体"/>
          <w:b w:val="0"/>
          <w:sz w:val="22"/>
        </w:rPr>
        <w:t>定义：高位运行后，当日K线与前后K线形成上下两个跳空缺口，K线形成孤岛状。</w:t>
      </w:r>
    </w:p>
    <w:p>
      <w:pPr>
        <w:spacing w:line="360" w:lineRule="auto" w:after="80"/>
        <w:ind w:firstLine="440"/>
      </w:pPr>
      <w:r>
        <w:rPr>
          <w:rFonts w:ascii="Times New Roman" w:hAnsi="Times New Roman" w:eastAsia="宋体"/>
          <w:b w:val="0"/>
          <w:sz w:val="22"/>
        </w:rPr>
        <w:t>形态意义：典型顶部反转信号，尤其是配合缩量时。</w:t>
      </w:r>
    </w:p>
    <w:p>
      <w:pPr>
        <w:spacing w:line="360" w:lineRule="auto" w:after="80"/>
        <w:ind w:firstLine="440"/>
      </w:pPr>
      <w:r>
        <w:rPr>
          <w:rFonts w:ascii="Times New Roman" w:hAnsi="Times New Roman" w:eastAsia="宋体"/>
          <w:b w:val="0"/>
          <w:sz w:val="22"/>
        </w:rPr>
        <w:t>操作要点：岛型反转后，顶部确认。应果断减仓至空仓。</w:t>
      </w:r>
    </w:p>
    <w:p>
      <w:pPr>
        <w:spacing w:before="280" w:after="160"/>
      </w:pPr>
      <w:r>
        <w:rPr>
          <w:rFonts w:ascii="Times New Roman" w:hAnsi="Times New Roman" w:eastAsia="微软雅黑"/>
          <w:b/>
          <w:color w:val="2E75B6"/>
          <w:sz w:val="26"/>
        </w:rPr>
        <w:t>5.3 特殊形态与转折信号（7种）</w:t>
      </w:r>
    </w:p>
    <w:p>
      <w:pPr>
        <w:spacing w:before="200" w:after="120"/>
      </w:pPr>
      <w:r>
        <w:rPr>
          <w:rFonts w:ascii="Times New Roman" w:hAnsi="Times New Roman" w:eastAsia="微软雅黑"/>
          <w:b/>
          <w:color w:val="44546A"/>
          <w:sz w:val="24"/>
        </w:rPr>
        <w:t>5.3.1 均线粘合横向延伸</w:t>
      </w:r>
    </w:p>
    <w:p>
      <w:pPr>
        <w:spacing w:line="360" w:lineRule="auto" w:after="80"/>
        <w:ind w:firstLine="440"/>
      </w:pPr>
      <w:r>
        <w:rPr>
          <w:rFonts w:ascii="Times New Roman" w:hAnsi="Times New Roman" w:eastAsia="宋体"/>
          <w:b w:val="0"/>
          <w:sz w:val="22"/>
        </w:rPr>
        <w:t>多条均线长时间粘合，横盘整理。粘合时间&gt;10日，间距&lt;3%。这是蓄势阶段，方向尚未明确。</w:t>
      </w:r>
    </w:p>
    <w:p>
      <w:pPr>
        <w:spacing w:line="360" w:lineRule="auto" w:after="80"/>
        <w:ind w:firstLine="440"/>
      </w:pPr>
      <w:r>
        <w:rPr>
          <w:rFonts w:ascii="Times New Roman" w:hAnsi="Times New Roman" w:eastAsia="宋体"/>
          <w:b w:val="0"/>
          <w:sz w:val="22"/>
        </w:rPr>
        <w:t>操作要点：等待方向明确（向上或向下突破）后再行动。此时盲目操作最易亏损。</w:t>
      </w:r>
    </w:p>
    <w:p>
      <w:pPr>
        <w:spacing w:before="200" w:after="120"/>
      </w:pPr>
      <w:r>
        <w:rPr>
          <w:rFonts w:ascii="Times New Roman" w:hAnsi="Times New Roman" w:eastAsia="微软雅黑"/>
          <w:b/>
          <w:color w:val="44546A"/>
          <w:sz w:val="24"/>
        </w:rPr>
        <w:t>5.3.2 均线穿心</w:t>
      </w:r>
    </w:p>
    <w:p>
      <w:pPr>
        <w:spacing w:line="360" w:lineRule="auto" w:after="80"/>
        <w:ind w:firstLine="440"/>
      </w:pPr>
      <w:r>
        <w:rPr>
          <w:rFonts w:ascii="Times New Roman" w:hAnsi="Times New Roman" w:eastAsia="宋体"/>
          <w:b w:val="0"/>
          <w:sz w:val="22"/>
        </w:rPr>
        <w:t>短期均线快速穿越长期均线，穿越角度&gt;45°。这是急涨或急跌的特征。</w:t>
      </w:r>
    </w:p>
    <w:p>
      <w:pPr>
        <w:spacing w:line="360" w:lineRule="auto" w:after="80"/>
        <w:ind w:firstLine="440"/>
      </w:pPr>
      <w:r>
        <w:rPr>
          <w:rFonts w:ascii="Times New Roman" w:hAnsi="Times New Roman" w:eastAsia="宋体"/>
          <w:b w:val="0"/>
          <w:sz w:val="22"/>
        </w:rPr>
        <w:t>操作要点：顺势操作，但要提防反转。可结合RSI/KDJ判断超买超卖。</w:t>
      </w:r>
    </w:p>
    <w:p>
      <w:pPr>
        <w:spacing w:before="200" w:after="120"/>
      </w:pPr>
      <w:r>
        <w:rPr>
          <w:rFonts w:ascii="Times New Roman" w:hAnsi="Times New Roman" w:eastAsia="微软雅黑"/>
          <w:b/>
          <w:color w:val="44546A"/>
          <w:sz w:val="24"/>
        </w:rPr>
        <w:t>5.3.3 首阳不破</w:t>
      </w:r>
    </w:p>
    <w:p>
      <w:pPr>
        <w:spacing w:line="360" w:lineRule="auto" w:after="80"/>
        <w:ind w:firstLine="440"/>
      </w:pPr>
      <w:r>
        <w:rPr>
          <w:rFonts w:ascii="Times New Roman" w:hAnsi="Times New Roman" w:eastAsia="宋体"/>
          <w:b w:val="0"/>
          <w:sz w:val="22"/>
        </w:rPr>
        <w:t>阴跌后出现首根阳线（阳线实体&gt;50%，吞没前阴线50%以上）且不破前低。</w:t>
      </w:r>
    </w:p>
    <w:p>
      <w:pPr>
        <w:spacing w:line="360" w:lineRule="auto" w:after="80"/>
        <w:ind w:firstLine="440"/>
      </w:pPr>
      <w:r>
        <w:rPr>
          <w:rFonts w:ascii="Times New Roman" w:hAnsi="Times New Roman" w:eastAsia="宋体"/>
          <w:b w:val="0"/>
          <w:sz w:val="22"/>
        </w:rPr>
        <w:t>操作要点：典型短线买点。止损设在首阳最低点下方。</w:t>
      </w:r>
    </w:p>
    <w:p>
      <w:pPr>
        <w:spacing w:before="200" w:after="120"/>
      </w:pPr>
      <w:r>
        <w:rPr>
          <w:rFonts w:ascii="Times New Roman" w:hAnsi="Times New Roman" w:eastAsia="微软雅黑"/>
          <w:b/>
          <w:color w:val="44546A"/>
          <w:sz w:val="24"/>
        </w:rPr>
        <w:t>5.3.4 双针探底</w:t>
      </w:r>
    </w:p>
    <w:p>
      <w:pPr>
        <w:spacing w:line="360" w:lineRule="auto" w:after="80"/>
        <w:ind w:firstLine="440"/>
      </w:pPr>
      <w:r>
        <w:rPr>
          <w:rFonts w:ascii="Times New Roman" w:hAnsi="Times New Roman" w:eastAsia="宋体"/>
          <w:b w:val="0"/>
          <w:sz w:val="22"/>
        </w:rPr>
        <w:t>两根长下影线在支撑均线处出现，下影线触及MA60或更长均线。</w:t>
      </w:r>
    </w:p>
    <w:p>
      <w:pPr>
        <w:spacing w:line="360" w:lineRule="auto" w:after="80"/>
        <w:ind w:firstLine="440"/>
      </w:pPr>
      <w:r>
        <w:rPr>
          <w:rFonts w:ascii="Times New Roman" w:hAnsi="Times New Roman" w:eastAsia="宋体"/>
          <w:b w:val="0"/>
          <w:sz w:val="22"/>
        </w:rPr>
        <w:t>操作要点：强底部买入信号。第二根下影线确认后买入，止损设在两针最低点下方。</w:t>
      </w:r>
    </w:p>
    <w:p>
      <w:pPr>
        <w:spacing w:before="200" w:after="120"/>
      </w:pPr>
      <w:r>
        <w:rPr>
          <w:rFonts w:ascii="Times New Roman" w:hAnsi="Times New Roman" w:eastAsia="微软雅黑"/>
          <w:b/>
          <w:color w:val="44546A"/>
          <w:sz w:val="24"/>
        </w:rPr>
        <w:t>5.3.5 均线修复</w:t>
      </w:r>
    </w:p>
    <w:p>
      <w:pPr>
        <w:spacing w:line="360" w:lineRule="auto" w:after="80"/>
        <w:ind w:firstLine="440"/>
      </w:pPr>
      <w:r>
        <w:rPr>
          <w:rFonts w:ascii="Times New Roman" w:hAnsi="Times New Roman" w:eastAsia="宋体"/>
          <w:b w:val="0"/>
          <w:sz w:val="22"/>
        </w:rPr>
        <w:t>乖离过大后向均线回归的过程。正乖离率或负乖离率超过警戒值后，股价向均线方向回归。</w:t>
      </w:r>
    </w:p>
    <w:p>
      <w:pPr>
        <w:spacing w:line="360" w:lineRule="auto" w:after="80"/>
        <w:ind w:firstLine="440"/>
      </w:pPr>
      <w:r>
        <w:rPr>
          <w:rFonts w:ascii="Times New Roman" w:hAnsi="Times New Roman" w:eastAsia="宋体"/>
          <w:b w:val="0"/>
          <w:sz w:val="22"/>
        </w:rPr>
        <w:t>操作要点：修复中常出现波段反转机会。顺势减仓（正乖离修复）或低吸（负乖离修复）。</w:t>
      </w:r>
    </w:p>
    <w:p>
      <w:pPr>
        <w:spacing w:before="200" w:after="120"/>
      </w:pPr>
      <w:r>
        <w:rPr>
          <w:rFonts w:ascii="Times New Roman" w:hAnsi="Times New Roman" w:eastAsia="微软雅黑"/>
          <w:b/>
          <w:color w:val="44546A"/>
          <w:sz w:val="24"/>
        </w:rPr>
        <w:t>5.3.6 假突破/假跌破</w:t>
      </w:r>
    </w:p>
    <w:p>
      <w:pPr>
        <w:spacing w:line="360" w:lineRule="auto" w:after="80"/>
        <w:ind w:firstLine="440"/>
      </w:pPr>
      <w:r>
        <w:rPr>
          <w:rFonts w:ascii="Times New Roman" w:hAnsi="Times New Roman" w:eastAsia="宋体"/>
          <w:b w:val="0"/>
          <w:sz w:val="22"/>
        </w:rPr>
        <w:t>突破或跌破重要均线后，1-2日内快速反向收回。</w:t>
      </w:r>
    </w:p>
    <w:p>
      <w:pPr>
        <w:spacing w:line="360" w:lineRule="auto" w:after="80"/>
        <w:ind w:firstLine="440"/>
      </w:pPr>
      <w:r>
        <w:rPr>
          <w:rFonts w:ascii="Times New Roman" w:hAnsi="Times New Roman" w:eastAsia="宋体"/>
          <w:b w:val="0"/>
          <w:sz w:val="22"/>
        </w:rPr>
        <w:t>操作要点：这是反向操作的经典机会。假突破后做空；假跌破后做多。但需严格止损。</w:t>
      </w:r>
    </w:p>
    <w:p>
      <w:pPr>
        <w:spacing w:before="200" w:after="120"/>
      </w:pPr>
      <w:r>
        <w:rPr>
          <w:rFonts w:ascii="Times New Roman" w:hAnsi="Times New Roman" w:eastAsia="微软雅黑"/>
          <w:b/>
          <w:color w:val="44546A"/>
          <w:sz w:val="24"/>
        </w:rPr>
        <w:t>5.3.7 均线双死叉（MACD共振）</w:t>
      </w:r>
    </w:p>
    <w:p>
      <w:pPr>
        <w:spacing w:line="360" w:lineRule="auto" w:after="80"/>
        <w:ind w:firstLine="440"/>
      </w:pPr>
      <w:r>
        <w:rPr>
          <w:rFonts w:ascii="Times New Roman" w:hAnsi="Times New Roman" w:eastAsia="宋体"/>
          <w:b w:val="0"/>
          <w:sz w:val="22"/>
        </w:rPr>
        <w:t>均线死叉与MACD死叉在同一日形成，为多指标共振的强烈空头信号。</w:t>
      </w:r>
    </w:p>
    <w:p>
      <w:pPr>
        <w:spacing w:line="360" w:lineRule="auto" w:after="80"/>
        <w:ind w:firstLine="440"/>
      </w:pPr>
      <w:r>
        <w:rPr>
          <w:rFonts w:ascii="Times New Roman" w:hAnsi="Times New Roman" w:eastAsia="宋体"/>
          <w:b w:val="0"/>
          <w:sz w:val="22"/>
        </w:rPr>
        <w:t>操作要点：遇此形态立即减仓或清仓。共振信号比单一信号可靠数倍。</w:t>
      </w:r>
    </w:p>
    <w:p>
      <w:r>
        <w:br w:type="page"/>
      </w:r>
    </w:p>
    <w:p>
      <w:pPr>
        <w:spacing w:before="400" w:after="240"/>
      </w:pPr>
      <w:r>
        <w:rPr>
          <w:rFonts w:ascii="Times New Roman" w:hAnsi="Times New Roman" w:eastAsia="微软雅黑"/>
          <w:b/>
          <w:color w:val="1F4E78"/>
          <w:sz w:val="32"/>
        </w:rPr>
        <w:t>第六章  1250均线系统法则</w:t>
      </w:r>
    </w:p>
    <w:p>
      <w:pPr>
        <w:spacing w:before="280" w:after="160"/>
      </w:pPr>
      <w:r>
        <w:rPr>
          <w:rFonts w:ascii="Times New Roman" w:hAnsi="Times New Roman" w:eastAsia="微软雅黑"/>
          <w:b/>
          <w:color w:val="2E75B6"/>
          <w:sz w:val="26"/>
        </w:rPr>
        <w:t>6.1 系统概述</w:t>
      </w:r>
    </w:p>
    <w:p>
      <w:pPr>
        <w:spacing w:line="360" w:lineRule="auto" w:after="80"/>
        <w:ind w:firstLine="440"/>
      </w:pPr>
      <w:r>
        <w:rPr>
          <w:rFonts w:ascii="Times New Roman" w:hAnsi="Times New Roman" w:eastAsia="宋体"/>
          <w:b w:val="0"/>
          <w:sz w:val="22"/>
        </w:rPr>
        <w:t>1250均线系统法则是以20日均线、50日均线、120日均线、250日均线四条均线为核心构建的完整交易体系，源自《1250均线系统法则：三线开花》及续作。</w:t>
      </w:r>
    </w:p>
    <w:p>
      <w:pPr>
        <w:spacing w:line="360" w:lineRule="auto" w:after="80"/>
        <w:ind w:firstLine="440"/>
      </w:pPr>
      <w:r>
        <w:rPr>
          <w:rFonts w:ascii="Times New Roman" w:hAnsi="Times New Roman" w:eastAsia="宋体"/>
          <w:b w:val="0"/>
          <w:sz w:val="22"/>
        </w:rPr>
        <w:t>系统命名的由来：『1』代表120日线（半年线），『2』代表20日线（月线），『5』代表50日线（约季线），『0』代表250日线（年线）。这四条均线涵盖了从月度到年度的所有重要时间维度，构成完整的多周期分析框架。</w:t>
      </w:r>
    </w:p>
    <w:p>
      <w:pPr>
        <w:spacing w:line="360" w:lineRule="auto" w:after="80"/>
        <w:ind w:firstLine="440"/>
      </w:pPr>
      <w:r>
        <w:rPr>
          <w:rFonts w:ascii="Times New Roman" w:hAnsi="Times New Roman" w:eastAsia="宋体"/>
          <w:b w:val="0"/>
          <w:sz w:val="22"/>
        </w:rPr>
        <w:t>系统核心理念：通过四条均线的排列关系和交叉信号，全面判断股票的多空趋势；以『三线开花』为核心买点形态，以『三线闭合』为核心卖点形态。</w:t>
      </w:r>
    </w:p>
    <w:p>
      <w:pPr>
        <w:spacing w:before="280" w:after="160"/>
      </w:pPr>
      <w:r>
        <w:rPr>
          <w:rFonts w:ascii="Times New Roman" w:hAnsi="Times New Roman" w:eastAsia="微软雅黑"/>
          <w:b/>
          <w:color w:val="2E75B6"/>
          <w:sz w:val="26"/>
        </w:rPr>
        <w:t>6.2 四级多空排列标准</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排列级别</w:t>
            </w:r>
          </w:p>
        </w:tc>
        <w:tc>
          <w:tcPr>
            <w:tcW w:type="dxa" w:w="2551"/>
            <w:shd w:fill="2E75B6"/>
            <w:vAlign w:val="center"/>
          </w:tcPr>
          <w:p>
            <w:pPr>
              <w:jc w:val="center"/>
            </w:pPr>
            <w:r/>
            <w:r>
              <w:rPr>
                <w:rFonts w:ascii="Times New Roman" w:hAnsi="Times New Roman" w:eastAsia="微软雅黑"/>
                <w:b/>
                <w:color w:val="FFFFFF"/>
                <w:sz w:val="20"/>
              </w:rPr>
              <w:t>均线条件</w:t>
            </w:r>
          </w:p>
        </w:tc>
        <w:tc>
          <w:tcPr>
            <w:tcW w:type="dxa" w:w="1417"/>
            <w:shd w:fill="2E75B6"/>
            <w:vAlign w:val="center"/>
          </w:tcPr>
          <w:p>
            <w:pPr>
              <w:jc w:val="center"/>
            </w:pPr>
            <w:r/>
            <w:r>
              <w:rPr>
                <w:rFonts w:ascii="Times New Roman" w:hAnsi="Times New Roman" w:eastAsia="微软雅黑"/>
                <w:b/>
                <w:color w:val="FFFFFF"/>
                <w:sz w:val="20"/>
              </w:rPr>
              <w:t>市场含义</w:t>
            </w:r>
          </w:p>
        </w:tc>
        <w:tc>
          <w:tcPr>
            <w:tcW w:type="dxa" w:w="1984"/>
            <w:shd w:fill="2E75B6"/>
            <w:vAlign w:val="center"/>
          </w:tcPr>
          <w:p>
            <w:pPr>
              <w:jc w:val="center"/>
            </w:pPr>
            <w:r/>
            <w:r>
              <w:rPr>
                <w:rFonts w:ascii="Times New Roman" w:hAnsi="Times New Roman" w:eastAsia="微软雅黑"/>
                <w:b/>
                <w:color w:val="FFFFFF"/>
                <w:sz w:val="20"/>
              </w:rPr>
              <w:t>操作策略</w:t>
            </w:r>
          </w:p>
        </w:tc>
        <w:tc>
          <w:tcPr>
            <w:tcW w:type="dxa" w:w="1020"/>
            <w:shd w:fill="2E75B6"/>
            <w:vAlign w:val="center"/>
          </w:tcPr>
          <w:p>
            <w:pPr>
              <w:jc w:val="center"/>
            </w:pPr>
            <w:r/>
            <w:r>
              <w:rPr>
                <w:rFonts w:ascii="Times New Roman" w:hAnsi="Times New Roman" w:eastAsia="微软雅黑"/>
                <w:b/>
                <w:color w:val="FFFFFF"/>
                <w:sz w:val="20"/>
              </w:rPr>
              <w:t>建议仓位</w:t>
            </w:r>
          </w:p>
        </w:tc>
      </w:tr>
      <w:tr>
        <w:tc>
          <w:tcPr>
            <w:tcW w:type="dxa" w:w="1134"/>
            <w:vAlign w:val="center"/>
          </w:tcPr>
          <w:p>
            <w:pPr>
              <w:jc w:val="left"/>
            </w:pPr>
            <w:r/>
            <w:r>
              <w:rPr>
                <w:rFonts w:ascii="Times New Roman" w:hAnsi="Times New Roman" w:eastAsia="宋体"/>
                <w:b w:val="0"/>
                <w:sz w:val="20"/>
              </w:rPr>
              <w:t>纯多头排列</w:t>
            </w:r>
          </w:p>
        </w:tc>
        <w:tc>
          <w:tcPr>
            <w:tcW w:type="dxa" w:w="2551"/>
            <w:vAlign w:val="center"/>
          </w:tcPr>
          <w:p>
            <w:pPr>
              <w:jc w:val="left"/>
            </w:pPr>
            <w:r/>
            <w:r>
              <w:rPr>
                <w:rFonts w:ascii="Times New Roman" w:hAnsi="Times New Roman" w:eastAsia="宋体"/>
                <w:b w:val="0"/>
                <w:sz w:val="20"/>
              </w:rPr>
              <w:t>20日&gt;50日&gt;120日&gt;250日，四线向上，间距大</w:t>
            </w:r>
          </w:p>
        </w:tc>
        <w:tc>
          <w:tcPr>
            <w:tcW w:type="dxa" w:w="1417"/>
            <w:vAlign w:val="center"/>
          </w:tcPr>
          <w:p>
            <w:pPr>
              <w:jc w:val="left"/>
            </w:pPr>
            <w:r/>
            <w:r>
              <w:rPr>
                <w:rFonts w:ascii="Times New Roman" w:hAnsi="Times New Roman" w:eastAsia="宋体"/>
                <w:b w:val="0"/>
                <w:sz w:val="20"/>
              </w:rPr>
              <w:t>最强多头格局</w:t>
            </w:r>
          </w:p>
        </w:tc>
        <w:tc>
          <w:tcPr>
            <w:tcW w:type="dxa" w:w="1984"/>
            <w:vAlign w:val="center"/>
          </w:tcPr>
          <w:p>
            <w:pPr>
              <w:jc w:val="left"/>
            </w:pPr>
            <w:r/>
            <w:r>
              <w:rPr>
                <w:rFonts w:ascii="Times New Roman" w:hAnsi="Times New Roman" w:eastAsia="宋体"/>
                <w:b w:val="0"/>
                <w:sz w:val="20"/>
              </w:rPr>
              <w:t>重仓持有，回踩买入</w:t>
            </w:r>
          </w:p>
        </w:tc>
        <w:tc>
          <w:tcPr>
            <w:tcW w:type="dxa" w:w="1020"/>
            <w:vAlign w:val="center"/>
          </w:tcPr>
          <w:p>
            <w:pPr>
              <w:jc w:val="left"/>
            </w:pPr>
            <w:r/>
            <w:r>
              <w:rPr>
                <w:rFonts w:ascii="Times New Roman" w:hAnsi="Times New Roman" w:eastAsia="宋体"/>
                <w:b w:val="0"/>
                <w:sz w:val="20"/>
              </w:rPr>
              <w:t>80%-100%</w:t>
            </w:r>
          </w:p>
        </w:tc>
      </w:tr>
      <w:tr>
        <w:tc>
          <w:tcPr>
            <w:tcW w:type="dxa" w:w="1134"/>
            <w:vAlign w:val="center"/>
          </w:tcPr>
          <w:p>
            <w:pPr>
              <w:jc w:val="left"/>
            </w:pPr>
            <w:r/>
            <w:r>
              <w:rPr>
                <w:rFonts w:ascii="Times New Roman" w:hAnsi="Times New Roman" w:eastAsia="宋体"/>
                <w:b w:val="0"/>
                <w:sz w:val="20"/>
              </w:rPr>
              <w:t>多头排列</w:t>
            </w:r>
          </w:p>
        </w:tc>
        <w:tc>
          <w:tcPr>
            <w:tcW w:type="dxa" w:w="2551"/>
            <w:vAlign w:val="center"/>
          </w:tcPr>
          <w:p>
            <w:pPr>
              <w:jc w:val="left"/>
            </w:pPr>
            <w:r/>
            <w:r>
              <w:rPr>
                <w:rFonts w:ascii="Times New Roman" w:hAnsi="Times New Roman" w:eastAsia="宋体"/>
                <w:b w:val="0"/>
                <w:sz w:val="20"/>
              </w:rPr>
              <w:t>20日&gt;50日&gt;120日，250日位置灵活</w:t>
            </w:r>
          </w:p>
        </w:tc>
        <w:tc>
          <w:tcPr>
            <w:tcW w:type="dxa" w:w="1417"/>
            <w:vAlign w:val="center"/>
          </w:tcPr>
          <w:p>
            <w:pPr>
              <w:jc w:val="left"/>
            </w:pPr>
            <w:r/>
            <w:r>
              <w:rPr>
                <w:rFonts w:ascii="Times New Roman" w:hAnsi="Times New Roman" w:eastAsia="宋体"/>
                <w:b w:val="0"/>
                <w:sz w:val="20"/>
              </w:rPr>
              <w:t>标准多头格局</w:t>
            </w:r>
          </w:p>
        </w:tc>
        <w:tc>
          <w:tcPr>
            <w:tcW w:type="dxa" w:w="1984"/>
            <w:vAlign w:val="center"/>
          </w:tcPr>
          <w:p>
            <w:pPr>
              <w:jc w:val="left"/>
            </w:pPr>
            <w:r/>
            <w:r>
              <w:rPr>
                <w:rFonts w:ascii="Times New Roman" w:hAnsi="Times New Roman" w:eastAsia="宋体"/>
                <w:b w:val="0"/>
                <w:sz w:val="20"/>
              </w:rPr>
              <w:t>持有为主，回踩50日线买入</w:t>
            </w:r>
          </w:p>
        </w:tc>
        <w:tc>
          <w:tcPr>
            <w:tcW w:type="dxa" w:w="1020"/>
            <w:vAlign w:val="center"/>
          </w:tcPr>
          <w:p>
            <w:pPr>
              <w:jc w:val="left"/>
            </w:pPr>
            <w:r/>
            <w:r>
              <w:rPr>
                <w:rFonts w:ascii="Times New Roman" w:hAnsi="Times New Roman" w:eastAsia="宋体"/>
                <w:b w:val="0"/>
                <w:sz w:val="20"/>
              </w:rPr>
              <w:t>60%-80%</w:t>
            </w:r>
          </w:p>
        </w:tc>
      </w:tr>
      <w:tr>
        <w:tc>
          <w:tcPr>
            <w:tcW w:type="dxa" w:w="1134"/>
            <w:vAlign w:val="center"/>
          </w:tcPr>
          <w:p>
            <w:pPr>
              <w:jc w:val="left"/>
            </w:pPr>
            <w:r/>
            <w:r>
              <w:rPr>
                <w:rFonts w:ascii="Times New Roman" w:hAnsi="Times New Roman" w:eastAsia="宋体"/>
                <w:b w:val="0"/>
                <w:sz w:val="20"/>
              </w:rPr>
              <w:t>弱多头排列</w:t>
            </w:r>
          </w:p>
        </w:tc>
        <w:tc>
          <w:tcPr>
            <w:tcW w:type="dxa" w:w="2551"/>
            <w:vAlign w:val="center"/>
          </w:tcPr>
          <w:p>
            <w:pPr>
              <w:jc w:val="left"/>
            </w:pPr>
            <w:r/>
            <w:r>
              <w:rPr>
                <w:rFonts w:ascii="Times New Roman" w:hAnsi="Times New Roman" w:eastAsia="宋体"/>
                <w:b w:val="0"/>
                <w:sz w:val="20"/>
              </w:rPr>
              <w:t>20日&gt;50日，120/250日位置混合</w:t>
            </w:r>
          </w:p>
        </w:tc>
        <w:tc>
          <w:tcPr>
            <w:tcW w:type="dxa" w:w="1417"/>
            <w:vAlign w:val="center"/>
          </w:tcPr>
          <w:p>
            <w:pPr>
              <w:jc w:val="left"/>
            </w:pPr>
            <w:r/>
            <w:r>
              <w:rPr>
                <w:rFonts w:ascii="Times New Roman" w:hAnsi="Times New Roman" w:eastAsia="宋体"/>
                <w:b w:val="0"/>
                <w:sz w:val="20"/>
              </w:rPr>
              <w:t>初步多头</w:t>
            </w:r>
          </w:p>
        </w:tc>
        <w:tc>
          <w:tcPr>
            <w:tcW w:type="dxa" w:w="1984"/>
            <w:vAlign w:val="center"/>
          </w:tcPr>
          <w:p>
            <w:pPr>
              <w:jc w:val="left"/>
            </w:pPr>
            <w:r/>
            <w:r>
              <w:rPr>
                <w:rFonts w:ascii="Times New Roman" w:hAnsi="Times New Roman" w:eastAsia="宋体"/>
                <w:b w:val="0"/>
                <w:sz w:val="20"/>
              </w:rPr>
              <w:t>中等仓位，设置紧止损</w:t>
            </w:r>
          </w:p>
        </w:tc>
        <w:tc>
          <w:tcPr>
            <w:tcW w:type="dxa" w:w="1020"/>
            <w:vAlign w:val="center"/>
          </w:tcPr>
          <w:p>
            <w:pPr>
              <w:jc w:val="left"/>
            </w:pPr>
            <w:r/>
            <w:r>
              <w:rPr>
                <w:rFonts w:ascii="Times New Roman" w:hAnsi="Times New Roman" w:eastAsia="宋体"/>
                <w:b w:val="0"/>
                <w:sz w:val="20"/>
              </w:rPr>
              <w:t>30%-50%</w:t>
            </w:r>
          </w:p>
        </w:tc>
      </w:tr>
      <w:tr>
        <w:tc>
          <w:tcPr>
            <w:tcW w:type="dxa" w:w="1134"/>
            <w:vAlign w:val="center"/>
          </w:tcPr>
          <w:p>
            <w:pPr>
              <w:jc w:val="left"/>
            </w:pPr>
            <w:r/>
            <w:r>
              <w:rPr>
                <w:rFonts w:ascii="Times New Roman" w:hAnsi="Times New Roman" w:eastAsia="宋体"/>
                <w:b w:val="0"/>
                <w:sz w:val="20"/>
              </w:rPr>
              <w:t>混沌排列</w:t>
            </w:r>
          </w:p>
        </w:tc>
        <w:tc>
          <w:tcPr>
            <w:tcW w:type="dxa" w:w="2551"/>
            <w:vAlign w:val="center"/>
          </w:tcPr>
          <w:p>
            <w:pPr>
              <w:jc w:val="left"/>
            </w:pPr>
            <w:r/>
            <w:r>
              <w:rPr>
                <w:rFonts w:ascii="Times New Roman" w:hAnsi="Times New Roman" w:eastAsia="宋体"/>
                <w:b w:val="0"/>
                <w:sz w:val="20"/>
              </w:rPr>
              <w:t>四线缠绕，无明显序列</w:t>
            </w:r>
          </w:p>
        </w:tc>
        <w:tc>
          <w:tcPr>
            <w:tcW w:type="dxa" w:w="1417"/>
            <w:vAlign w:val="center"/>
          </w:tcPr>
          <w:p>
            <w:pPr>
              <w:jc w:val="left"/>
            </w:pPr>
            <w:r/>
            <w:r>
              <w:rPr>
                <w:rFonts w:ascii="Times New Roman" w:hAnsi="Times New Roman" w:eastAsia="宋体"/>
                <w:b w:val="0"/>
                <w:sz w:val="20"/>
              </w:rPr>
              <w:t>多空不明</w:t>
            </w:r>
          </w:p>
        </w:tc>
        <w:tc>
          <w:tcPr>
            <w:tcW w:type="dxa" w:w="1984"/>
            <w:vAlign w:val="center"/>
          </w:tcPr>
          <w:p>
            <w:pPr>
              <w:jc w:val="left"/>
            </w:pPr>
            <w:r/>
            <w:r>
              <w:rPr>
                <w:rFonts w:ascii="Times New Roman" w:hAnsi="Times New Roman" w:eastAsia="宋体"/>
                <w:b w:val="0"/>
                <w:sz w:val="20"/>
              </w:rPr>
              <w:t>观望为主</w:t>
            </w:r>
          </w:p>
        </w:tc>
        <w:tc>
          <w:tcPr>
            <w:tcW w:type="dxa" w:w="1020"/>
            <w:vAlign w:val="center"/>
          </w:tcPr>
          <w:p>
            <w:pPr>
              <w:jc w:val="left"/>
            </w:pPr>
            <w:r/>
            <w:r>
              <w:rPr>
                <w:rFonts w:ascii="Times New Roman" w:hAnsi="Times New Roman" w:eastAsia="宋体"/>
                <w:b w:val="0"/>
                <w:sz w:val="20"/>
              </w:rPr>
              <w:t>0%-20%</w:t>
            </w:r>
          </w:p>
        </w:tc>
      </w:tr>
      <w:tr>
        <w:tc>
          <w:tcPr>
            <w:tcW w:type="dxa" w:w="1134"/>
            <w:vAlign w:val="center"/>
          </w:tcPr>
          <w:p>
            <w:pPr>
              <w:jc w:val="left"/>
            </w:pPr>
            <w:r/>
            <w:r>
              <w:rPr>
                <w:rFonts w:ascii="Times New Roman" w:hAnsi="Times New Roman" w:eastAsia="宋体"/>
                <w:b w:val="0"/>
                <w:sz w:val="20"/>
              </w:rPr>
              <w:t>弱空头排列</w:t>
            </w:r>
          </w:p>
        </w:tc>
        <w:tc>
          <w:tcPr>
            <w:tcW w:type="dxa" w:w="2551"/>
            <w:vAlign w:val="center"/>
          </w:tcPr>
          <w:p>
            <w:pPr>
              <w:jc w:val="left"/>
            </w:pPr>
            <w:r/>
            <w:r>
              <w:rPr>
                <w:rFonts w:ascii="Times New Roman" w:hAnsi="Times New Roman" w:eastAsia="宋体"/>
                <w:b w:val="0"/>
                <w:sz w:val="20"/>
              </w:rPr>
              <w:t>20日&lt;50日，120/250日位置混合</w:t>
            </w:r>
          </w:p>
        </w:tc>
        <w:tc>
          <w:tcPr>
            <w:tcW w:type="dxa" w:w="1417"/>
            <w:vAlign w:val="center"/>
          </w:tcPr>
          <w:p>
            <w:pPr>
              <w:jc w:val="left"/>
            </w:pPr>
            <w:r/>
            <w:r>
              <w:rPr>
                <w:rFonts w:ascii="Times New Roman" w:hAnsi="Times New Roman" w:eastAsia="宋体"/>
                <w:b w:val="0"/>
                <w:sz w:val="20"/>
              </w:rPr>
              <w:t>初步空头</w:t>
            </w:r>
          </w:p>
        </w:tc>
        <w:tc>
          <w:tcPr>
            <w:tcW w:type="dxa" w:w="1984"/>
            <w:vAlign w:val="center"/>
          </w:tcPr>
          <w:p>
            <w:pPr>
              <w:jc w:val="left"/>
            </w:pPr>
            <w:r/>
            <w:r>
              <w:rPr>
                <w:rFonts w:ascii="Times New Roman" w:hAnsi="Times New Roman" w:eastAsia="宋体"/>
                <w:b w:val="0"/>
                <w:sz w:val="20"/>
              </w:rPr>
              <w:t>低仓或空仓</w:t>
            </w:r>
          </w:p>
        </w:tc>
        <w:tc>
          <w:tcPr>
            <w:tcW w:type="dxa" w:w="1020"/>
            <w:vAlign w:val="center"/>
          </w:tcPr>
          <w:p>
            <w:pPr>
              <w:jc w:val="left"/>
            </w:pPr>
            <w:r/>
            <w:r>
              <w:rPr>
                <w:rFonts w:ascii="Times New Roman" w:hAnsi="Times New Roman" w:eastAsia="宋体"/>
                <w:b w:val="0"/>
                <w:sz w:val="20"/>
              </w:rPr>
              <w:t>0%-20%</w:t>
            </w:r>
          </w:p>
        </w:tc>
      </w:tr>
      <w:tr>
        <w:tc>
          <w:tcPr>
            <w:tcW w:type="dxa" w:w="1134"/>
            <w:vAlign w:val="center"/>
          </w:tcPr>
          <w:p>
            <w:pPr>
              <w:jc w:val="left"/>
            </w:pPr>
            <w:r/>
            <w:r>
              <w:rPr>
                <w:rFonts w:ascii="Times New Roman" w:hAnsi="Times New Roman" w:eastAsia="宋体"/>
                <w:b w:val="0"/>
                <w:sz w:val="20"/>
              </w:rPr>
              <w:t>空头排列</w:t>
            </w:r>
          </w:p>
        </w:tc>
        <w:tc>
          <w:tcPr>
            <w:tcW w:type="dxa" w:w="2551"/>
            <w:vAlign w:val="center"/>
          </w:tcPr>
          <w:p>
            <w:pPr>
              <w:jc w:val="left"/>
            </w:pPr>
            <w:r/>
            <w:r>
              <w:rPr>
                <w:rFonts w:ascii="Times New Roman" w:hAnsi="Times New Roman" w:eastAsia="宋体"/>
                <w:b w:val="0"/>
                <w:sz w:val="20"/>
              </w:rPr>
              <w:t>20日&lt;50日&lt;120日</w:t>
            </w:r>
          </w:p>
        </w:tc>
        <w:tc>
          <w:tcPr>
            <w:tcW w:type="dxa" w:w="1417"/>
            <w:vAlign w:val="center"/>
          </w:tcPr>
          <w:p>
            <w:pPr>
              <w:jc w:val="left"/>
            </w:pPr>
            <w:r/>
            <w:r>
              <w:rPr>
                <w:rFonts w:ascii="Times New Roman" w:hAnsi="Times New Roman" w:eastAsia="宋体"/>
                <w:b w:val="0"/>
                <w:sz w:val="20"/>
              </w:rPr>
              <w:t>标准空头格局</w:t>
            </w:r>
          </w:p>
        </w:tc>
        <w:tc>
          <w:tcPr>
            <w:tcW w:type="dxa" w:w="1984"/>
            <w:vAlign w:val="center"/>
          </w:tcPr>
          <w:p>
            <w:pPr>
              <w:jc w:val="left"/>
            </w:pPr>
            <w:r/>
            <w:r>
              <w:rPr>
                <w:rFonts w:ascii="Times New Roman" w:hAnsi="Times New Roman" w:eastAsia="宋体"/>
                <w:b w:val="0"/>
                <w:sz w:val="20"/>
              </w:rPr>
              <w:t>空仓为主，反弹至50日线卖出</w:t>
            </w:r>
          </w:p>
        </w:tc>
        <w:tc>
          <w:tcPr>
            <w:tcW w:type="dxa" w:w="1020"/>
            <w:vAlign w:val="center"/>
          </w:tcPr>
          <w:p>
            <w:pPr>
              <w:jc w:val="left"/>
            </w:pPr>
            <w:r/>
            <w:r>
              <w:rPr>
                <w:rFonts w:ascii="Times New Roman" w:hAnsi="Times New Roman" w:eastAsia="宋体"/>
                <w:b w:val="0"/>
                <w:sz w:val="20"/>
              </w:rPr>
              <w:t>0%</w:t>
            </w:r>
          </w:p>
        </w:tc>
      </w:tr>
      <w:tr>
        <w:tc>
          <w:tcPr>
            <w:tcW w:type="dxa" w:w="1134"/>
            <w:vAlign w:val="center"/>
          </w:tcPr>
          <w:p>
            <w:pPr>
              <w:jc w:val="left"/>
            </w:pPr>
            <w:r/>
            <w:r>
              <w:rPr>
                <w:rFonts w:ascii="Times New Roman" w:hAnsi="Times New Roman" w:eastAsia="宋体"/>
                <w:b w:val="0"/>
                <w:sz w:val="20"/>
              </w:rPr>
              <w:t>纯空头排列</w:t>
            </w:r>
          </w:p>
        </w:tc>
        <w:tc>
          <w:tcPr>
            <w:tcW w:type="dxa" w:w="2551"/>
            <w:vAlign w:val="center"/>
          </w:tcPr>
          <w:p>
            <w:pPr>
              <w:jc w:val="left"/>
            </w:pPr>
            <w:r/>
            <w:r>
              <w:rPr>
                <w:rFonts w:ascii="Times New Roman" w:hAnsi="Times New Roman" w:eastAsia="宋体"/>
                <w:b w:val="0"/>
                <w:sz w:val="20"/>
              </w:rPr>
              <w:t>250日&gt;120日&gt;50日&gt;20日，四线向下</w:t>
            </w:r>
          </w:p>
        </w:tc>
        <w:tc>
          <w:tcPr>
            <w:tcW w:type="dxa" w:w="1417"/>
            <w:vAlign w:val="center"/>
          </w:tcPr>
          <w:p>
            <w:pPr>
              <w:jc w:val="left"/>
            </w:pPr>
            <w:r/>
            <w:r>
              <w:rPr>
                <w:rFonts w:ascii="Times New Roman" w:hAnsi="Times New Roman" w:eastAsia="宋体"/>
                <w:b w:val="0"/>
                <w:sz w:val="20"/>
              </w:rPr>
              <w:t>最弱空头格局</w:t>
            </w:r>
          </w:p>
        </w:tc>
        <w:tc>
          <w:tcPr>
            <w:tcW w:type="dxa" w:w="1984"/>
            <w:vAlign w:val="center"/>
          </w:tcPr>
          <w:p>
            <w:pPr>
              <w:jc w:val="left"/>
            </w:pPr>
            <w:r/>
            <w:r>
              <w:rPr>
                <w:rFonts w:ascii="Times New Roman" w:hAnsi="Times New Roman" w:eastAsia="宋体"/>
                <w:b w:val="0"/>
                <w:sz w:val="20"/>
              </w:rPr>
              <w:t>绝对空仓，不抄底</w:t>
            </w:r>
          </w:p>
        </w:tc>
        <w:tc>
          <w:tcPr>
            <w:tcW w:type="dxa" w:w="1020"/>
            <w:vAlign w:val="center"/>
          </w:tcPr>
          <w:p>
            <w:pPr>
              <w:jc w:val="left"/>
            </w:pPr>
            <w:r/>
            <w:r>
              <w:rPr>
                <w:rFonts w:ascii="Times New Roman" w:hAnsi="Times New Roman" w:eastAsia="宋体"/>
                <w:b w:val="0"/>
                <w:sz w:val="20"/>
              </w:rPr>
              <w:t>0%</w:t>
            </w:r>
          </w:p>
        </w:tc>
      </w:tr>
    </w:tbl>
    <w:p>
      <w:pPr>
        <w:spacing w:before="280" w:after="160"/>
      </w:pPr>
      <w:r>
        <w:rPr>
          <w:rFonts w:ascii="Times New Roman" w:hAnsi="Times New Roman" w:eastAsia="微软雅黑"/>
          <w:b/>
          <w:color w:val="2E75B6"/>
          <w:sz w:val="26"/>
        </w:rPr>
        <w:t>6.3 三线开花详细规则</w:t>
      </w:r>
    </w:p>
    <w:p>
      <w:pPr>
        <w:spacing w:line="360" w:lineRule="auto" w:after="80"/>
        <w:ind w:firstLine="440"/>
      </w:pPr>
      <w:r>
        <w:rPr>
          <w:rFonts w:ascii="Times New Roman" w:hAnsi="Times New Roman" w:eastAsia="宋体"/>
          <w:b w:val="0"/>
          <w:sz w:val="22"/>
        </w:rPr>
        <w:t>三线开花是1250系统中最具价值的多头信号形态，具体分为三种类型，可靠性和收益空间各不相同。</w:t>
      </w:r>
    </w:p>
    <w:p>
      <w:pPr>
        <w:spacing w:before="200" w:after="120"/>
      </w:pPr>
      <w:r>
        <w:rPr>
          <w:rFonts w:ascii="Times New Roman" w:hAnsi="Times New Roman" w:eastAsia="微软雅黑"/>
          <w:b/>
          <w:color w:val="44546A"/>
          <w:sz w:val="24"/>
        </w:rPr>
        <w:t>6.3.1 初次三线开花</w:t>
      </w:r>
    </w:p>
    <w:p>
      <w:pPr>
        <w:spacing w:line="360" w:lineRule="auto" w:after="80"/>
        <w:ind w:firstLine="440"/>
      </w:pPr>
      <w:r>
        <w:rPr>
          <w:rFonts w:ascii="Times New Roman" w:hAnsi="Times New Roman" w:eastAsia="宋体"/>
          <w:b w:val="0"/>
          <w:sz w:val="22"/>
        </w:rPr>
        <w:t>条件：20日均线首次上穿50日和120日均线，50日均线也上穿120日均线，三线同时开始向上发散。</w:t>
      </w:r>
    </w:p>
    <w:p>
      <w:pPr>
        <w:spacing w:line="360" w:lineRule="auto" w:after="80"/>
        <w:ind w:firstLine="440"/>
      </w:pPr>
      <w:r>
        <w:rPr>
          <w:rFonts w:ascii="Times New Roman" w:hAnsi="Times New Roman" w:eastAsia="宋体"/>
          <w:b w:val="0"/>
          <w:sz w:val="22"/>
        </w:rPr>
        <w:t>特征：通常出现在长期下跌后的底部反转阶段，经过较长时间的调整蓄势。</w:t>
      </w:r>
    </w:p>
    <w:p>
      <w:pPr>
        <w:spacing w:line="360" w:lineRule="auto" w:after="80"/>
        <w:ind w:firstLine="440"/>
      </w:pPr>
      <w:r>
        <w:rPr>
          <w:rFonts w:ascii="Times New Roman" w:hAnsi="Times New Roman" w:eastAsia="宋体"/>
          <w:b w:val="0"/>
          <w:sz w:val="22"/>
        </w:rPr>
        <w:t>可靠性：高。这是新趋势启动的信号，捕捉到意味着能吃到主升浪的大部分。</w:t>
      </w:r>
    </w:p>
    <w:p>
      <w:pPr>
        <w:spacing w:line="360" w:lineRule="auto" w:after="80"/>
        <w:ind w:firstLine="440"/>
      </w:pPr>
      <w:r>
        <w:rPr>
          <w:rFonts w:ascii="Times New Roman" w:hAnsi="Times New Roman" w:eastAsia="宋体"/>
          <w:b w:val="0"/>
          <w:sz w:val="22"/>
        </w:rPr>
        <w:t>操作建议：在三线开花形成时积极买入；止损设在三线开花形态的最低点下方。预期收益：通常30%-100%。</w:t>
      </w:r>
    </w:p>
    <w:p>
      <w:pPr>
        <w:spacing w:before="200" w:after="120"/>
      </w:pPr>
      <w:r>
        <w:rPr>
          <w:rFonts w:ascii="Times New Roman" w:hAnsi="Times New Roman" w:eastAsia="微软雅黑"/>
          <w:b/>
          <w:color w:val="44546A"/>
          <w:sz w:val="24"/>
        </w:rPr>
        <w:t>6.3.2 二次三线开花</w:t>
      </w:r>
    </w:p>
    <w:p>
      <w:pPr>
        <w:spacing w:line="360" w:lineRule="auto" w:after="80"/>
        <w:ind w:firstLine="440"/>
      </w:pPr>
      <w:r>
        <w:rPr>
          <w:rFonts w:ascii="Times New Roman" w:hAnsi="Times New Roman" w:eastAsia="宋体"/>
          <w:b w:val="0"/>
          <w:sz w:val="22"/>
        </w:rPr>
        <w:t>条件：在首次三线开花后经历回调整理，三线再次粘合后第二次向上开花。</w:t>
      </w:r>
    </w:p>
    <w:p>
      <w:pPr>
        <w:spacing w:line="360" w:lineRule="auto" w:after="80"/>
        <w:ind w:firstLine="440"/>
      </w:pPr>
      <w:r>
        <w:rPr>
          <w:rFonts w:ascii="Times New Roman" w:hAnsi="Times New Roman" w:eastAsia="宋体"/>
          <w:b w:val="0"/>
          <w:sz w:val="22"/>
        </w:rPr>
        <w:t>特征：已经过一次趋势确认，确定性显著提高。回调幅度通常不超过首次开花后涨幅的50%。</w:t>
      </w:r>
    </w:p>
    <w:p>
      <w:pPr>
        <w:spacing w:line="360" w:lineRule="auto" w:after="80"/>
        <w:ind w:firstLine="440"/>
      </w:pPr>
      <w:r>
        <w:rPr>
          <w:rFonts w:ascii="Times New Roman" w:hAnsi="Times New Roman" w:eastAsia="宋体"/>
          <w:b w:val="0"/>
          <w:sz w:val="22"/>
        </w:rPr>
        <w:t>可靠性：极高。由于是『二次确认』，假信号概率极低。</w:t>
      </w:r>
    </w:p>
    <w:p>
      <w:pPr>
        <w:spacing w:line="360" w:lineRule="auto" w:after="80"/>
        <w:ind w:firstLine="440"/>
      </w:pPr>
      <w:r>
        <w:rPr>
          <w:rFonts w:ascii="Times New Roman" w:hAnsi="Times New Roman" w:eastAsia="宋体"/>
          <w:b w:val="0"/>
          <w:sz w:val="22"/>
        </w:rPr>
        <w:t>操作建议：可以重仓买入。预期收益：通常50%-300%，是整个主升浪最肥美的一段。</w:t>
      </w:r>
    </w:p>
    <w:p>
      <w:pPr>
        <w:spacing w:before="200" w:after="120"/>
      </w:pPr>
      <w:r>
        <w:rPr>
          <w:rFonts w:ascii="Times New Roman" w:hAnsi="Times New Roman" w:eastAsia="微软雅黑"/>
          <w:b/>
          <w:color w:val="44546A"/>
          <w:sz w:val="24"/>
        </w:rPr>
        <w:t>6.3.3 三线开花的失败形态</w:t>
      </w:r>
    </w:p>
    <w:p>
      <w:pPr>
        <w:spacing w:line="360" w:lineRule="auto" w:after="80"/>
        <w:ind w:firstLine="440"/>
      </w:pPr>
      <w:r>
        <w:rPr>
          <w:rFonts w:ascii="Times New Roman" w:hAnsi="Times New Roman" w:eastAsia="宋体"/>
          <w:b w:val="0"/>
          <w:sz w:val="22"/>
        </w:rPr>
        <w:t>并非所有三线开花都能成功。失败的特征包括：</w:t>
      </w:r>
    </w:p>
    <w:p>
      <w:pPr>
        <w:spacing w:line="360" w:lineRule="auto" w:after="80"/>
        <w:ind w:firstLine="440"/>
      </w:pPr>
      <w:r>
        <w:rPr>
          <w:rFonts w:ascii="Times New Roman" w:hAnsi="Times New Roman" w:eastAsia="宋体"/>
          <w:b w:val="0"/>
          <w:sz w:val="22"/>
        </w:rPr>
        <w:t>• 开花后迅速闭合，三线未能持续发散超过10个交易日；</w:t>
      </w:r>
    </w:p>
    <w:p>
      <w:pPr>
        <w:spacing w:line="360" w:lineRule="auto" w:after="80"/>
        <w:ind w:firstLine="440"/>
      </w:pPr>
      <w:r>
        <w:rPr>
          <w:rFonts w:ascii="Times New Roman" w:hAnsi="Times New Roman" w:eastAsia="宋体"/>
          <w:b w:val="0"/>
          <w:sz w:val="22"/>
        </w:rPr>
        <w:t>• 开花时成交量萎靡，缺乏资金推动；</w:t>
      </w:r>
    </w:p>
    <w:p>
      <w:pPr>
        <w:spacing w:line="360" w:lineRule="auto" w:after="80"/>
        <w:ind w:firstLine="440"/>
      </w:pPr>
      <w:r>
        <w:rPr>
          <w:rFonts w:ascii="Times New Roman" w:hAnsi="Times New Roman" w:eastAsia="宋体"/>
          <w:b w:val="0"/>
          <w:sz w:val="22"/>
        </w:rPr>
        <w:t>• 开花角度过于平缓（&lt;15°），上升动力不足；</w:t>
      </w:r>
    </w:p>
    <w:p>
      <w:pPr>
        <w:spacing w:line="360" w:lineRule="auto" w:after="80"/>
        <w:ind w:firstLine="440"/>
      </w:pPr>
      <w:r>
        <w:rPr>
          <w:rFonts w:ascii="Times New Roman" w:hAnsi="Times New Roman" w:eastAsia="宋体"/>
          <w:b w:val="0"/>
          <w:sz w:val="22"/>
        </w:rPr>
        <w:t>• 突破时伴有长上影巨量K线，可能是主力出货；</w:t>
      </w:r>
    </w:p>
    <w:p>
      <w:pPr>
        <w:spacing w:line="360" w:lineRule="auto" w:after="80"/>
        <w:ind w:firstLine="440"/>
      </w:pPr>
      <w:r>
        <w:rPr>
          <w:rFonts w:ascii="Times New Roman" w:hAnsi="Times New Roman" w:eastAsia="宋体"/>
          <w:b w:val="0"/>
          <w:sz w:val="22"/>
        </w:rPr>
        <w:t>• 突破后未能站稳120日线。</w:t>
      </w:r>
    </w:p>
    <w:p>
      <w:pPr>
        <w:spacing w:line="360" w:lineRule="auto" w:after="80"/>
        <w:ind w:firstLine="440"/>
      </w:pPr>
      <w:r>
        <w:rPr>
          <w:rFonts w:ascii="Times New Roman" w:hAnsi="Times New Roman" w:eastAsia="宋体"/>
          <w:b w:val="0"/>
          <w:sz w:val="22"/>
        </w:rPr>
        <w:t>出现这些特征时应及时止损，并重新评估趋势。</w:t>
      </w:r>
    </w:p>
    <w:tbl>
      <w:tblPr>
        <w:tblW w:type="auto" w:w="0"/>
        <w:jc w:val="center"/>
        <w:tblLook w:firstColumn="1" w:firstRow="1" w:lastColumn="0" w:lastRow="0" w:noHBand="0" w:noVBand="1" w:val="04A0"/>
      </w:tblPr>
      <w:tblGrid>
        <w:gridCol w:w="9026"/>
      </w:tblGrid>
      <w:tr>
        <w:tc>
          <w:tcPr>
            <w:tcW w:type="dxa" w:w="9026"/>
            <w:shd w:fill="FCE4D6"/>
          </w:tcPr>
          <w:p>
            <w:pPr>
              <w:spacing w:line="336" w:lineRule="auto"/>
            </w:pPr>
            <w:r/>
            <w:r>
              <w:rPr>
                <w:rFonts w:ascii="Times New Roman" w:hAnsi="Times New Roman" w:eastAsia="宋体"/>
                <w:b w:val="0"/>
                <w:color w:val="C00000"/>
                <w:sz w:val="22"/>
              </w:rPr>
              <w:t>三线开花的最佳实战用法：初次开花时轻仓建仓（3成），二次开花形成时大胆加仓（至6-7成），回踩50日线不破时继续加仓（至满仓），三线闭合时清仓。这样可以最大化地把握三线开花系统的收益空间。</w:t>
            </w:r>
          </w:p>
        </w:tc>
      </w:tr>
    </w:tbl>
    <w:p>
      <w:pPr>
        <w:spacing w:before="280" w:after="160"/>
      </w:pPr>
      <w:r>
        <w:rPr>
          <w:rFonts w:ascii="Times New Roman" w:hAnsi="Times New Roman" w:eastAsia="微软雅黑"/>
          <w:b/>
          <w:color w:val="2E75B6"/>
          <w:sz w:val="26"/>
        </w:rPr>
        <w:t>6.4 1250系统的买卖规则</w:t>
      </w:r>
    </w:p>
    <w:p>
      <w:pPr>
        <w:spacing w:before="200" w:after="120"/>
      </w:pPr>
      <w:r>
        <w:rPr>
          <w:rFonts w:ascii="Times New Roman" w:hAnsi="Times New Roman" w:eastAsia="微软雅黑"/>
          <w:b/>
          <w:color w:val="44546A"/>
          <w:sz w:val="24"/>
        </w:rPr>
        <w:t>6.4.1 买入规则</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买点类型</w:t>
            </w:r>
          </w:p>
        </w:tc>
        <w:tc>
          <w:tcPr>
            <w:tcW w:type="dxa" w:w="2268"/>
            <w:shd w:fill="2E75B6"/>
            <w:vAlign w:val="center"/>
          </w:tcPr>
          <w:p>
            <w:pPr>
              <w:jc w:val="center"/>
            </w:pPr>
            <w:r/>
            <w:r>
              <w:rPr>
                <w:rFonts w:ascii="Times New Roman" w:hAnsi="Times New Roman" w:eastAsia="微软雅黑"/>
                <w:b/>
                <w:color w:val="FFFFFF"/>
                <w:sz w:val="20"/>
              </w:rPr>
              <w:t>触发条件</w:t>
            </w:r>
          </w:p>
        </w:tc>
        <w:tc>
          <w:tcPr>
            <w:tcW w:type="dxa" w:w="1134"/>
            <w:shd w:fill="2E75B6"/>
            <w:vAlign w:val="center"/>
          </w:tcPr>
          <w:p>
            <w:pPr>
              <w:jc w:val="center"/>
            </w:pPr>
            <w:r/>
            <w:r>
              <w:rPr>
                <w:rFonts w:ascii="Times New Roman" w:hAnsi="Times New Roman" w:eastAsia="微软雅黑"/>
                <w:b/>
                <w:color w:val="FFFFFF"/>
                <w:sz w:val="20"/>
              </w:rPr>
              <w:t>信号强度</w:t>
            </w:r>
          </w:p>
        </w:tc>
        <w:tc>
          <w:tcPr>
            <w:tcW w:type="dxa" w:w="1701"/>
            <w:shd w:fill="2E75B6"/>
            <w:vAlign w:val="center"/>
          </w:tcPr>
          <w:p>
            <w:pPr>
              <w:jc w:val="center"/>
            </w:pPr>
            <w:r/>
            <w:r>
              <w:rPr>
                <w:rFonts w:ascii="Times New Roman" w:hAnsi="Times New Roman" w:eastAsia="微软雅黑"/>
                <w:b/>
                <w:color w:val="FFFFFF"/>
                <w:sz w:val="20"/>
              </w:rPr>
              <w:t>操作建议</w:t>
            </w:r>
          </w:p>
        </w:tc>
        <w:tc>
          <w:tcPr>
            <w:tcW w:type="dxa" w:w="1701"/>
            <w:shd w:fill="2E75B6"/>
            <w:vAlign w:val="center"/>
          </w:tcPr>
          <w:p>
            <w:pPr>
              <w:jc w:val="center"/>
            </w:pPr>
            <w:r/>
            <w:r>
              <w:rPr>
                <w:rFonts w:ascii="Times New Roman" w:hAnsi="Times New Roman" w:eastAsia="微软雅黑"/>
                <w:b/>
                <w:color w:val="FFFFFF"/>
                <w:sz w:val="20"/>
              </w:rPr>
              <w:t>止损位置</w:t>
            </w:r>
          </w:p>
        </w:tc>
      </w:tr>
      <w:tr>
        <w:tc>
          <w:tcPr>
            <w:tcW w:type="dxa" w:w="1134"/>
            <w:vAlign w:val="center"/>
          </w:tcPr>
          <w:p>
            <w:pPr>
              <w:jc w:val="left"/>
            </w:pPr>
            <w:r/>
            <w:r>
              <w:rPr>
                <w:rFonts w:ascii="Times New Roman" w:hAnsi="Times New Roman" w:eastAsia="宋体"/>
                <w:b w:val="0"/>
                <w:sz w:val="20"/>
              </w:rPr>
              <w:t>战略买点</w:t>
            </w:r>
          </w:p>
        </w:tc>
        <w:tc>
          <w:tcPr>
            <w:tcW w:type="dxa" w:w="2268"/>
            <w:vAlign w:val="center"/>
          </w:tcPr>
          <w:p>
            <w:pPr>
              <w:jc w:val="left"/>
            </w:pPr>
            <w:r/>
            <w:r>
              <w:rPr>
                <w:rFonts w:ascii="Times New Roman" w:hAnsi="Times New Roman" w:eastAsia="宋体"/>
                <w:b w:val="0"/>
                <w:sz w:val="20"/>
              </w:rPr>
              <w:t>三线开花形成</w:t>
            </w:r>
          </w:p>
        </w:tc>
        <w:tc>
          <w:tcPr>
            <w:tcW w:type="dxa" w:w="1134"/>
            <w:vAlign w:val="center"/>
          </w:tcPr>
          <w:p>
            <w:pPr>
              <w:jc w:val="left"/>
            </w:pPr>
            <w:r/>
            <w:r>
              <w:rPr>
                <w:rFonts w:ascii="Times New Roman" w:hAnsi="Times New Roman" w:eastAsia="宋体"/>
                <w:b w:val="0"/>
                <w:sz w:val="20"/>
              </w:rPr>
              <w:t>最强</w:t>
            </w:r>
          </w:p>
        </w:tc>
        <w:tc>
          <w:tcPr>
            <w:tcW w:type="dxa" w:w="1701"/>
            <w:vAlign w:val="center"/>
          </w:tcPr>
          <w:p>
            <w:pPr>
              <w:jc w:val="left"/>
            </w:pPr>
            <w:r/>
            <w:r>
              <w:rPr>
                <w:rFonts w:ascii="Times New Roman" w:hAnsi="Times New Roman" w:eastAsia="宋体"/>
                <w:b w:val="0"/>
                <w:sz w:val="20"/>
              </w:rPr>
              <w:t>最佳买点，重仓</w:t>
            </w:r>
          </w:p>
        </w:tc>
        <w:tc>
          <w:tcPr>
            <w:tcW w:type="dxa" w:w="1701"/>
            <w:vAlign w:val="center"/>
          </w:tcPr>
          <w:p>
            <w:pPr>
              <w:jc w:val="left"/>
            </w:pPr>
            <w:r/>
            <w:r>
              <w:rPr>
                <w:rFonts w:ascii="Times New Roman" w:hAnsi="Times New Roman" w:eastAsia="宋体"/>
                <w:b w:val="0"/>
                <w:sz w:val="20"/>
              </w:rPr>
              <w:t>形态最低点下方</w:t>
            </w:r>
          </w:p>
        </w:tc>
      </w:tr>
      <w:tr>
        <w:tc>
          <w:tcPr>
            <w:tcW w:type="dxa" w:w="1134"/>
            <w:vAlign w:val="center"/>
          </w:tcPr>
          <w:p>
            <w:pPr>
              <w:jc w:val="left"/>
            </w:pPr>
            <w:r/>
            <w:r>
              <w:rPr>
                <w:rFonts w:ascii="Times New Roman" w:hAnsi="Times New Roman" w:eastAsia="宋体"/>
                <w:b w:val="0"/>
                <w:sz w:val="20"/>
              </w:rPr>
              <w:t>中线买点</w:t>
            </w:r>
          </w:p>
        </w:tc>
        <w:tc>
          <w:tcPr>
            <w:tcW w:type="dxa" w:w="2268"/>
            <w:vAlign w:val="center"/>
          </w:tcPr>
          <w:p>
            <w:pPr>
              <w:jc w:val="left"/>
            </w:pPr>
            <w:r/>
            <w:r>
              <w:rPr>
                <w:rFonts w:ascii="Times New Roman" w:hAnsi="Times New Roman" w:eastAsia="宋体"/>
                <w:b w:val="0"/>
                <w:sz w:val="20"/>
              </w:rPr>
              <w:t>股价回踩50日线不破</w:t>
            </w:r>
          </w:p>
        </w:tc>
        <w:tc>
          <w:tcPr>
            <w:tcW w:type="dxa" w:w="1134"/>
            <w:vAlign w:val="center"/>
          </w:tcPr>
          <w:p>
            <w:pPr>
              <w:jc w:val="left"/>
            </w:pPr>
            <w:r/>
            <w:r>
              <w:rPr>
                <w:rFonts w:ascii="Times New Roman" w:hAnsi="Times New Roman" w:eastAsia="宋体"/>
                <w:b w:val="0"/>
                <w:sz w:val="20"/>
              </w:rPr>
              <w:t>强</w:t>
            </w:r>
          </w:p>
        </w:tc>
        <w:tc>
          <w:tcPr>
            <w:tcW w:type="dxa" w:w="1701"/>
            <w:vAlign w:val="center"/>
          </w:tcPr>
          <w:p>
            <w:pPr>
              <w:jc w:val="left"/>
            </w:pPr>
            <w:r/>
            <w:r>
              <w:rPr>
                <w:rFonts w:ascii="Times New Roman" w:hAnsi="Times New Roman" w:eastAsia="宋体"/>
                <w:b w:val="0"/>
                <w:sz w:val="20"/>
              </w:rPr>
              <w:t>回踩加仓</w:t>
            </w:r>
          </w:p>
        </w:tc>
        <w:tc>
          <w:tcPr>
            <w:tcW w:type="dxa" w:w="1701"/>
            <w:vAlign w:val="center"/>
          </w:tcPr>
          <w:p>
            <w:pPr>
              <w:jc w:val="left"/>
            </w:pPr>
            <w:r/>
            <w:r>
              <w:rPr>
                <w:rFonts w:ascii="Times New Roman" w:hAnsi="Times New Roman" w:eastAsia="宋体"/>
                <w:b w:val="0"/>
                <w:sz w:val="20"/>
              </w:rPr>
              <w:t>50日线下方3%</w:t>
            </w:r>
          </w:p>
        </w:tc>
      </w:tr>
      <w:tr>
        <w:tc>
          <w:tcPr>
            <w:tcW w:type="dxa" w:w="1134"/>
            <w:vAlign w:val="center"/>
          </w:tcPr>
          <w:p>
            <w:pPr>
              <w:jc w:val="left"/>
            </w:pPr>
            <w:r/>
            <w:r>
              <w:rPr>
                <w:rFonts w:ascii="Times New Roman" w:hAnsi="Times New Roman" w:eastAsia="宋体"/>
                <w:b w:val="0"/>
                <w:sz w:val="20"/>
              </w:rPr>
              <w:t>短线买点</w:t>
            </w:r>
          </w:p>
        </w:tc>
        <w:tc>
          <w:tcPr>
            <w:tcW w:type="dxa" w:w="2268"/>
            <w:vAlign w:val="center"/>
          </w:tcPr>
          <w:p>
            <w:pPr>
              <w:jc w:val="left"/>
            </w:pPr>
            <w:r/>
            <w:r>
              <w:rPr>
                <w:rFonts w:ascii="Times New Roman" w:hAnsi="Times New Roman" w:eastAsia="宋体"/>
                <w:b w:val="0"/>
                <w:sz w:val="20"/>
              </w:rPr>
              <w:t>股价跌破20日线但在50日线处获支撑</w:t>
            </w:r>
          </w:p>
        </w:tc>
        <w:tc>
          <w:tcPr>
            <w:tcW w:type="dxa" w:w="1134"/>
            <w:vAlign w:val="center"/>
          </w:tcPr>
          <w:p>
            <w:pPr>
              <w:jc w:val="left"/>
            </w:pPr>
            <w:r/>
            <w:r>
              <w:rPr>
                <w:rFonts w:ascii="Times New Roman" w:hAnsi="Times New Roman" w:eastAsia="宋体"/>
                <w:b w:val="0"/>
                <w:sz w:val="20"/>
              </w:rPr>
              <w:t>中等</w:t>
            </w:r>
          </w:p>
        </w:tc>
        <w:tc>
          <w:tcPr>
            <w:tcW w:type="dxa" w:w="1701"/>
            <w:vAlign w:val="center"/>
          </w:tcPr>
          <w:p>
            <w:pPr>
              <w:jc w:val="left"/>
            </w:pPr>
            <w:r/>
            <w:r>
              <w:rPr>
                <w:rFonts w:ascii="Times New Roman" w:hAnsi="Times New Roman" w:eastAsia="宋体"/>
                <w:b w:val="0"/>
                <w:sz w:val="20"/>
              </w:rPr>
              <w:t>低吸</w:t>
            </w:r>
          </w:p>
        </w:tc>
        <w:tc>
          <w:tcPr>
            <w:tcW w:type="dxa" w:w="1701"/>
            <w:vAlign w:val="center"/>
          </w:tcPr>
          <w:p>
            <w:pPr>
              <w:jc w:val="left"/>
            </w:pPr>
            <w:r/>
            <w:r>
              <w:rPr>
                <w:rFonts w:ascii="Times New Roman" w:hAnsi="Times New Roman" w:eastAsia="宋体"/>
                <w:b w:val="0"/>
                <w:sz w:val="20"/>
              </w:rPr>
              <w:t>50日线下方</w:t>
            </w:r>
          </w:p>
        </w:tc>
      </w:tr>
      <w:tr>
        <w:tc>
          <w:tcPr>
            <w:tcW w:type="dxa" w:w="1134"/>
            <w:vAlign w:val="center"/>
          </w:tcPr>
          <w:p>
            <w:pPr>
              <w:jc w:val="left"/>
            </w:pPr>
            <w:r/>
            <w:r>
              <w:rPr>
                <w:rFonts w:ascii="Times New Roman" w:hAnsi="Times New Roman" w:eastAsia="宋体"/>
                <w:b w:val="0"/>
                <w:sz w:val="20"/>
              </w:rPr>
              <w:t>超长买点</w:t>
            </w:r>
          </w:p>
        </w:tc>
        <w:tc>
          <w:tcPr>
            <w:tcW w:type="dxa" w:w="2268"/>
            <w:vAlign w:val="center"/>
          </w:tcPr>
          <w:p>
            <w:pPr>
              <w:jc w:val="left"/>
            </w:pPr>
            <w:r/>
            <w:r>
              <w:rPr>
                <w:rFonts w:ascii="Times New Roman" w:hAnsi="Times New Roman" w:eastAsia="宋体"/>
                <w:b w:val="0"/>
                <w:sz w:val="20"/>
              </w:rPr>
              <w:t>120日线与250日线形成金叉</w:t>
            </w:r>
          </w:p>
        </w:tc>
        <w:tc>
          <w:tcPr>
            <w:tcW w:type="dxa" w:w="1134"/>
            <w:vAlign w:val="center"/>
          </w:tcPr>
          <w:p>
            <w:pPr>
              <w:jc w:val="left"/>
            </w:pPr>
            <w:r/>
            <w:r>
              <w:rPr>
                <w:rFonts w:ascii="Times New Roman" w:hAnsi="Times New Roman" w:eastAsia="宋体"/>
                <w:b w:val="0"/>
                <w:sz w:val="20"/>
              </w:rPr>
              <w:t>战略级</w:t>
            </w:r>
          </w:p>
        </w:tc>
        <w:tc>
          <w:tcPr>
            <w:tcW w:type="dxa" w:w="1701"/>
            <w:vAlign w:val="center"/>
          </w:tcPr>
          <w:p>
            <w:pPr>
              <w:jc w:val="left"/>
            </w:pPr>
            <w:r/>
            <w:r>
              <w:rPr>
                <w:rFonts w:ascii="Times New Roman" w:hAnsi="Times New Roman" w:eastAsia="宋体"/>
                <w:b w:val="0"/>
                <w:sz w:val="20"/>
              </w:rPr>
              <w:t>战略建仓</w:t>
            </w:r>
          </w:p>
        </w:tc>
        <w:tc>
          <w:tcPr>
            <w:tcW w:type="dxa" w:w="1701"/>
            <w:vAlign w:val="center"/>
          </w:tcPr>
          <w:p>
            <w:pPr>
              <w:jc w:val="left"/>
            </w:pPr>
            <w:r/>
            <w:r>
              <w:rPr>
                <w:rFonts w:ascii="Times New Roman" w:hAnsi="Times New Roman" w:eastAsia="宋体"/>
                <w:b w:val="0"/>
                <w:sz w:val="20"/>
              </w:rPr>
              <w:t>250日线下方</w:t>
            </w:r>
          </w:p>
        </w:tc>
      </w:tr>
      <w:tr>
        <w:tc>
          <w:tcPr>
            <w:tcW w:type="dxa" w:w="1134"/>
            <w:vAlign w:val="center"/>
          </w:tcPr>
          <w:p>
            <w:pPr>
              <w:jc w:val="left"/>
            </w:pPr>
            <w:r/>
            <w:r>
              <w:rPr>
                <w:rFonts w:ascii="Times New Roman" w:hAnsi="Times New Roman" w:eastAsia="宋体"/>
                <w:b w:val="0"/>
                <w:sz w:val="20"/>
              </w:rPr>
              <w:t>二次买点</w:t>
            </w:r>
          </w:p>
        </w:tc>
        <w:tc>
          <w:tcPr>
            <w:tcW w:type="dxa" w:w="2268"/>
            <w:vAlign w:val="center"/>
          </w:tcPr>
          <w:p>
            <w:pPr>
              <w:jc w:val="left"/>
            </w:pPr>
            <w:r/>
            <w:r>
              <w:rPr>
                <w:rFonts w:ascii="Times New Roman" w:hAnsi="Times New Roman" w:eastAsia="宋体"/>
                <w:b w:val="0"/>
                <w:sz w:val="20"/>
              </w:rPr>
              <w:t>二次三线开花形成</w:t>
            </w:r>
          </w:p>
        </w:tc>
        <w:tc>
          <w:tcPr>
            <w:tcW w:type="dxa" w:w="1134"/>
            <w:vAlign w:val="center"/>
          </w:tcPr>
          <w:p>
            <w:pPr>
              <w:jc w:val="left"/>
            </w:pPr>
            <w:r/>
            <w:r>
              <w:rPr>
                <w:rFonts w:ascii="Times New Roman" w:hAnsi="Times New Roman" w:eastAsia="宋体"/>
                <w:b w:val="0"/>
                <w:sz w:val="20"/>
              </w:rPr>
              <w:t>极强</w:t>
            </w:r>
          </w:p>
        </w:tc>
        <w:tc>
          <w:tcPr>
            <w:tcW w:type="dxa" w:w="1701"/>
            <w:vAlign w:val="center"/>
          </w:tcPr>
          <w:p>
            <w:pPr>
              <w:jc w:val="left"/>
            </w:pPr>
            <w:r/>
            <w:r>
              <w:rPr>
                <w:rFonts w:ascii="Times New Roman" w:hAnsi="Times New Roman" w:eastAsia="宋体"/>
                <w:b w:val="0"/>
                <w:sz w:val="20"/>
              </w:rPr>
              <w:t>重仓</w:t>
            </w:r>
          </w:p>
        </w:tc>
        <w:tc>
          <w:tcPr>
            <w:tcW w:type="dxa" w:w="1701"/>
            <w:vAlign w:val="center"/>
          </w:tcPr>
          <w:p>
            <w:pPr>
              <w:jc w:val="left"/>
            </w:pPr>
            <w:r/>
            <w:r>
              <w:rPr>
                <w:rFonts w:ascii="Times New Roman" w:hAnsi="Times New Roman" w:eastAsia="宋体"/>
                <w:b w:val="0"/>
                <w:sz w:val="20"/>
              </w:rPr>
              <w:t>二次开花低点</w:t>
            </w:r>
          </w:p>
        </w:tc>
      </w:tr>
    </w:tbl>
    <w:p>
      <w:pPr>
        <w:spacing w:before="200" w:after="120"/>
      </w:pPr>
      <w:r>
        <w:rPr>
          <w:rFonts w:ascii="Times New Roman" w:hAnsi="Times New Roman" w:eastAsia="微软雅黑"/>
          <w:b/>
          <w:color w:val="44546A"/>
          <w:sz w:val="24"/>
        </w:rPr>
        <w:t>6.4.2 卖出规则</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卖点类型</w:t>
            </w:r>
          </w:p>
        </w:tc>
        <w:tc>
          <w:tcPr>
            <w:tcW w:type="dxa" w:w="2268"/>
            <w:shd w:fill="2E75B6"/>
            <w:vAlign w:val="center"/>
          </w:tcPr>
          <w:p>
            <w:pPr>
              <w:jc w:val="center"/>
            </w:pPr>
            <w:r/>
            <w:r>
              <w:rPr>
                <w:rFonts w:ascii="Times New Roman" w:hAnsi="Times New Roman" w:eastAsia="微软雅黑"/>
                <w:b/>
                <w:color w:val="FFFFFF"/>
                <w:sz w:val="20"/>
              </w:rPr>
              <w:t>触发条件</w:t>
            </w:r>
          </w:p>
        </w:tc>
        <w:tc>
          <w:tcPr>
            <w:tcW w:type="dxa" w:w="1134"/>
            <w:shd w:fill="2E75B6"/>
            <w:vAlign w:val="center"/>
          </w:tcPr>
          <w:p>
            <w:pPr>
              <w:jc w:val="center"/>
            </w:pPr>
            <w:r/>
            <w:r>
              <w:rPr>
                <w:rFonts w:ascii="Times New Roman" w:hAnsi="Times New Roman" w:eastAsia="微软雅黑"/>
                <w:b/>
                <w:color w:val="FFFFFF"/>
                <w:sz w:val="20"/>
              </w:rPr>
              <w:t>信号强度</w:t>
            </w:r>
          </w:p>
        </w:tc>
        <w:tc>
          <w:tcPr>
            <w:tcW w:type="dxa" w:w="1701"/>
            <w:shd w:fill="2E75B6"/>
            <w:vAlign w:val="center"/>
          </w:tcPr>
          <w:p>
            <w:pPr>
              <w:jc w:val="center"/>
            </w:pPr>
            <w:r/>
            <w:r>
              <w:rPr>
                <w:rFonts w:ascii="Times New Roman" w:hAnsi="Times New Roman" w:eastAsia="微软雅黑"/>
                <w:b/>
                <w:color w:val="FFFFFF"/>
                <w:sz w:val="20"/>
              </w:rPr>
              <w:t>操作建议</w:t>
            </w:r>
          </w:p>
        </w:tc>
        <w:tc>
          <w:tcPr>
            <w:tcW w:type="dxa" w:w="1701"/>
            <w:shd w:fill="2E75B6"/>
            <w:vAlign w:val="center"/>
          </w:tcPr>
          <w:p>
            <w:pPr>
              <w:jc w:val="center"/>
            </w:pPr>
            <w:r/>
            <w:r>
              <w:rPr>
                <w:rFonts w:ascii="Times New Roman" w:hAnsi="Times New Roman" w:eastAsia="微软雅黑"/>
                <w:b/>
                <w:color w:val="FFFFFF"/>
                <w:sz w:val="20"/>
              </w:rPr>
              <w:t>执行要求</w:t>
            </w:r>
          </w:p>
        </w:tc>
      </w:tr>
      <w:tr>
        <w:tc>
          <w:tcPr>
            <w:tcW w:type="dxa" w:w="1134"/>
            <w:vAlign w:val="center"/>
          </w:tcPr>
          <w:p>
            <w:pPr>
              <w:jc w:val="left"/>
            </w:pPr>
            <w:r/>
            <w:r>
              <w:rPr>
                <w:rFonts w:ascii="Times New Roman" w:hAnsi="Times New Roman" w:eastAsia="宋体"/>
                <w:b w:val="0"/>
                <w:sz w:val="20"/>
              </w:rPr>
              <w:t>战略卖点</w:t>
            </w:r>
          </w:p>
        </w:tc>
        <w:tc>
          <w:tcPr>
            <w:tcW w:type="dxa" w:w="2268"/>
            <w:vAlign w:val="center"/>
          </w:tcPr>
          <w:p>
            <w:pPr>
              <w:jc w:val="left"/>
            </w:pPr>
            <w:r/>
            <w:r>
              <w:rPr>
                <w:rFonts w:ascii="Times New Roman" w:hAnsi="Times New Roman" w:eastAsia="宋体"/>
                <w:b w:val="0"/>
                <w:sz w:val="20"/>
              </w:rPr>
              <w:t>三线闭合（均线间距缩小到3%以内）</w:t>
            </w:r>
          </w:p>
        </w:tc>
        <w:tc>
          <w:tcPr>
            <w:tcW w:type="dxa" w:w="1134"/>
            <w:vAlign w:val="center"/>
          </w:tcPr>
          <w:p>
            <w:pPr>
              <w:jc w:val="left"/>
            </w:pPr>
            <w:r/>
            <w:r>
              <w:rPr>
                <w:rFonts w:ascii="Times New Roman" w:hAnsi="Times New Roman" w:eastAsia="宋体"/>
                <w:b w:val="0"/>
                <w:sz w:val="20"/>
              </w:rPr>
              <w:t>强</w:t>
            </w:r>
          </w:p>
        </w:tc>
        <w:tc>
          <w:tcPr>
            <w:tcW w:type="dxa" w:w="1701"/>
            <w:vAlign w:val="center"/>
          </w:tcPr>
          <w:p>
            <w:pPr>
              <w:jc w:val="left"/>
            </w:pPr>
            <w:r/>
            <w:r>
              <w:rPr>
                <w:rFonts w:ascii="Times New Roman" w:hAnsi="Times New Roman" w:eastAsia="宋体"/>
                <w:b w:val="0"/>
                <w:sz w:val="20"/>
              </w:rPr>
              <w:t>逢高减仓</w:t>
            </w:r>
          </w:p>
        </w:tc>
        <w:tc>
          <w:tcPr>
            <w:tcW w:type="dxa" w:w="1701"/>
            <w:vAlign w:val="center"/>
          </w:tcPr>
          <w:p>
            <w:pPr>
              <w:jc w:val="left"/>
            </w:pPr>
            <w:r/>
            <w:r>
              <w:rPr>
                <w:rFonts w:ascii="Times New Roman" w:hAnsi="Times New Roman" w:eastAsia="宋体"/>
                <w:b w:val="0"/>
                <w:sz w:val="20"/>
              </w:rPr>
              <w:t>分批卖出，预留1成观察</w:t>
            </w:r>
          </w:p>
        </w:tc>
      </w:tr>
      <w:tr>
        <w:tc>
          <w:tcPr>
            <w:tcW w:type="dxa" w:w="1134"/>
            <w:vAlign w:val="center"/>
          </w:tcPr>
          <w:p>
            <w:pPr>
              <w:jc w:val="left"/>
            </w:pPr>
            <w:r/>
            <w:r>
              <w:rPr>
                <w:rFonts w:ascii="Times New Roman" w:hAnsi="Times New Roman" w:eastAsia="宋体"/>
                <w:b w:val="0"/>
                <w:sz w:val="20"/>
              </w:rPr>
              <w:t>中线卖点</w:t>
            </w:r>
          </w:p>
        </w:tc>
        <w:tc>
          <w:tcPr>
            <w:tcW w:type="dxa" w:w="2268"/>
            <w:vAlign w:val="center"/>
          </w:tcPr>
          <w:p>
            <w:pPr>
              <w:jc w:val="left"/>
            </w:pPr>
            <w:r/>
            <w:r>
              <w:rPr>
                <w:rFonts w:ascii="Times New Roman" w:hAnsi="Times New Roman" w:eastAsia="宋体"/>
                <w:b w:val="0"/>
                <w:sz w:val="20"/>
              </w:rPr>
              <w:t>股价有效跌破120日线</w:t>
            </w:r>
          </w:p>
        </w:tc>
        <w:tc>
          <w:tcPr>
            <w:tcW w:type="dxa" w:w="1134"/>
            <w:vAlign w:val="center"/>
          </w:tcPr>
          <w:p>
            <w:pPr>
              <w:jc w:val="left"/>
            </w:pPr>
            <w:r/>
            <w:r>
              <w:rPr>
                <w:rFonts w:ascii="Times New Roman" w:hAnsi="Times New Roman" w:eastAsia="宋体"/>
                <w:b w:val="0"/>
                <w:sz w:val="20"/>
              </w:rPr>
              <w:t>强</w:t>
            </w:r>
          </w:p>
        </w:tc>
        <w:tc>
          <w:tcPr>
            <w:tcW w:type="dxa" w:w="1701"/>
            <w:vAlign w:val="center"/>
          </w:tcPr>
          <w:p>
            <w:pPr>
              <w:jc w:val="left"/>
            </w:pPr>
            <w:r/>
            <w:r>
              <w:rPr>
                <w:rFonts w:ascii="Times New Roman" w:hAnsi="Times New Roman" w:eastAsia="宋体"/>
                <w:b w:val="0"/>
                <w:sz w:val="20"/>
              </w:rPr>
              <w:t>清仓</w:t>
            </w:r>
          </w:p>
        </w:tc>
        <w:tc>
          <w:tcPr>
            <w:tcW w:type="dxa" w:w="1701"/>
            <w:vAlign w:val="center"/>
          </w:tcPr>
          <w:p>
            <w:pPr>
              <w:jc w:val="left"/>
            </w:pPr>
            <w:r/>
            <w:r>
              <w:rPr>
                <w:rFonts w:ascii="Times New Roman" w:hAnsi="Times New Roman" w:eastAsia="宋体"/>
                <w:b w:val="0"/>
                <w:sz w:val="20"/>
              </w:rPr>
              <w:t>连续3日收盘失守</w:t>
            </w:r>
          </w:p>
        </w:tc>
      </w:tr>
      <w:tr>
        <w:tc>
          <w:tcPr>
            <w:tcW w:type="dxa" w:w="1134"/>
            <w:vAlign w:val="center"/>
          </w:tcPr>
          <w:p>
            <w:pPr>
              <w:jc w:val="left"/>
            </w:pPr>
            <w:r/>
            <w:r>
              <w:rPr>
                <w:rFonts w:ascii="Times New Roman" w:hAnsi="Times New Roman" w:eastAsia="宋体"/>
                <w:b w:val="0"/>
                <w:sz w:val="20"/>
              </w:rPr>
              <w:t>短线卖点</w:t>
            </w:r>
          </w:p>
        </w:tc>
        <w:tc>
          <w:tcPr>
            <w:tcW w:type="dxa" w:w="2268"/>
            <w:vAlign w:val="center"/>
          </w:tcPr>
          <w:p>
            <w:pPr>
              <w:jc w:val="left"/>
            </w:pPr>
            <w:r/>
            <w:r>
              <w:rPr>
                <w:rFonts w:ascii="Times New Roman" w:hAnsi="Times New Roman" w:eastAsia="宋体"/>
                <w:b w:val="0"/>
                <w:sz w:val="20"/>
              </w:rPr>
              <w:t>20日线死叉50日线</w:t>
            </w:r>
          </w:p>
        </w:tc>
        <w:tc>
          <w:tcPr>
            <w:tcW w:type="dxa" w:w="1134"/>
            <w:vAlign w:val="center"/>
          </w:tcPr>
          <w:p>
            <w:pPr>
              <w:jc w:val="left"/>
            </w:pPr>
            <w:r/>
            <w:r>
              <w:rPr>
                <w:rFonts w:ascii="Times New Roman" w:hAnsi="Times New Roman" w:eastAsia="宋体"/>
                <w:b w:val="0"/>
                <w:sz w:val="20"/>
              </w:rPr>
              <w:t>中等</w:t>
            </w:r>
          </w:p>
        </w:tc>
        <w:tc>
          <w:tcPr>
            <w:tcW w:type="dxa" w:w="1701"/>
            <w:vAlign w:val="center"/>
          </w:tcPr>
          <w:p>
            <w:pPr>
              <w:jc w:val="left"/>
            </w:pPr>
            <w:r/>
            <w:r>
              <w:rPr>
                <w:rFonts w:ascii="Times New Roman" w:hAnsi="Times New Roman" w:eastAsia="宋体"/>
                <w:b w:val="0"/>
                <w:sz w:val="20"/>
              </w:rPr>
              <w:t>减至半仓</w:t>
            </w:r>
          </w:p>
        </w:tc>
        <w:tc>
          <w:tcPr>
            <w:tcW w:type="dxa" w:w="1701"/>
            <w:vAlign w:val="center"/>
          </w:tcPr>
          <w:p>
            <w:pPr>
              <w:jc w:val="left"/>
            </w:pPr>
            <w:r/>
            <w:r>
              <w:rPr>
                <w:rFonts w:ascii="Times New Roman" w:hAnsi="Times New Roman" w:eastAsia="宋体"/>
                <w:b w:val="0"/>
                <w:sz w:val="20"/>
              </w:rPr>
              <w:t>死叉当日减仓</w:t>
            </w:r>
          </w:p>
        </w:tc>
      </w:tr>
      <w:tr>
        <w:tc>
          <w:tcPr>
            <w:tcW w:type="dxa" w:w="1134"/>
            <w:vAlign w:val="center"/>
          </w:tcPr>
          <w:p>
            <w:pPr>
              <w:jc w:val="left"/>
            </w:pPr>
            <w:r/>
            <w:r>
              <w:rPr>
                <w:rFonts w:ascii="Times New Roman" w:hAnsi="Times New Roman" w:eastAsia="宋体"/>
                <w:b w:val="0"/>
                <w:sz w:val="20"/>
              </w:rPr>
              <w:t>警示卖点</w:t>
            </w:r>
          </w:p>
        </w:tc>
        <w:tc>
          <w:tcPr>
            <w:tcW w:type="dxa" w:w="2268"/>
            <w:vAlign w:val="center"/>
          </w:tcPr>
          <w:p>
            <w:pPr>
              <w:jc w:val="left"/>
            </w:pPr>
            <w:r/>
            <w:r>
              <w:rPr>
                <w:rFonts w:ascii="Times New Roman" w:hAnsi="Times New Roman" w:eastAsia="宋体"/>
                <w:b w:val="0"/>
                <w:sz w:val="20"/>
              </w:rPr>
              <w:t>反向排列开始形成</w:t>
            </w:r>
          </w:p>
        </w:tc>
        <w:tc>
          <w:tcPr>
            <w:tcW w:type="dxa" w:w="1134"/>
            <w:vAlign w:val="center"/>
          </w:tcPr>
          <w:p>
            <w:pPr>
              <w:jc w:val="left"/>
            </w:pPr>
            <w:r/>
            <w:r>
              <w:rPr>
                <w:rFonts w:ascii="Times New Roman" w:hAnsi="Times New Roman" w:eastAsia="宋体"/>
                <w:b w:val="0"/>
                <w:sz w:val="20"/>
              </w:rPr>
              <w:t>强</w:t>
            </w:r>
          </w:p>
        </w:tc>
        <w:tc>
          <w:tcPr>
            <w:tcW w:type="dxa" w:w="1701"/>
            <w:vAlign w:val="center"/>
          </w:tcPr>
          <w:p>
            <w:pPr>
              <w:jc w:val="left"/>
            </w:pPr>
            <w:r/>
            <w:r>
              <w:rPr>
                <w:rFonts w:ascii="Times New Roman" w:hAnsi="Times New Roman" w:eastAsia="宋体"/>
                <w:b w:val="0"/>
                <w:sz w:val="20"/>
              </w:rPr>
              <w:t>分批清仓</w:t>
            </w:r>
          </w:p>
        </w:tc>
        <w:tc>
          <w:tcPr>
            <w:tcW w:type="dxa" w:w="1701"/>
            <w:vAlign w:val="center"/>
          </w:tcPr>
          <w:p>
            <w:pPr>
              <w:jc w:val="left"/>
            </w:pPr>
            <w:r/>
            <w:r>
              <w:rPr>
                <w:rFonts w:ascii="Times New Roman" w:hAnsi="Times New Roman" w:eastAsia="宋体"/>
                <w:b w:val="0"/>
                <w:sz w:val="20"/>
              </w:rPr>
              <w:t>排列破坏20%减仓</w:t>
            </w:r>
          </w:p>
        </w:tc>
      </w:tr>
      <w:tr>
        <w:tc>
          <w:tcPr>
            <w:tcW w:type="dxa" w:w="1134"/>
            <w:vAlign w:val="center"/>
          </w:tcPr>
          <w:p>
            <w:pPr>
              <w:jc w:val="left"/>
            </w:pPr>
            <w:r/>
            <w:r>
              <w:rPr>
                <w:rFonts w:ascii="Times New Roman" w:hAnsi="Times New Roman" w:eastAsia="宋体"/>
                <w:b w:val="0"/>
                <w:sz w:val="20"/>
              </w:rPr>
              <w:t>止损卖点</w:t>
            </w:r>
          </w:p>
        </w:tc>
        <w:tc>
          <w:tcPr>
            <w:tcW w:type="dxa" w:w="2268"/>
            <w:vAlign w:val="center"/>
          </w:tcPr>
          <w:p>
            <w:pPr>
              <w:jc w:val="left"/>
            </w:pPr>
            <w:r/>
            <w:r>
              <w:rPr>
                <w:rFonts w:ascii="Times New Roman" w:hAnsi="Times New Roman" w:eastAsia="宋体"/>
                <w:b w:val="0"/>
                <w:sz w:val="20"/>
              </w:rPr>
              <w:t>股价有效跌破250日线</w:t>
            </w:r>
          </w:p>
        </w:tc>
        <w:tc>
          <w:tcPr>
            <w:tcW w:type="dxa" w:w="1134"/>
            <w:vAlign w:val="center"/>
          </w:tcPr>
          <w:p>
            <w:pPr>
              <w:jc w:val="left"/>
            </w:pPr>
            <w:r/>
            <w:r>
              <w:rPr>
                <w:rFonts w:ascii="Times New Roman" w:hAnsi="Times New Roman" w:eastAsia="宋体"/>
                <w:b w:val="0"/>
                <w:sz w:val="20"/>
              </w:rPr>
              <w:t>极强</w:t>
            </w:r>
          </w:p>
        </w:tc>
        <w:tc>
          <w:tcPr>
            <w:tcW w:type="dxa" w:w="1701"/>
            <w:vAlign w:val="center"/>
          </w:tcPr>
          <w:p>
            <w:pPr>
              <w:jc w:val="left"/>
            </w:pPr>
            <w:r/>
            <w:r>
              <w:rPr>
                <w:rFonts w:ascii="Times New Roman" w:hAnsi="Times New Roman" w:eastAsia="宋体"/>
                <w:b w:val="0"/>
                <w:sz w:val="20"/>
              </w:rPr>
              <w:t>绝对清仓</w:t>
            </w:r>
          </w:p>
        </w:tc>
        <w:tc>
          <w:tcPr>
            <w:tcW w:type="dxa" w:w="1701"/>
            <w:vAlign w:val="center"/>
          </w:tcPr>
          <w:p>
            <w:pPr>
              <w:jc w:val="left"/>
            </w:pPr>
            <w:r/>
            <w:r>
              <w:rPr>
                <w:rFonts w:ascii="Times New Roman" w:hAnsi="Times New Roman" w:eastAsia="宋体"/>
                <w:b w:val="0"/>
                <w:sz w:val="20"/>
              </w:rPr>
              <w:t>牛熊反转确认</w:t>
            </w:r>
          </w:p>
        </w:tc>
      </w:tr>
    </w:tbl>
    <w:p>
      <w:pPr>
        <w:spacing w:before="280" w:after="160"/>
      </w:pPr>
      <w:r>
        <w:rPr>
          <w:rFonts w:ascii="Times New Roman" w:hAnsi="Times New Roman" w:eastAsia="微软雅黑"/>
          <w:b/>
          <w:color w:val="2E75B6"/>
          <w:sz w:val="26"/>
        </w:rPr>
        <w:t>6.5 1250系统的综合实战要点</w:t>
      </w:r>
    </w:p>
    <w:p>
      <w:pPr>
        <w:spacing w:line="360" w:lineRule="auto" w:after="80"/>
        <w:ind w:firstLine="440"/>
      </w:pPr>
      <w:r>
        <w:rPr>
          <w:rFonts w:ascii="Times New Roman" w:hAnsi="Times New Roman" w:eastAsia="宋体"/>
          <w:b w:val="0"/>
          <w:sz w:val="22"/>
        </w:rPr>
        <w:t>1. 多时间维度确认：短线用20日/50日判断进出，中线用50日/120日判断趋势，长线用120日/250日判断牛熊。</w:t>
      </w:r>
    </w:p>
    <w:p>
      <w:pPr>
        <w:spacing w:line="360" w:lineRule="auto" w:after="80"/>
        <w:ind w:firstLine="440"/>
      </w:pPr>
      <w:r>
        <w:rPr>
          <w:rFonts w:ascii="Times New Roman" w:hAnsi="Times New Roman" w:eastAsia="宋体"/>
          <w:b w:val="0"/>
          <w:sz w:val="22"/>
        </w:rPr>
        <w:t>2. 关键位置的密切关注：120日线是多空强弱的分界线，250日线是牛熊大周期的分界线。这两条线的攻守决定整个趋势方向。</w:t>
      </w:r>
    </w:p>
    <w:p>
      <w:pPr>
        <w:spacing w:line="360" w:lineRule="auto" w:after="80"/>
        <w:ind w:firstLine="440"/>
      </w:pPr>
      <w:r>
        <w:rPr>
          <w:rFonts w:ascii="Times New Roman" w:hAnsi="Times New Roman" w:eastAsia="宋体"/>
          <w:b w:val="0"/>
          <w:sz w:val="22"/>
        </w:rPr>
        <w:t>3. 三线开花是最高优先级信号：其他信号都是『辅助信号』，三线开花一旦出现，应优先执行其对应的操作。</w:t>
      </w:r>
    </w:p>
    <w:p>
      <w:pPr>
        <w:spacing w:line="360" w:lineRule="auto" w:after="80"/>
        <w:ind w:firstLine="440"/>
      </w:pPr>
      <w:r>
        <w:rPr>
          <w:rFonts w:ascii="Times New Roman" w:hAnsi="Times New Roman" w:eastAsia="宋体"/>
          <w:b w:val="0"/>
          <w:sz w:val="22"/>
        </w:rPr>
        <w:t>4. 系统纪律大于个人判断：1250系统的精髓在于信号清晰、规则明确。不要用主观判断去覆盖系统信号。</w:t>
      </w:r>
    </w:p>
    <w:p>
      <w:r>
        <w:br w:type="page"/>
      </w:r>
    </w:p>
    <w:p>
      <w:pPr>
        <w:spacing w:before="400" w:after="240"/>
      </w:pPr>
      <w:r>
        <w:rPr>
          <w:rFonts w:ascii="Times New Roman" w:hAnsi="Times New Roman" w:eastAsia="微软雅黑"/>
          <w:b/>
          <w:color w:val="1F4E78"/>
          <w:sz w:val="32"/>
        </w:rPr>
        <w:t>第七章  大均线系统（MA120/MA250/MA850）</w:t>
      </w:r>
    </w:p>
    <w:p>
      <w:pPr>
        <w:spacing w:before="280" w:after="160"/>
      </w:pPr>
      <w:r>
        <w:rPr>
          <w:rFonts w:ascii="Times New Roman" w:hAnsi="Times New Roman" w:eastAsia="微软雅黑"/>
          <w:b/>
          <w:color w:val="2E75B6"/>
          <w:sz w:val="26"/>
        </w:rPr>
        <w:t>7.1 大均线的定义与特殊价值</w:t>
      </w:r>
    </w:p>
    <w:p>
      <w:pPr>
        <w:spacing w:line="360" w:lineRule="auto" w:after="80"/>
        <w:ind w:firstLine="440"/>
      </w:pPr>
      <w:r>
        <w:rPr>
          <w:rFonts w:ascii="Times New Roman" w:hAnsi="Times New Roman" w:eastAsia="宋体"/>
          <w:b w:val="0"/>
          <w:sz w:val="22"/>
        </w:rPr>
        <w:t>大均线是指周期在100日以上的长周期移动平均线，主要包括MA120（半年线）、MA250（年线）和MA850（约3.4年线）。</w:t>
      </w:r>
    </w:p>
    <w:p>
      <w:pPr>
        <w:spacing w:line="360" w:lineRule="auto" w:after="80"/>
        <w:ind w:firstLine="440"/>
      </w:pPr>
      <w:r>
        <w:rPr>
          <w:rFonts w:ascii="Times New Roman" w:hAnsi="Times New Roman" w:eastAsia="宋体"/>
          <w:b w:val="0"/>
          <w:sz w:val="22"/>
        </w:rPr>
        <w:t>大均线的特殊价值在于三点：</w:t>
      </w:r>
    </w:p>
    <w:p>
      <w:pPr>
        <w:spacing w:line="360" w:lineRule="auto" w:after="80"/>
        <w:ind w:firstLine="440"/>
      </w:pPr>
      <w:r>
        <w:rPr>
          <w:rFonts w:ascii="Times New Roman" w:hAnsi="Times New Roman" w:eastAsia="宋体"/>
          <w:b w:val="0"/>
          <w:sz w:val="22"/>
        </w:rPr>
        <w:t>第一，反映更长时间的市场参与者平均成本。MA250反映过去一年买入者的平均成本，MA850反映过去近3.4年买入者的平均成本。</w:t>
      </w:r>
    </w:p>
    <w:p>
      <w:pPr>
        <w:spacing w:line="360" w:lineRule="auto" w:after="80"/>
        <w:ind w:firstLine="440"/>
      </w:pPr>
      <w:r>
        <w:rPr>
          <w:rFonts w:ascii="Times New Roman" w:hAnsi="Times New Roman" w:eastAsia="宋体"/>
          <w:b w:val="0"/>
          <w:sz w:val="22"/>
        </w:rPr>
        <w:t>第二，过滤短期噪音，聚焦大趋势。大均线对短期波动不敏感，能够清晰显示市场的宏观运行方向。</w:t>
      </w:r>
    </w:p>
    <w:p>
      <w:pPr>
        <w:spacing w:line="360" w:lineRule="auto" w:after="80"/>
        <w:ind w:firstLine="440"/>
      </w:pPr>
      <w:r>
        <w:rPr>
          <w:rFonts w:ascii="Times New Roman" w:hAnsi="Times New Roman" w:eastAsia="宋体"/>
          <w:b w:val="0"/>
          <w:sz w:val="22"/>
        </w:rPr>
        <w:t>第三，支撑/阻力作用远强于短期均线。由于涉及资金规模巨大，大均线的支撑/压力几乎是市场共识。</w:t>
      </w:r>
    </w:p>
    <w:p>
      <w:pPr>
        <w:spacing w:before="280" w:after="160"/>
      </w:pPr>
      <w:r>
        <w:rPr>
          <w:rFonts w:ascii="Times New Roman" w:hAnsi="Times New Roman" w:eastAsia="微软雅黑"/>
          <w:b/>
          <w:color w:val="2E75B6"/>
          <w:sz w:val="26"/>
        </w:rPr>
        <w:t>7.2 MA120（半年线）操作体系</w:t>
      </w:r>
    </w:p>
    <w:p>
      <w:pPr>
        <w:spacing w:before="200" w:after="120"/>
      </w:pPr>
      <w:r>
        <w:rPr>
          <w:rFonts w:ascii="Times New Roman" w:hAnsi="Times New Roman" w:eastAsia="微软雅黑"/>
          <w:b/>
          <w:color w:val="44546A"/>
          <w:sz w:val="24"/>
        </w:rPr>
        <w:t>7.2.1 多空判断规则</w:t>
      </w:r>
    </w:p>
    <w:p>
      <w:pPr>
        <w:spacing w:line="360" w:lineRule="auto" w:after="80"/>
        <w:ind w:firstLine="440"/>
      </w:pPr>
      <w:r>
        <w:rPr>
          <w:rFonts w:ascii="Times New Roman" w:hAnsi="Times New Roman" w:eastAsia="宋体"/>
          <w:b w:val="0"/>
          <w:sz w:val="22"/>
        </w:rPr>
        <w:t>MA120向上运行：中期看多。股价在MA120上方运行时，说明近半年的买入者整体获利，市场情绪乐观，中期趋势向上。</w:t>
      </w:r>
    </w:p>
    <w:p>
      <w:pPr>
        <w:spacing w:line="360" w:lineRule="auto" w:after="80"/>
        <w:ind w:firstLine="440"/>
      </w:pPr>
      <w:r>
        <w:rPr>
          <w:rFonts w:ascii="Times New Roman" w:hAnsi="Times New Roman" w:eastAsia="宋体"/>
          <w:b w:val="0"/>
          <w:sz w:val="22"/>
        </w:rPr>
        <w:t>MA120向下运行：中期看空。股价在MA120下方运行时，说明近半年的买入者整体亏损，市场情绪悲观，中期趋势向下。</w:t>
      </w:r>
    </w:p>
    <w:p>
      <w:pPr>
        <w:spacing w:before="200" w:after="120"/>
      </w:pPr>
      <w:r>
        <w:rPr>
          <w:rFonts w:ascii="Times New Roman" w:hAnsi="Times New Roman" w:eastAsia="微软雅黑"/>
          <w:b/>
          <w:color w:val="44546A"/>
          <w:sz w:val="24"/>
        </w:rPr>
        <w:t>7.2.2 有效突破/跌破的判定标准</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1701"/>
            <w:shd w:fill="2E75B6"/>
            <w:vAlign w:val="center"/>
          </w:tcPr>
          <w:p>
            <w:pPr>
              <w:jc w:val="center"/>
            </w:pPr>
            <w:r/>
            <w:r>
              <w:rPr>
                <w:rFonts w:ascii="Times New Roman" w:hAnsi="Times New Roman" w:eastAsia="微软雅黑"/>
                <w:b/>
                <w:color w:val="FFFFFF"/>
                <w:sz w:val="20"/>
              </w:rPr>
              <w:t>标准</w:t>
            </w:r>
          </w:p>
        </w:tc>
        <w:tc>
          <w:tcPr>
            <w:tcW w:type="dxa" w:w="2268"/>
            <w:shd w:fill="2E75B6"/>
            <w:vAlign w:val="center"/>
          </w:tcPr>
          <w:p>
            <w:pPr>
              <w:jc w:val="center"/>
            </w:pPr>
            <w:r/>
            <w:r>
              <w:rPr>
                <w:rFonts w:ascii="Times New Roman" w:hAnsi="Times New Roman" w:eastAsia="微软雅黑"/>
                <w:b/>
                <w:color w:val="FFFFFF"/>
                <w:sz w:val="20"/>
              </w:rPr>
              <w:t>具体要求</w:t>
            </w:r>
          </w:p>
        </w:tc>
        <w:tc>
          <w:tcPr>
            <w:tcW w:type="dxa" w:w="1701"/>
            <w:shd w:fill="2E75B6"/>
            <w:vAlign w:val="center"/>
          </w:tcPr>
          <w:p>
            <w:pPr>
              <w:jc w:val="center"/>
            </w:pPr>
            <w:r/>
            <w:r>
              <w:rPr>
                <w:rFonts w:ascii="Times New Roman" w:hAnsi="Times New Roman" w:eastAsia="微软雅黑"/>
                <w:b/>
                <w:color w:val="FFFFFF"/>
                <w:sz w:val="20"/>
              </w:rPr>
              <w:t>含义</w:t>
            </w:r>
          </w:p>
        </w:tc>
        <w:tc>
          <w:tcPr>
            <w:tcW w:type="dxa" w:w="2268"/>
            <w:shd w:fill="2E75B6"/>
            <w:vAlign w:val="center"/>
          </w:tcPr>
          <w:p>
            <w:pPr>
              <w:jc w:val="center"/>
            </w:pPr>
            <w:r/>
            <w:r>
              <w:rPr>
                <w:rFonts w:ascii="Times New Roman" w:hAnsi="Times New Roman" w:eastAsia="微软雅黑"/>
                <w:b/>
                <w:color w:val="FFFFFF"/>
                <w:sz w:val="20"/>
              </w:rPr>
              <w:t>实战应用</w:t>
            </w:r>
          </w:p>
        </w:tc>
      </w:tr>
      <w:tr>
        <w:tc>
          <w:tcPr>
            <w:tcW w:type="dxa" w:w="1701"/>
            <w:vAlign w:val="center"/>
          </w:tcPr>
          <w:p>
            <w:pPr>
              <w:jc w:val="left"/>
            </w:pPr>
            <w:r/>
            <w:r>
              <w:rPr>
                <w:rFonts w:ascii="Times New Roman" w:hAnsi="Times New Roman" w:eastAsia="宋体"/>
                <w:b w:val="0"/>
                <w:sz w:val="20"/>
              </w:rPr>
              <w:t>3日法则</w:t>
            </w:r>
          </w:p>
        </w:tc>
        <w:tc>
          <w:tcPr>
            <w:tcW w:type="dxa" w:w="2268"/>
            <w:vAlign w:val="center"/>
          </w:tcPr>
          <w:p>
            <w:pPr>
              <w:jc w:val="left"/>
            </w:pPr>
            <w:r/>
            <w:r>
              <w:rPr>
                <w:rFonts w:ascii="Times New Roman" w:hAnsi="Times New Roman" w:eastAsia="宋体"/>
                <w:b w:val="0"/>
                <w:sz w:val="20"/>
              </w:rPr>
              <w:t>股价连续3个交易日收盘站稳（或失守）</w:t>
            </w:r>
          </w:p>
        </w:tc>
        <w:tc>
          <w:tcPr>
            <w:tcW w:type="dxa" w:w="1701"/>
            <w:vAlign w:val="center"/>
          </w:tcPr>
          <w:p>
            <w:pPr>
              <w:jc w:val="left"/>
            </w:pPr>
            <w:r/>
            <w:r>
              <w:rPr>
                <w:rFonts w:ascii="Times New Roman" w:hAnsi="Times New Roman" w:eastAsia="宋体"/>
                <w:b w:val="0"/>
                <w:sz w:val="20"/>
              </w:rPr>
              <w:t>标准确认方法</w:t>
            </w:r>
          </w:p>
        </w:tc>
        <w:tc>
          <w:tcPr>
            <w:tcW w:type="dxa" w:w="2268"/>
            <w:vAlign w:val="center"/>
          </w:tcPr>
          <w:p>
            <w:pPr>
              <w:jc w:val="left"/>
            </w:pPr>
            <w:r/>
            <w:r>
              <w:rPr>
                <w:rFonts w:ascii="Times New Roman" w:hAnsi="Times New Roman" w:eastAsia="宋体"/>
                <w:b w:val="0"/>
                <w:sz w:val="20"/>
              </w:rPr>
              <w:t>最广泛使用的确认法</w:t>
            </w:r>
          </w:p>
        </w:tc>
      </w:tr>
      <w:tr>
        <w:tc>
          <w:tcPr>
            <w:tcW w:type="dxa" w:w="1701"/>
            <w:vAlign w:val="center"/>
          </w:tcPr>
          <w:p>
            <w:pPr>
              <w:jc w:val="left"/>
            </w:pPr>
            <w:r/>
            <w:r>
              <w:rPr>
                <w:rFonts w:ascii="Times New Roman" w:hAnsi="Times New Roman" w:eastAsia="宋体"/>
                <w:b w:val="0"/>
                <w:sz w:val="20"/>
              </w:rPr>
              <w:t>3%幅度法则</w:t>
            </w:r>
          </w:p>
        </w:tc>
        <w:tc>
          <w:tcPr>
            <w:tcW w:type="dxa" w:w="2268"/>
            <w:vAlign w:val="center"/>
          </w:tcPr>
          <w:p>
            <w:pPr>
              <w:jc w:val="left"/>
            </w:pPr>
            <w:r/>
            <w:r>
              <w:rPr>
                <w:rFonts w:ascii="Times New Roman" w:hAnsi="Times New Roman" w:eastAsia="宋体"/>
                <w:b w:val="0"/>
                <w:sz w:val="20"/>
              </w:rPr>
              <w:t>突破/跌破幅度达到3%以上</w:t>
            </w:r>
          </w:p>
        </w:tc>
        <w:tc>
          <w:tcPr>
            <w:tcW w:type="dxa" w:w="1701"/>
            <w:vAlign w:val="center"/>
          </w:tcPr>
          <w:p>
            <w:pPr>
              <w:jc w:val="left"/>
            </w:pPr>
            <w:r/>
            <w:r>
              <w:rPr>
                <w:rFonts w:ascii="Times New Roman" w:hAnsi="Times New Roman" w:eastAsia="宋体"/>
                <w:b w:val="0"/>
                <w:sz w:val="20"/>
              </w:rPr>
              <w:t>避免假突破</w:t>
            </w:r>
          </w:p>
        </w:tc>
        <w:tc>
          <w:tcPr>
            <w:tcW w:type="dxa" w:w="2268"/>
            <w:vAlign w:val="center"/>
          </w:tcPr>
          <w:p>
            <w:pPr>
              <w:jc w:val="left"/>
            </w:pPr>
            <w:r/>
            <w:r>
              <w:rPr>
                <w:rFonts w:ascii="Times New Roman" w:hAnsi="Times New Roman" w:eastAsia="宋体"/>
                <w:b w:val="0"/>
                <w:sz w:val="20"/>
              </w:rPr>
              <w:t>中长期突破确认</w:t>
            </w:r>
          </w:p>
        </w:tc>
      </w:tr>
      <w:tr>
        <w:tc>
          <w:tcPr>
            <w:tcW w:type="dxa" w:w="1701"/>
            <w:vAlign w:val="center"/>
          </w:tcPr>
          <w:p>
            <w:pPr>
              <w:jc w:val="left"/>
            </w:pPr>
            <w:r/>
            <w:r>
              <w:rPr>
                <w:rFonts w:ascii="Times New Roman" w:hAnsi="Times New Roman" w:eastAsia="宋体"/>
                <w:b w:val="0"/>
                <w:sz w:val="20"/>
              </w:rPr>
              <w:t>放量确认</w:t>
            </w:r>
          </w:p>
        </w:tc>
        <w:tc>
          <w:tcPr>
            <w:tcW w:type="dxa" w:w="2268"/>
            <w:vAlign w:val="center"/>
          </w:tcPr>
          <w:p>
            <w:pPr>
              <w:jc w:val="left"/>
            </w:pPr>
            <w:r/>
            <w:r>
              <w:rPr>
                <w:rFonts w:ascii="Times New Roman" w:hAnsi="Times New Roman" w:eastAsia="宋体"/>
                <w:b w:val="0"/>
                <w:sz w:val="20"/>
              </w:rPr>
              <w:t>突破日成交量&gt;前5日均量1.5倍</w:t>
            </w:r>
          </w:p>
        </w:tc>
        <w:tc>
          <w:tcPr>
            <w:tcW w:type="dxa" w:w="1701"/>
            <w:vAlign w:val="center"/>
          </w:tcPr>
          <w:p>
            <w:pPr>
              <w:jc w:val="left"/>
            </w:pPr>
            <w:r/>
            <w:r>
              <w:rPr>
                <w:rFonts w:ascii="Times New Roman" w:hAnsi="Times New Roman" w:eastAsia="宋体"/>
                <w:b w:val="0"/>
                <w:sz w:val="20"/>
              </w:rPr>
              <w:t>资金面配合</w:t>
            </w:r>
          </w:p>
        </w:tc>
        <w:tc>
          <w:tcPr>
            <w:tcW w:type="dxa" w:w="2268"/>
            <w:vAlign w:val="center"/>
          </w:tcPr>
          <w:p>
            <w:pPr>
              <w:jc w:val="left"/>
            </w:pPr>
            <w:r/>
            <w:r>
              <w:rPr>
                <w:rFonts w:ascii="Times New Roman" w:hAnsi="Times New Roman" w:eastAsia="宋体"/>
                <w:b w:val="0"/>
                <w:sz w:val="20"/>
              </w:rPr>
              <w:t>强化信号可靠性</w:t>
            </w:r>
          </w:p>
        </w:tc>
      </w:tr>
      <w:tr>
        <w:tc>
          <w:tcPr>
            <w:tcW w:type="dxa" w:w="1701"/>
            <w:vAlign w:val="center"/>
          </w:tcPr>
          <w:p>
            <w:pPr>
              <w:jc w:val="left"/>
            </w:pPr>
            <w:r/>
            <w:r>
              <w:rPr>
                <w:rFonts w:ascii="Times New Roman" w:hAnsi="Times New Roman" w:eastAsia="宋体"/>
                <w:b w:val="0"/>
                <w:sz w:val="20"/>
              </w:rPr>
              <w:t>收盘价法则</w:t>
            </w:r>
          </w:p>
        </w:tc>
        <w:tc>
          <w:tcPr>
            <w:tcW w:type="dxa" w:w="2268"/>
            <w:vAlign w:val="center"/>
          </w:tcPr>
          <w:p>
            <w:pPr>
              <w:jc w:val="left"/>
            </w:pPr>
            <w:r/>
            <w:r>
              <w:rPr>
                <w:rFonts w:ascii="Times New Roman" w:hAnsi="Times New Roman" w:eastAsia="宋体"/>
                <w:b w:val="0"/>
                <w:sz w:val="20"/>
              </w:rPr>
              <w:t>以收盘价为准，盘中穿越不算</w:t>
            </w:r>
          </w:p>
        </w:tc>
        <w:tc>
          <w:tcPr>
            <w:tcW w:type="dxa" w:w="1701"/>
            <w:vAlign w:val="center"/>
          </w:tcPr>
          <w:p>
            <w:pPr>
              <w:jc w:val="left"/>
            </w:pPr>
            <w:r/>
            <w:r>
              <w:rPr>
                <w:rFonts w:ascii="Times New Roman" w:hAnsi="Times New Roman" w:eastAsia="宋体"/>
                <w:b w:val="0"/>
                <w:sz w:val="20"/>
              </w:rPr>
              <w:t>基础标准</w:t>
            </w:r>
          </w:p>
        </w:tc>
        <w:tc>
          <w:tcPr>
            <w:tcW w:type="dxa" w:w="2268"/>
            <w:vAlign w:val="center"/>
          </w:tcPr>
          <w:p>
            <w:pPr>
              <w:jc w:val="left"/>
            </w:pPr>
            <w:r/>
            <w:r>
              <w:rPr>
                <w:rFonts w:ascii="Times New Roman" w:hAnsi="Times New Roman" w:eastAsia="宋体"/>
                <w:b w:val="0"/>
                <w:sz w:val="20"/>
              </w:rPr>
              <w:t>所有长线均线适用</w:t>
            </w:r>
          </w:p>
        </w:tc>
      </w:tr>
      <w:tr>
        <w:tc>
          <w:tcPr>
            <w:tcW w:type="dxa" w:w="1701"/>
            <w:vAlign w:val="center"/>
          </w:tcPr>
          <w:p>
            <w:pPr>
              <w:jc w:val="left"/>
            </w:pPr>
            <w:r/>
            <w:r>
              <w:rPr>
                <w:rFonts w:ascii="Times New Roman" w:hAnsi="Times New Roman" w:eastAsia="宋体"/>
                <w:b w:val="0"/>
                <w:sz w:val="20"/>
              </w:rPr>
              <w:t>均线方向法则</w:t>
            </w:r>
          </w:p>
        </w:tc>
        <w:tc>
          <w:tcPr>
            <w:tcW w:type="dxa" w:w="2268"/>
            <w:vAlign w:val="center"/>
          </w:tcPr>
          <w:p>
            <w:pPr>
              <w:jc w:val="left"/>
            </w:pPr>
            <w:r/>
            <w:r>
              <w:rPr>
                <w:rFonts w:ascii="Times New Roman" w:hAnsi="Times New Roman" w:eastAsia="宋体"/>
                <w:b w:val="0"/>
                <w:sz w:val="20"/>
              </w:rPr>
              <w:t>突破时均线自身方向需配合</w:t>
            </w:r>
          </w:p>
        </w:tc>
        <w:tc>
          <w:tcPr>
            <w:tcW w:type="dxa" w:w="1701"/>
            <w:vAlign w:val="center"/>
          </w:tcPr>
          <w:p>
            <w:pPr>
              <w:jc w:val="left"/>
            </w:pPr>
            <w:r/>
            <w:r>
              <w:rPr>
                <w:rFonts w:ascii="Times New Roman" w:hAnsi="Times New Roman" w:eastAsia="宋体"/>
                <w:b w:val="0"/>
                <w:sz w:val="20"/>
              </w:rPr>
              <w:t>强化确认</w:t>
            </w:r>
          </w:p>
        </w:tc>
        <w:tc>
          <w:tcPr>
            <w:tcW w:type="dxa" w:w="2268"/>
            <w:vAlign w:val="center"/>
          </w:tcPr>
          <w:p>
            <w:pPr>
              <w:jc w:val="left"/>
            </w:pPr>
            <w:r/>
            <w:r>
              <w:rPr>
                <w:rFonts w:ascii="Times New Roman" w:hAnsi="Times New Roman" w:eastAsia="宋体"/>
                <w:b w:val="0"/>
                <w:sz w:val="20"/>
              </w:rPr>
              <w:t>MA250及以上适用</w:t>
            </w:r>
          </w:p>
        </w:tc>
      </w:tr>
    </w:tbl>
    <w:p>
      <w:pPr>
        <w:spacing w:before="200" w:after="120"/>
      </w:pPr>
      <w:r>
        <w:rPr>
          <w:rFonts w:ascii="Times New Roman" w:hAnsi="Times New Roman" w:eastAsia="微软雅黑"/>
          <w:b/>
          <w:color w:val="44546A"/>
          <w:sz w:val="24"/>
        </w:rPr>
        <w:t>7.2.3 MA120的三种经典形态</w:t>
      </w:r>
    </w:p>
    <w:p>
      <w:pPr>
        <w:spacing w:line="360" w:lineRule="auto" w:after="80"/>
        <w:ind w:firstLine="440"/>
      </w:pPr>
      <w:r>
        <w:rPr>
          <w:rFonts w:ascii="Times New Roman" w:hAnsi="Times New Roman" w:eastAsia="宋体"/>
          <w:b w:val="0"/>
          <w:sz w:val="22"/>
        </w:rPr>
        <w:t>1. 首次突破MA120：中期趋势反转的重要信号。若同时MA120由下降转为走平或上行，则反转确认。</w:t>
      </w:r>
    </w:p>
    <w:p>
      <w:pPr>
        <w:spacing w:line="360" w:lineRule="auto" w:after="80"/>
        <w:ind w:firstLine="440"/>
      </w:pPr>
      <w:r>
        <w:rPr>
          <w:rFonts w:ascii="Times New Roman" w:hAnsi="Times New Roman" w:eastAsia="宋体"/>
          <w:b w:val="0"/>
          <w:sz w:val="22"/>
        </w:rPr>
        <w:t>2. 首次跌破MA120：中期趋势走弱的重要信号，应及时减仓或清仓。</w:t>
      </w:r>
    </w:p>
    <w:p>
      <w:pPr>
        <w:spacing w:line="360" w:lineRule="auto" w:after="80"/>
        <w:ind w:firstLine="440"/>
      </w:pPr>
      <w:r>
        <w:rPr>
          <w:rFonts w:ascii="Times New Roman" w:hAnsi="Times New Roman" w:eastAsia="宋体"/>
          <w:b w:val="0"/>
          <w:sz w:val="22"/>
        </w:rPr>
        <w:t>3. 反复测试MA120：在MA120附近多次震荡，通常预示大级别行情的酝酿，无论最终向上还是向下，突破后都将是趋势性行情。</w:t>
      </w:r>
    </w:p>
    <w:p>
      <w:pPr>
        <w:spacing w:before="280" w:after="160"/>
      </w:pPr>
      <w:r>
        <w:rPr>
          <w:rFonts w:ascii="Times New Roman" w:hAnsi="Times New Roman" w:eastAsia="微软雅黑"/>
          <w:b/>
          <w:color w:val="2E75B6"/>
          <w:sz w:val="26"/>
        </w:rPr>
        <w:t>7.3 MA250（年线）：牛熊分界线</w:t>
      </w:r>
    </w:p>
    <w:p>
      <w:pPr>
        <w:spacing w:line="360" w:lineRule="auto" w:after="80"/>
        <w:ind w:firstLine="440"/>
      </w:pPr>
      <w:r>
        <w:rPr>
          <w:rFonts w:ascii="Times New Roman" w:hAnsi="Times New Roman" w:eastAsia="宋体"/>
          <w:b w:val="0"/>
          <w:sz w:val="22"/>
        </w:rPr>
        <w:t>MA250被称为『牛熊分界线』，是判断长期趋势最重要的均线之一。在A股、港股、美股等主要市场，年线都被作为牛熊转换的核心判断依据。</w:t>
      </w:r>
    </w:p>
    <w:p>
      <w:pPr>
        <w:spacing w:before="200" w:after="120"/>
      </w:pPr>
      <w:r>
        <w:rPr>
          <w:rFonts w:ascii="Times New Roman" w:hAnsi="Times New Roman" w:eastAsia="微软雅黑"/>
          <w:b/>
          <w:color w:val="44546A"/>
          <w:sz w:val="24"/>
        </w:rPr>
        <w:t>7.3.1 年线的多空判断</w:t>
      </w:r>
    </w:p>
    <w:p>
      <w:pPr>
        <w:spacing w:line="360" w:lineRule="auto" w:after="80"/>
        <w:ind w:firstLine="440"/>
      </w:pPr>
      <w:r>
        <w:rPr>
          <w:rFonts w:ascii="Times New Roman" w:hAnsi="Times New Roman" w:eastAsia="宋体"/>
          <w:b w:val="0"/>
          <w:sz w:val="22"/>
        </w:rPr>
        <w:t>股价在MA250上方运行：长期多头格局，市场处于牛市或牛市的调整阶段。即使出现短期回调，只要不有效跌破MA250，长期趋势依然向好。</w:t>
      </w:r>
    </w:p>
    <w:p>
      <w:pPr>
        <w:spacing w:line="360" w:lineRule="auto" w:after="80"/>
        <w:ind w:firstLine="440"/>
      </w:pPr>
      <w:r>
        <w:rPr>
          <w:rFonts w:ascii="Times New Roman" w:hAnsi="Times New Roman" w:eastAsia="宋体"/>
          <w:b w:val="0"/>
          <w:sz w:val="22"/>
        </w:rPr>
        <w:t>股价在MA250下方运行：长期空头格局，市场处于熊市或熊市的反弹阶段。即使出现短期反弹，只要不有效突破MA250，长期趋势依然向下。</w:t>
      </w:r>
    </w:p>
    <w:p>
      <w:pPr>
        <w:spacing w:before="200" w:after="120"/>
      </w:pPr>
      <w:r>
        <w:rPr>
          <w:rFonts w:ascii="Times New Roman" w:hAnsi="Times New Roman" w:eastAsia="微软雅黑"/>
          <w:b/>
          <w:color w:val="44546A"/>
          <w:sz w:val="24"/>
        </w:rPr>
        <w:t>7.3.2 年线的四大特殊作用</w:t>
      </w:r>
    </w:p>
    <w:p>
      <w:pPr>
        <w:spacing w:line="360" w:lineRule="auto" w:after="80"/>
        <w:ind w:firstLine="440"/>
      </w:pPr>
      <w:r>
        <w:rPr>
          <w:rFonts w:ascii="Times New Roman" w:hAnsi="Times New Roman" w:eastAsia="宋体"/>
          <w:b w:val="0"/>
          <w:sz w:val="22"/>
        </w:rPr>
        <w:t>1. 牛熊分界线：股价站上MA250且MA250上行 = 牛市；股价跌破MA250且MA250下行 = 熊市。</w:t>
      </w:r>
    </w:p>
    <w:p>
      <w:pPr>
        <w:spacing w:line="360" w:lineRule="auto" w:after="80"/>
        <w:ind w:firstLine="440"/>
      </w:pPr>
      <w:r>
        <w:rPr>
          <w:rFonts w:ascii="Times New Roman" w:hAnsi="Times New Roman" w:eastAsia="宋体"/>
          <w:b w:val="0"/>
          <w:sz w:val="22"/>
        </w:rPr>
        <w:t>2. 最强支撑/压力：MA250的支撑是所有均线中最强的之一。股价首次回踩MA250获得支撑时，往往是中长期的战略买入点。</w:t>
      </w:r>
    </w:p>
    <w:p>
      <w:pPr>
        <w:spacing w:line="360" w:lineRule="auto" w:after="80"/>
        <w:ind w:firstLine="440"/>
      </w:pPr>
      <w:r>
        <w:rPr>
          <w:rFonts w:ascii="Times New Roman" w:hAnsi="Times New Roman" w:eastAsia="宋体"/>
          <w:b w:val="0"/>
          <w:sz w:val="22"/>
        </w:rPr>
        <w:t>3. 趋势转折的关键信号：年线从下降转为走平，往往预示熊市尾声；年线从上升转为走平，往往预示牛市顶部。</w:t>
      </w:r>
    </w:p>
    <w:p>
      <w:pPr>
        <w:spacing w:line="360" w:lineRule="auto" w:after="80"/>
        <w:ind w:firstLine="440"/>
      </w:pPr>
      <w:r>
        <w:rPr>
          <w:rFonts w:ascii="Times New Roman" w:hAnsi="Times New Roman" w:eastAsia="宋体"/>
          <w:b w:val="0"/>
          <w:sz w:val="22"/>
        </w:rPr>
        <w:t>4. 止损的最后防线：若MA250被有效跌破，则变为强力阻力，后续反弹至MA250附近时应果断卖出。</w:t>
      </w:r>
    </w:p>
    <w:p>
      <w:pPr>
        <w:spacing w:before="200" w:after="120"/>
      </w:pPr>
      <w:r>
        <w:rPr>
          <w:rFonts w:ascii="Times New Roman" w:hAnsi="Times New Roman" w:eastAsia="微软雅黑"/>
          <w:b/>
          <w:color w:val="44546A"/>
          <w:sz w:val="24"/>
        </w:rPr>
        <w:t>7.3.3 年线突破的历史样本</w:t>
      </w:r>
    </w:p>
    <w:p>
      <w:pPr>
        <w:spacing w:line="360" w:lineRule="auto" w:after="80"/>
        <w:ind w:firstLine="440"/>
      </w:pPr>
      <w:r>
        <w:rPr>
          <w:rFonts w:ascii="Times New Roman" w:hAnsi="Times New Roman" w:eastAsia="宋体"/>
          <w:b w:val="0"/>
          <w:sz w:val="22"/>
        </w:rPr>
        <w:t>A股历史上的几次年线突破：1996年初年线突破（随后是96-97年大牛市）；2005年底年线突破（随后是05-07年超级牛市）；2014年下半年年线突破（随后是14-15年杠杆牛市）；2019年初年线突破（随后是19-21年结构性牛市）。每一次都伴随了持续数年的上涨行情。</w:t>
      </w:r>
    </w:p>
    <w:p>
      <w:pPr>
        <w:spacing w:before="280" w:after="160"/>
      </w:pPr>
      <w:r>
        <w:rPr>
          <w:rFonts w:ascii="Times New Roman" w:hAnsi="Times New Roman" w:eastAsia="微软雅黑"/>
          <w:b/>
          <w:color w:val="2E75B6"/>
          <w:sz w:val="26"/>
        </w:rPr>
        <w:t>7.4 MA850 基钦周期预测法（洪灝研究）</w:t>
      </w:r>
    </w:p>
    <w:p>
      <w:pPr>
        <w:spacing w:line="360" w:lineRule="auto" w:after="80"/>
        <w:ind w:firstLine="440"/>
      </w:pPr>
      <w:r>
        <w:rPr>
          <w:rFonts w:ascii="Times New Roman" w:hAnsi="Times New Roman" w:eastAsia="宋体"/>
          <w:b w:val="0"/>
          <w:sz w:val="22"/>
        </w:rPr>
        <w:t>MA850均线系统是由交银国际首席策略师洪灝等研究者提出的超长期趋势预测工具。850日约等于3.4年，接近一个完整的基钦周期（库存周期），因此MA850能够较好地反映经济周期的影响。</w:t>
      </w:r>
    </w:p>
    <w:p>
      <w:pPr>
        <w:spacing w:before="200" w:after="120"/>
      </w:pPr>
      <w:r>
        <w:rPr>
          <w:rFonts w:ascii="Times New Roman" w:hAnsi="Times New Roman" w:eastAsia="微软雅黑"/>
          <w:b/>
          <w:color w:val="44546A"/>
          <w:sz w:val="24"/>
        </w:rPr>
        <w:t>7.4.1 理论基础——基钦周期</w:t>
      </w:r>
    </w:p>
    <w:p>
      <w:pPr>
        <w:spacing w:line="360" w:lineRule="auto" w:after="80"/>
        <w:ind w:firstLine="440"/>
      </w:pPr>
      <w:r>
        <w:rPr>
          <w:rFonts w:ascii="Times New Roman" w:hAnsi="Times New Roman" w:eastAsia="宋体"/>
          <w:b w:val="0"/>
          <w:sz w:val="22"/>
        </w:rPr>
        <w:t>基钦周期（Kitchin Cycle）是美国经济学家约瑟夫·基钦（Joseph Kitchin）于1923年提出的经济周期理论，认为经济运行存在一个约40个月（约3.4年）的短周期，主要由企业库存变化驱动。MA850正是对应这个周期长度的均线。</w:t>
      </w:r>
    </w:p>
    <w:p>
      <w:pPr>
        <w:spacing w:line="360" w:lineRule="auto" w:after="80"/>
        <w:ind w:firstLine="440"/>
      </w:pPr>
      <w:r>
        <w:rPr>
          <w:rFonts w:ascii="Times New Roman" w:hAnsi="Times New Roman" w:eastAsia="宋体"/>
          <w:b w:val="0"/>
          <w:sz w:val="22"/>
        </w:rPr>
        <w:t>这意味着：MA850不仅是一条技术均线，更是一条宏观经济周期线。它的方向变化往往与企业盈利周期、信贷周期的拐点重合。</w:t>
      </w:r>
    </w:p>
    <w:p>
      <w:pPr>
        <w:spacing w:before="200" w:after="120"/>
      </w:pPr>
      <w:r>
        <w:rPr>
          <w:rFonts w:ascii="Times New Roman" w:hAnsi="Times New Roman" w:eastAsia="微软雅黑"/>
          <w:b/>
          <w:color w:val="44546A"/>
          <w:sz w:val="24"/>
        </w:rPr>
        <w:t>7.4.2 MA850的核心规则</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68"/>
            <w:shd w:fill="2E75B6"/>
            <w:vAlign w:val="center"/>
          </w:tcPr>
          <w:p>
            <w:pPr>
              <w:jc w:val="center"/>
            </w:pPr>
            <w:r/>
            <w:r>
              <w:rPr>
                <w:rFonts w:ascii="Times New Roman" w:hAnsi="Times New Roman" w:eastAsia="微软雅黑"/>
                <w:b/>
                <w:color w:val="FFFFFF"/>
                <w:sz w:val="20"/>
              </w:rPr>
              <w:t>市场状态</w:t>
            </w:r>
          </w:p>
        </w:tc>
        <w:tc>
          <w:tcPr>
            <w:tcW w:type="dxa" w:w="2268"/>
            <w:shd w:fill="2E75B6"/>
            <w:vAlign w:val="center"/>
          </w:tcPr>
          <w:p>
            <w:pPr>
              <w:jc w:val="center"/>
            </w:pPr>
            <w:r/>
            <w:r>
              <w:rPr>
                <w:rFonts w:ascii="Times New Roman" w:hAnsi="Times New Roman" w:eastAsia="微软雅黑"/>
                <w:b/>
                <w:color w:val="FFFFFF"/>
                <w:sz w:val="20"/>
              </w:rPr>
              <w:t>MA850判读</w:t>
            </w:r>
          </w:p>
        </w:tc>
        <w:tc>
          <w:tcPr>
            <w:tcW w:type="dxa" w:w="2551"/>
            <w:shd w:fill="2E75B6"/>
            <w:vAlign w:val="center"/>
          </w:tcPr>
          <w:p>
            <w:pPr>
              <w:jc w:val="center"/>
            </w:pPr>
            <w:r/>
            <w:r>
              <w:rPr>
                <w:rFonts w:ascii="Times New Roman" w:hAnsi="Times New Roman" w:eastAsia="微软雅黑"/>
                <w:b/>
                <w:color w:val="FFFFFF"/>
                <w:sz w:val="20"/>
              </w:rPr>
              <w:t>历史规律</w:t>
            </w:r>
          </w:p>
        </w:tc>
        <w:tc>
          <w:tcPr>
            <w:tcW w:type="dxa" w:w="1984"/>
            <w:shd w:fill="2E75B6"/>
            <w:vAlign w:val="center"/>
          </w:tcPr>
          <w:p>
            <w:pPr>
              <w:jc w:val="center"/>
            </w:pPr>
            <w:r/>
            <w:r>
              <w:rPr>
                <w:rFonts w:ascii="Times New Roman" w:hAnsi="Times New Roman" w:eastAsia="微软雅黑"/>
                <w:b/>
                <w:color w:val="FFFFFF"/>
                <w:sz w:val="20"/>
              </w:rPr>
              <w:t>操作建议</w:t>
            </w:r>
          </w:p>
        </w:tc>
      </w:tr>
      <w:tr>
        <w:tc>
          <w:tcPr>
            <w:tcW w:type="dxa" w:w="2268"/>
            <w:vAlign w:val="center"/>
          </w:tcPr>
          <w:p>
            <w:pPr>
              <w:jc w:val="left"/>
            </w:pPr>
            <w:r/>
            <w:r>
              <w:rPr>
                <w:rFonts w:ascii="Times New Roman" w:hAnsi="Times New Roman" w:eastAsia="宋体"/>
                <w:b w:val="0"/>
                <w:sz w:val="20"/>
              </w:rPr>
              <w:t>股价在MA850上方</w:t>
            </w:r>
          </w:p>
        </w:tc>
        <w:tc>
          <w:tcPr>
            <w:tcW w:type="dxa" w:w="2268"/>
            <w:vAlign w:val="center"/>
          </w:tcPr>
          <w:p>
            <w:pPr>
              <w:jc w:val="left"/>
            </w:pPr>
            <w:r/>
            <w:r>
              <w:rPr>
                <w:rFonts w:ascii="Times New Roman" w:hAnsi="Times New Roman" w:eastAsia="宋体"/>
                <w:b w:val="0"/>
                <w:sz w:val="20"/>
              </w:rPr>
              <w:t>超长期上升趋势确立</w:t>
            </w:r>
          </w:p>
        </w:tc>
        <w:tc>
          <w:tcPr>
            <w:tcW w:type="dxa" w:w="2551"/>
            <w:vAlign w:val="center"/>
          </w:tcPr>
          <w:p>
            <w:pPr>
              <w:jc w:val="left"/>
            </w:pPr>
            <w:r/>
            <w:r>
              <w:rPr>
                <w:rFonts w:ascii="Times New Roman" w:hAnsi="Times New Roman" w:eastAsia="宋体"/>
                <w:b w:val="0"/>
                <w:sz w:val="20"/>
              </w:rPr>
              <w:t>回调幅度有限，长线多头</w:t>
            </w:r>
          </w:p>
        </w:tc>
        <w:tc>
          <w:tcPr>
            <w:tcW w:type="dxa" w:w="1984"/>
            <w:vAlign w:val="center"/>
          </w:tcPr>
          <w:p>
            <w:pPr>
              <w:jc w:val="left"/>
            </w:pPr>
            <w:r/>
            <w:r>
              <w:rPr>
                <w:rFonts w:ascii="Times New Roman" w:hAnsi="Times New Roman" w:eastAsia="宋体"/>
                <w:b w:val="0"/>
                <w:sz w:val="20"/>
              </w:rPr>
              <w:t>逢低买入</w:t>
            </w:r>
          </w:p>
        </w:tc>
      </w:tr>
      <w:tr>
        <w:tc>
          <w:tcPr>
            <w:tcW w:type="dxa" w:w="2268"/>
            <w:vAlign w:val="center"/>
          </w:tcPr>
          <w:p>
            <w:pPr>
              <w:jc w:val="left"/>
            </w:pPr>
            <w:r/>
            <w:r>
              <w:rPr>
                <w:rFonts w:ascii="Times New Roman" w:hAnsi="Times New Roman" w:eastAsia="宋体"/>
                <w:b w:val="0"/>
                <w:sz w:val="20"/>
              </w:rPr>
              <w:t>股价在MA850下方</w:t>
            </w:r>
          </w:p>
        </w:tc>
        <w:tc>
          <w:tcPr>
            <w:tcW w:type="dxa" w:w="2268"/>
            <w:vAlign w:val="center"/>
          </w:tcPr>
          <w:p>
            <w:pPr>
              <w:jc w:val="left"/>
            </w:pPr>
            <w:r/>
            <w:r>
              <w:rPr>
                <w:rFonts w:ascii="Times New Roman" w:hAnsi="Times New Roman" w:eastAsia="宋体"/>
                <w:b w:val="0"/>
                <w:sz w:val="20"/>
              </w:rPr>
              <w:t>超长期下降趋势确立</w:t>
            </w:r>
          </w:p>
        </w:tc>
        <w:tc>
          <w:tcPr>
            <w:tcW w:type="dxa" w:w="2551"/>
            <w:vAlign w:val="center"/>
          </w:tcPr>
          <w:p>
            <w:pPr>
              <w:jc w:val="left"/>
            </w:pPr>
            <w:r/>
            <w:r>
              <w:rPr>
                <w:rFonts w:ascii="Times New Roman" w:hAnsi="Times New Roman" w:eastAsia="宋体"/>
                <w:b w:val="0"/>
                <w:sz w:val="20"/>
              </w:rPr>
              <w:t>反弹幅度有限，长线空头</w:t>
            </w:r>
          </w:p>
        </w:tc>
        <w:tc>
          <w:tcPr>
            <w:tcW w:type="dxa" w:w="1984"/>
            <w:vAlign w:val="center"/>
          </w:tcPr>
          <w:p>
            <w:pPr>
              <w:jc w:val="left"/>
            </w:pPr>
            <w:r/>
            <w:r>
              <w:rPr>
                <w:rFonts w:ascii="Times New Roman" w:hAnsi="Times New Roman" w:eastAsia="宋体"/>
                <w:b w:val="0"/>
                <w:sz w:val="20"/>
              </w:rPr>
              <w:t>逢高减仓</w:t>
            </w:r>
          </w:p>
        </w:tc>
      </w:tr>
      <w:tr>
        <w:tc>
          <w:tcPr>
            <w:tcW w:type="dxa" w:w="2268"/>
            <w:vAlign w:val="center"/>
          </w:tcPr>
          <w:p>
            <w:pPr>
              <w:jc w:val="left"/>
            </w:pPr>
            <w:r/>
            <w:r>
              <w:rPr>
                <w:rFonts w:ascii="Times New Roman" w:hAnsi="Times New Roman" w:eastAsia="宋体"/>
                <w:b w:val="0"/>
                <w:sz w:val="20"/>
              </w:rPr>
              <w:t>股价向上穿越MA850</w:t>
            </w:r>
          </w:p>
        </w:tc>
        <w:tc>
          <w:tcPr>
            <w:tcW w:type="dxa" w:w="2268"/>
            <w:vAlign w:val="center"/>
          </w:tcPr>
          <w:p>
            <w:pPr>
              <w:jc w:val="left"/>
            </w:pPr>
            <w:r/>
            <w:r>
              <w:rPr>
                <w:rFonts w:ascii="Times New Roman" w:hAnsi="Times New Roman" w:eastAsia="宋体"/>
                <w:b w:val="0"/>
                <w:sz w:val="20"/>
              </w:rPr>
              <w:t>新一轮大牛市可能开始</w:t>
            </w:r>
          </w:p>
        </w:tc>
        <w:tc>
          <w:tcPr>
            <w:tcW w:type="dxa" w:w="2551"/>
            <w:vAlign w:val="center"/>
          </w:tcPr>
          <w:p>
            <w:pPr>
              <w:jc w:val="left"/>
            </w:pPr>
            <w:r/>
            <w:r>
              <w:rPr>
                <w:rFonts w:ascii="Times New Roman" w:hAnsi="Times New Roman" w:eastAsia="宋体"/>
                <w:b w:val="0"/>
                <w:sz w:val="20"/>
              </w:rPr>
              <w:t>历次突破后皆为多年大牛市</w:t>
            </w:r>
          </w:p>
        </w:tc>
        <w:tc>
          <w:tcPr>
            <w:tcW w:type="dxa" w:w="1984"/>
            <w:vAlign w:val="center"/>
          </w:tcPr>
          <w:p>
            <w:pPr>
              <w:jc w:val="left"/>
            </w:pPr>
            <w:r/>
            <w:r>
              <w:rPr>
                <w:rFonts w:ascii="Times New Roman" w:hAnsi="Times New Roman" w:eastAsia="宋体"/>
                <w:b w:val="0"/>
                <w:sz w:val="20"/>
              </w:rPr>
              <w:t>战略级买入机会</w:t>
            </w:r>
          </w:p>
        </w:tc>
      </w:tr>
      <w:tr>
        <w:tc>
          <w:tcPr>
            <w:tcW w:type="dxa" w:w="2268"/>
            <w:vAlign w:val="center"/>
          </w:tcPr>
          <w:p>
            <w:pPr>
              <w:jc w:val="left"/>
            </w:pPr>
            <w:r/>
            <w:r>
              <w:rPr>
                <w:rFonts w:ascii="Times New Roman" w:hAnsi="Times New Roman" w:eastAsia="宋体"/>
                <w:b w:val="0"/>
                <w:sz w:val="20"/>
              </w:rPr>
              <w:t>股价向下跌破MA850</w:t>
            </w:r>
          </w:p>
        </w:tc>
        <w:tc>
          <w:tcPr>
            <w:tcW w:type="dxa" w:w="2268"/>
            <w:vAlign w:val="center"/>
          </w:tcPr>
          <w:p>
            <w:pPr>
              <w:jc w:val="left"/>
            </w:pPr>
            <w:r/>
            <w:r>
              <w:rPr>
                <w:rFonts w:ascii="Times New Roman" w:hAnsi="Times New Roman" w:eastAsia="宋体"/>
                <w:b w:val="0"/>
                <w:sz w:val="20"/>
              </w:rPr>
              <w:t>大熊市可能开始</w:t>
            </w:r>
          </w:p>
        </w:tc>
        <w:tc>
          <w:tcPr>
            <w:tcW w:type="dxa" w:w="2551"/>
            <w:vAlign w:val="center"/>
          </w:tcPr>
          <w:p>
            <w:pPr>
              <w:jc w:val="left"/>
            </w:pPr>
            <w:r/>
            <w:r>
              <w:rPr>
                <w:rFonts w:ascii="Times New Roman" w:hAnsi="Times New Roman" w:eastAsia="宋体"/>
                <w:b w:val="0"/>
                <w:sz w:val="20"/>
              </w:rPr>
              <w:t>历次跌破后皆为深度熊市</w:t>
            </w:r>
          </w:p>
        </w:tc>
        <w:tc>
          <w:tcPr>
            <w:tcW w:type="dxa" w:w="1984"/>
            <w:vAlign w:val="center"/>
          </w:tcPr>
          <w:p>
            <w:pPr>
              <w:jc w:val="left"/>
            </w:pPr>
            <w:r/>
            <w:r>
              <w:rPr>
                <w:rFonts w:ascii="Times New Roman" w:hAnsi="Times New Roman" w:eastAsia="宋体"/>
                <w:b w:val="0"/>
                <w:sz w:val="20"/>
              </w:rPr>
              <w:t>绝对规避</w:t>
            </w:r>
          </w:p>
        </w:tc>
      </w:tr>
      <w:tr>
        <w:tc>
          <w:tcPr>
            <w:tcW w:type="dxa" w:w="2268"/>
            <w:vAlign w:val="center"/>
          </w:tcPr>
          <w:p>
            <w:pPr>
              <w:jc w:val="left"/>
            </w:pPr>
            <w:r/>
            <w:r>
              <w:rPr>
                <w:rFonts w:ascii="Times New Roman" w:hAnsi="Times New Roman" w:eastAsia="宋体"/>
                <w:b w:val="0"/>
                <w:sz w:val="20"/>
              </w:rPr>
              <w:t>MA850走平</w:t>
            </w:r>
          </w:p>
        </w:tc>
        <w:tc>
          <w:tcPr>
            <w:tcW w:type="dxa" w:w="2268"/>
            <w:vAlign w:val="center"/>
          </w:tcPr>
          <w:p>
            <w:pPr>
              <w:jc w:val="left"/>
            </w:pPr>
            <w:r/>
            <w:r>
              <w:rPr>
                <w:rFonts w:ascii="Times New Roman" w:hAnsi="Times New Roman" w:eastAsia="宋体"/>
                <w:b w:val="0"/>
                <w:sz w:val="20"/>
              </w:rPr>
              <w:t>周期转折，方向选择</w:t>
            </w:r>
          </w:p>
        </w:tc>
        <w:tc>
          <w:tcPr>
            <w:tcW w:type="dxa" w:w="2551"/>
            <w:vAlign w:val="center"/>
          </w:tcPr>
          <w:p>
            <w:pPr>
              <w:jc w:val="left"/>
            </w:pPr>
            <w:r/>
            <w:r>
              <w:rPr>
                <w:rFonts w:ascii="Times New Roman" w:hAnsi="Times New Roman" w:eastAsia="宋体"/>
                <w:b w:val="0"/>
                <w:sz w:val="20"/>
              </w:rPr>
              <w:t>重大变局前夜</w:t>
            </w:r>
          </w:p>
        </w:tc>
        <w:tc>
          <w:tcPr>
            <w:tcW w:type="dxa" w:w="1984"/>
            <w:vAlign w:val="center"/>
          </w:tcPr>
          <w:p>
            <w:pPr>
              <w:jc w:val="left"/>
            </w:pPr>
            <w:r/>
            <w:r>
              <w:rPr>
                <w:rFonts w:ascii="Times New Roman" w:hAnsi="Times New Roman" w:eastAsia="宋体"/>
                <w:b w:val="0"/>
                <w:sz w:val="20"/>
              </w:rPr>
              <w:t>观望等待方向</w:t>
            </w:r>
          </w:p>
        </w:tc>
      </w:tr>
    </w:tbl>
    <w:p>
      <w:pPr>
        <w:spacing w:before="200" w:after="120"/>
      </w:pPr>
      <w:r>
        <w:rPr>
          <w:rFonts w:ascii="Times New Roman" w:hAnsi="Times New Roman" w:eastAsia="微软雅黑"/>
          <w:b/>
          <w:color w:val="44546A"/>
          <w:sz w:val="24"/>
        </w:rPr>
        <w:t>7.4.3 洪灝研究的历史验证</w:t>
      </w:r>
    </w:p>
    <w:p>
      <w:pPr>
        <w:spacing w:line="360" w:lineRule="auto" w:after="80"/>
        <w:ind w:firstLine="440"/>
      </w:pPr>
      <w:r>
        <w:rPr>
          <w:rFonts w:ascii="Times New Roman" w:hAnsi="Times New Roman" w:eastAsia="宋体"/>
          <w:b w:val="0"/>
          <w:sz w:val="22"/>
        </w:rPr>
        <w:t>根据洪灝《怎样用850天均线做预测》一文的研究，850日均线在多个市场都展现了惊人的预测能力：</w:t>
      </w:r>
    </w:p>
    <w:p>
      <w:pPr>
        <w:spacing w:line="360" w:lineRule="auto" w:after="80"/>
        <w:ind w:firstLine="440"/>
      </w:pPr>
      <w:r>
        <w:rPr>
          <w:rFonts w:ascii="Times New Roman" w:hAnsi="Times New Roman" w:eastAsia="宋体"/>
          <w:b w:val="0"/>
          <w:sz w:val="22"/>
        </w:rPr>
        <w:t>• 美股标普500指数：从1980年代至今，850日均线的方向变化几乎完美对应了每一轮经济周期的顶部与底部。</w:t>
      </w:r>
    </w:p>
    <w:p>
      <w:pPr>
        <w:spacing w:line="360" w:lineRule="auto" w:after="80"/>
        <w:ind w:firstLine="440"/>
      </w:pPr>
      <w:r>
        <w:rPr>
          <w:rFonts w:ascii="Times New Roman" w:hAnsi="Times New Roman" w:eastAsia="宋体"/>
          <w:b w:val="0"/>
          <w:sz w:val="22"/>
        </w:rPr>
        <w:t>• A股上证指数：1996、2005、2014年三次重大牛市起点，都对应了股价向上突破MA850；2001、2008、2015年三次熊市起点，都对应了股价向下跌破MA850。</w:t>
      </w:r>
    </w:p>
    <w:p>
      <w:pPr>
        <w:spacing w:line="360" w:lineRule="auto" w:after="80"/>
        <w:ind w:firstLine="440"/>
      </w:pPr>
      <w:r>
        <w:rPr>
          <w:rFonts w:ascii="Times New Roman" w:hAnsi="Times New Roman" w:eastAsia="宋体"/>
          <w:b w:val="0"/>
          <w:sz w:val="22"/>
        </w:rPr>
        <w:t>• 大宗商品市场：原油、铜等大宗商品的超长期趋势也符合MA850的周期规律。</w:t>
      </w:r>
    </w:p>
    <w:p>
      <w:pPr>
        <w:spacing w:before="280" w:after="160"/>
      </w:pPr>
      <w:r>
        <w:rPr>
          <w:rFonts w:ascii="Times New Roman" w:hAnsi="Times New Roman" w:eastAsia="微软雅黑"/>
          <w:b/>
          <w:color w:val="2E75B6"/>
          <w:sz w:val="26"/>
        </w:rPr>
        <w:t>7.5 大均线综合应用</w:t>
      </w:r>
    </w:p>
    <w:p>
      <w:pPr>
        <w:spacing w:before="200" w:after="120"/>
      </w:pPr>
      <w:r>
        <w:rPr>
          <w:rFonts w:ascii="Times New Roman" w:hAnsi="Times New Roman" w:eastAsia="微软雅黑"/>
          <w:b/>
          <w:color w:val="44546A"/>
          <w:sz w:val="24"/>
        </w:rPr>
        <w:t>7.5.1 三条大均线的组合信号</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3118"/>
            <w:shd w:fill="2E75B6"/>
            <w:vAlign w:val="center"/>
          </w:tcPr>
          <w:p>
            <w:pPr>
              <w:jc w:val="center"/>
            </w:pPr>
            <w:r/>
            <w:r>
              <w:rPr>
                <w:rFonts w:ascii="Times New Roman" w:hAnsi="Times New Roman" w:eastAsia="微软雅黑"/>
                <w:b/>
                <w:color w:val="FFFFFF"/>
                <w:sz w:val="20"/>
              </w:rPr>
              <w:t>综合状态</w:t>
            </w:r>
          </w:p>
        </w:tc>
        <w:tc>
          <w:tcPr>
            <w:tcW w:type="dxa" w:w="1984"/>
            <w:shd w:fill="2E75B6"/>
            <w:vAlign w:val="center"/>
          </w:tcPr>
          <w:p>
            <w:pPr>
              <w:jc w:val="center"/>
            </w:pPr>
            <w:r/>
            <w:r>
              <w:rPr>
                <w:rFonts w:ascii="Times New Roman" w:hAnsi="Times New Roman" w:eastAsia="微软雅黑"/>
                <w:b/>
                <w:color w:val="FFFFFF"/>
                <w:sz w:val="20"/>
              </w:rPr>
              <w:t>格局判断</w:t>
            </w:r>
          </w:p>
        </w:tc>
        <w:tc>
          <w:tcPr>
            <w:tcW w:type="dxa" w:w="2268"/>
            <w:shd w:fill="2E75B6"/>
            <w:vAlign w:val="center"/>
          </w:tcPr>
          <w:p>
            <w:pPr>
              <w:jc w:val="center"/>
            </w:pPr>
            <w:r/>
            <w:r>
              <w:rPr>
                <w:rFonts w:ascii="Times New Roman" w:hAnsi="Times New Roman" w:eastAsia="微软雅黑"/>
                <w:b/>
                <w:color w:val="FFFFFF"/>
                <w:sz w:val="20"/>
              </w:rPr>
              <w:t>操作建议</w:t>
            </w:r>
          </w:p>
        </w:tc>
        <w:tc>
          <w:tcPr>
            <w:tcW w:type="dxa" w:w="1417"/>
            <w:shd w:fill="2E75B6"/>
            <w:vAlign w:val="center"/>
          </w:tcPr>
          <w:p>
            <w:pPr>
              <w:jc w:val="center"/>
            </w:pPr>
            <w:r/>
            <w:r>
              <w:rPr>
                <w:rFonts w:ascii="Times New Roman" w:hAnsi="Times New Roman" w:eastAsia="微软雅黑"/>
                <w:b/>
                <w:color w:val="FFFFFF"/>
                <w:sz w:val="20"/>
              </w:rPr>
              <w:t>风险等级</w:t>
            </w:r>
          </w:p>
        </w:tc>
      </w:tr>
      <w:tr>
        <w:tc>
          <w:tcPr>
            <w:tcW w:type="dxa" w:w="3118"/>
            <w:vAlign w:val="center"/>
          </w:tcPr>
          <w:p>
            <w:pPr>
              <w:jc w:val="left"/>
            </w:pPr>
            <w:r/>
            <w:r>
              <w:rPr>
                <w:rFonts w:ascii="Times New Roman" w:hAnsi="Times New Roman" w:eastAsia="宋体"/>
                <w:b w:val="0"/>
                <w:sz w:val="20"/>
              </w:rPr>
              <w:t>MA120、MA250、MA850 同时向上且股价在三者上方</w:t>
            </w:r>
          </w:p>
        </w:tc>
        <w:tc>
          <w:tcPr>
            <w:tcW w:type="dxa" w:w="1984"/>
            <w:vAlign w:val="center"/>
          </w:tcPr>
          <w:p>
            <w:pPr>
              <w:jc w:val="left"/>
            </w:pPr>
            <w:r/>
            <w:r>
              <w:rPr>
                <w:rFonts w:ascii="Times New Roman" w:hAnsi="Times New Roman" w:eastAsia="宋体"/>
                <w:b w:val="0"/>
                <w:sz w:val="20"/>
              </w:rPr>
              <w:t>最强多头格局</w:t>
            </w:r>
          </w:p>
        </w:tc>
        <w:tc>
          <w:tcPr>
            <w:tcW w:type="dxa" w:w="2268"/>
            <w:vAlign w:val="center"/>
          </w:tcPr>
          <w:p>
            <w:pPr>
              <w:jc w:val="left"/>
            </w:pPr>
            <w:r/>
            <w:r>
              <w:rPr>
                <w:rFonts w:ascii="Times New Roman" w:hAnsi="Times New Roman" w:eastAsia="宋体"/>
                <w:b w:val="0"/>
                <w:sz w:val="20"/>
              </w:rPr>
              <w:t>积极做多，可重仓</w:t>
            </w:r>
          </w:p>
        </w:tc>
        <w:tc>
          <w:tcPr>
            <w:tcW w:type="dxa" w:w="1417"/>
            <w:vAlign w:val="center"/>
          </w:tcPr>
          <w:p>
            <w:pPr>
              <w:jc w:val="left"/>
            </w:pPr>
            <w:r/>
            <w:r>
              <w:rPr>
                <w:rFonts w:ascii="Times New Roman" w:hAnsi="Times New Roman" w:eastAsia="宋体"/>
                <w:b w:val="0"/>
                <w:sz w:val="20"/>
              </w:rPr>
              <w:t>低风险</w:t>
            </w:r>
          </w:p>
        </w:tc>
      </w:tr>
      <w:tr>
        <w:tc>
          <w:tcPr>
            <w:tcW w:type="dxa" w:w="3118"/>
            <w:vAlign w:val="center"/>
          </w:tcPr>
          <w:p>
            <w:pPr>
              <w:jc w:val="left"/>
            </w:pPr>
            <w:r/>
            <w:r>
              <w:rPr>
                <w:rFonts w:ascii="Times New Roman" w:hAnsi="Times New Roman" w:eastAsia="宋体"/>
                <w:b w:val="0"/>
                <w:sz w:val="20"/>
              </w:rPr>
              <w:t>20/50/120日全部在250日线上方，250日线上行</w:t>
            </w:r>
          </w:p>
        </w:tc>
        <w:tc>
          <w:tcPr>
            <w:tcW w:type="dxa" w:w="1984"/>
            <w:vAlign w:val="center"/>
          </w:tcPr>
          <w:p>
            <w:pPr>
              <w:jc w:val="left"/>
            </w:pPr>
            <w:r/>
            <w:r>
              <w:rPr>
                <w:rFonts w:ascii="Times New Roman" w:hAnsi="Times New Roman" w:eastAsia="宋体"/>
                <w:b w:val="0"/>
                <w:sz w:val="20"/>
              </w:rPr>
              <w:t>综合最强买入</w:t>
            </w:r>
          </w:p>
        </w:tc>
        <w:tc>
          <w:tcPr>
            <w:tcW w:type="dxa" w:w="2268"/>
            <w:vAlign w:val="center"/>
          </w:tcPr>
          <w:p>
            <w:pPr>
              <w:jc w:val="left"/>
            </w:pPr>
            <w:r/>
            <w:r>
              <w:rPr>
                <w:rFonts w:ascii="Times New Roman" w:hAnsi="Times New Roman" w:eastAsia="宋体"/>
                <w:b w:val="0"/>
                <w:sz w:val="20"/>
              </w:rPr>
              <w:t>可大胆追涨</w:t>
            </w:r>
          </w:p>
        </w:tc>
        <w:tc>
          <w:tcPr>
            <w:tcW w:type="dxa" w:w="1417"/>
            <w:vAlign w:val="center"/>
          </w:tcPr>
          <w:p>
            <w:pPr>
              <w:jc w:val="left"/>
            </w:pPr>
            <w:r/>
            <w:r>
              <w:rPr>
                <w:rFonts w:ascii="Times New Roman" w:hAnsi="Times New Roman" w:eastAsia="宋体"/>
                <w:b w:val="0"/>
                <w:sz w:val="20"/>
              </w:rPr>
              <w:t>低风险</w:t>
            </w:r>
          </w:p>
        </w:tc>
      </w:tr>
      <w:tr>
        <w:tc>
          <w:tcPr>
            <w:tcW w:type="dxa" w:w="3118"/>
            <w:vAlign w:val="center"/>
          </w:tcPr>
          <w:p>
            <w:pPr>
              <w:jc w:val="left"/>
            </w:pPr>
            <w:r/>
            <w:r>
              <w:rPr>
                <w:rFonts w:ascii="Times New Roman" w:hAnsi="Times New Roman" w:eastAsia="宋体"/>
                <w:b w:val="0"/>
                <w:sz w:val="20"/>
              </w:rPr>
              <w:t>MA120向上，MA250走平，MA850向上</w:t>
            </w:r>
          </w:p>
        </w:tc>
        <w:tc>
          <w:tcPr>
            <w:tcW w:type="dxa" w:w="1984"/>
            <w:vAlign w:val="center"/>
          </w:tcPr>
          <w:p>
            <w:pPr>
              <w:jc w:val="left"/>
            </w:pPr>
            <w:r/>
            <w:r>
              <w:rPr>
                <w:rFonts w:ascii="Times New Roman" w:hAnsi="Times New Roman" w:eastAsia="宋体"/>
                <w:b w:val="0"/>
                <w:sz w:val="20"/>
              </w:rPr>
              <w:t>中期强，长期复苏</w:t>
            </w:r>
          </w:p>
        </w:tc>
        <w:tc>
          <w:tcPr>
            <w:tcW w:type="dxa" w:w="2268"/>
            <w:vAlign w:val="center"/>
          </w:tcPr>
          <w:p>
            <w:pPr>
              <w:jc w:val="left"/>
            </w:pPr>
            <w:r/>
            <w:r>
              <w:rPr>
                <w:rFonts w:ascii="Times New Roman" w:hAnsi="Times New Roman" w:eastAsia="宋体"/>
                <w:b w:val="0"/>
                <w:sz w:val="20"/>
              </w:rPr>
              <w:t>中等仓位</w:t>
            </w:r>
          </w:p>
        </w:tc>
        <w:tc>
          <w:tcPr>
            <w:tcW w:type="dxa" w:w="1417"/>
            <w:vAlign w:val="center"/>
          </w:tcPr>
          <w:p>
            <w:pPr>
              <w:jc w:val="left"/>
            </w:pPr>
            <w:r/>
            <w:r>
              <w:rPr>
                <w:rFonts w:ascii="Times New Roman" w:hAnsi="Times New Roman" w:eastAsia="宋体"/>
                <w:b w:val="0"/>
                <w:sz w:val="20"/>
              </w:rPr>
              <w:t>中低风险</w:t>
            </w:r>
          </w:p>
        </w:tc>
      </w:tr>
      <w:tr>
        <w:tc>
          <w:tcPr>
            <w:tcW w:type="dxa" w:w="3118"/>
            <w:vAlign w:val="center"/>
          </w:tcPr>
          <w:p>
            <w:pPr>
              <w:jc w:val="left"/>
            </w:pPr>
            <w:r/>
            <w:r>
              <w:rPr>
                <w:rFonts w:ascii="Times New Roman" w:hAnsi="Times New Roman" w:eastAsia="宋体"/>
                <w:b w:val="0"/>
                <w:sz w:val="20"/>
              </w:rPr>
              <w:t>三条大均线纠缠，方向不明</w:t>
            </w:r>
          </w:p>
        </w:tc>
        <w:tc>
          <w:tcPr>
            <w:tcW w:type="dxa" w:w="1984"/>
            <w:vAlign w:val="center"/>
          </w:tcPr>
          <w:p>
            <w:pPr>
              <w:jc w:val="left"/>
            </w:pPr>
            <w:r/>
            <w:r>
              <w:rPr>
                <w:rFonts w:ascii="Times New Roman" w:hAnsi="Times New Roman" w:eastAsia="宋体"/>
                <w:b w:val="0"/>
                <w:sz w:val="20"/>
              </w:rPr>
              <w:t>混沌阶段</w:t>
            </w:r>
          </w:p>
        </w:tc>
        <w:tc>
          <w:tcPr>
            <w:tcW w:type="dxa" w:w="2268"/>
            <w:vAlign w:val="center"/>
          </w:tcPr>
          <w:p>
            <w:pPr>
              <w:jc w:val="left"/>
            </w:pPr>
            <w:r/>
            <w:r>
              <w:rPr>
                <w:rFonts w:ascii="Times New Roman" w:hAnsi="Times New Roman" w:eastAsia="宋体"/>
                <w:b w:val="0"/>
                <w:sz w:val="20"/>
              </w:rPr>
              <w:t>观望为主</w:t>
            </w:r>
          </w:p>
        </w:tc>
        <w:tc>
          <w:tcPr>
            <w:tcW w:type="dxa" w:w="1417"/>
            <w:vAlign w:val="center"/>
          </w:tcPr>
          <w:p>
            <w:pPr>
              <w:jc w:val="left"/>
            </w:pPr>
            <w:r/>
            <w:r>
              <w:rPr>
                <w:rFonts w:ascii="Times New Roman" w:hAnsi="Times New Roman" w:eastAsia="宋体"/>
                <w:b w:val="0"/>
                <w:sz w:val="20"/>
              </w:rPr>
              <w:t>中等风险</w:t>
            </w:r>
          </w:p>
        </w:tc>
      </w:tr>
      <w:tr>
        <w:tc>
          <w:tcPr>
            <w:tcW w:type="dxa" w:w="3118"/>
            <w:vAlign w:val="center"/>
          </w:tcPr>
          <w:p>
            <w:pPr>
              <w:jc w:val="left"/>
            </w:pPr>
            <w:r/>
            <w:r>
              <w:rPr>
                <w:rFonts w:ascii="Times New Roman" w:hAnsi="Times New Roman" w:eastAsia="宋体"/>
                <w:b w:val="0"/>
                <w:sz w:val="20"/>
              </w:rPr>
              <w:t>MA120向下，MA250向下，MA850向上</w:t>
            </w:r>
          </w:p>
        </w:tc>
        <w:tc>
          <w:tcPr>
            <w:tcW w:type="dxa" w:w="1984"/>
            <w:vAlign w:val="center"/>
          </w:tcPr>
          <w:p>
            <w:pPr>
              <w:jc w:val="left"/>
            </w:pPr>
            <w:r/>
            <w:r>
              <w:rPr>
                <w:rFonts w:ascii="Times New Roman" w:hAnsi="Times New Roman" w:eastAsia="宋体"/>
                <w:b w:val="0"/>
                <w:sz w:val="20"/>
              </w:rPr>
              <w:t>中短期弱，长期仍强</w:t>
            </w:r>
          </w:p>
        </w:tc>
        <w:tc>
          <w:tcPr>
            <w:tcW w:type="dxa" w:w="2268"/>
            <w:vAlign w:val="center"/>
          </w:tcPr>
          <w:p>
            <w:pPr>
              <w:jc w:val="left"/>
            </w:pPr>
            <w:r/>
            <w:r>
              <w:rPr>
                <w:rFonts w:ascii="Times New Roman" w:hAnsi="Times New Roman" w:eastAsia="宋体"/>
                <w:b w:val="0"/>
                <w:sz w:val="20"/>
              </w:rPr>
              <w:t>波段操作</w:t>
            </w:r>
          </w:p>
        </w:tc>
        <w:tc>
          <w:tcPr>
            <w:tcW w:type="dxa" w:w="1417"/>
            <w:vAlign w:val="center"/>
          </w:tcPr>
          <w:p>
            <w:pPr>
              <w:jc w:val="left"/>
            </w:pPr>
            <w:r/>
            <w:r>
              <w:rPr>
                <w:rFonts w:ascii="Times New Roman" w:hAnsi="Times New Roman" w:eastAsia="宋体"/>
                <w:b w:val="0"/>
                <w:sz w:val="20"/>
              </w:rPr>
              <w:t>中等风险</w:t>
            </w:r>
          </w:p>
        </w:tc>
      </w:tr>
      <w:tr>
        <w:tc>
          <w:tcPr>
            <w:tcW w:type="dxa" w:w="3118"/>
            <w:vAlign w:val="center"/>
          </w:tcPr>
          <w:p>
            <w:pPr>
              <w:jc w:val="left"/>
            </w:pPr>
            <w:r/>
            <w:r>
              <w:rPr>
                <w:rFonts w:ascii="Times New Roman" w:hAnsi="Times New Roman" w:eastAsia="宋体"/>
                <w:b w:val="0"/>
                <w:sz w:val="20"/>
              </w:rPr>
              <w:t>MA120、MA250向下，MA850走平</w:t>
            </w:r>
          </w:p>
        </w:tc>
        <w:tc>
          <w:tcPr>
            <w:tcW w:type="dxa" w:w="1984"/>
            <w:vAlign w:val="center"/>
          </w:tcPr>
          <w:p>
            <w:pPr>
              <w:jc w:val="left"/>
            </w:pPr>
            <w:r/>
            <w:r>
              <w:rPr>
                <w:rFonts w:ascii="Times New Roman" w:hAnsi="Times New Roman" w:eastAsia="宋体"/>
                <w:b w:val="0"/>
                <w:sz w:val="20"/>
              </w:rPr>
              <w:t>中短期弱，长期转折中</w:t>
            </w:r>
          </w:p>
        </w:tc>
        <w:tc>
          <w:tcPr>
            <w:tcW w:type="dxa" w:w="2268"/>
            <w:vAlign w:val="center"/>
          </w:tcPr>
          <w:p>
            <w:pPr>
              <w:jc w:val="left"/>
            </w:pPr>
            <w:r/>
            <w:r>
              <w:rPr>
                <w:rFonts w:ascii="Times New Roman" w:hAnsi="Times New Roman" w:eastAsia="宋体"/>
                <w:b w:val="0"/>
                <w:sz w:val="20"/>
              </w:rPr>
              <w:t>轻仓试探</w:t>
            </w:r>
          </w:p>
        </w:tc>
        <w:tc>
          <w:tcPr>
            <w:tcW w:type="dxa" w:w="1417"/>
            <w:vAlign w:val="center"/>
          </w:tcPr>
          <w:p>
            <w:pPr>
              <w:jc w:val="left"/>
            </w:pPr>
            <w:r/>
            <w:r>
              <w:rPr>
                <w:rFonts w:ascii="Times New Roman" w:hAnsi="Times New Roman" w:eastAsia="宋体"/>
                <w:b w:val="0"/>
                <w:sz w:val="20"/>
              </w:rPr>
              <w:t>较高风险</w:t>
            </w:r>
          </w:p>
        </w:tc>
      </w:tr>
      <w:tr>
        <w:tc>
          <w:tcPr>
            <w:tcW w:type="dxa" w:w="3118"/>
            <w:vAlign w:val="center"/>
          </w:tcPr>
          <w:p>
            <w:pPr>
              <w:jc w:val="left"/>
            </w:pPr>
            <w:r/>
            <w:r>
              <w:rPr>
                <w:rFonts w:ascii="Times New Roman" w:hAnsi="Times New Roman" w:eastAsia="宋体"/>
                <w:b w:val="0"/>
                <w:sz w:val="20"/>
              </w:rPr>
              <w:t>MA120、MA250、MA850 同时向下且股价在三者下方</w:t>
            </w:r>
          </w:p>
        </w:tc>
        <w:tc>
          <w:tcPr>
            <w:tcW w:type="dxa" w:w="1984"/>
            <w:vAlign w:val="center"/>
          </w:tcPr>
          <w:p>
            <w:pPr>
              <w:jc w:val="left"/>
            </w:pPr>
            <w:r/>
            <w:r>
              <w:rPr>
                <w:rFonts w:ascii="Times New Roman" w:hAnsi="Times New Roman" w:eastAsia="宋体"/>
                <w:b w:val="0"/>
                <w:sz w:val="20"/>
              </w:rPr>
              <w:t>最弱空头格局</w:t>
            </w:r>
          </w:p>
        </w:tc>
        <w:tc>
          <w:tcPr>
            <w:tcW w:type="dxa" w:w="2268"/>
            <w:vAlign w:val="center"/>
          </w:tcPr>
          <w:p>
            <w:pPr>
              <w:jc w:val="left"/>
            </w:pPr>
            <w:r/>
            <w:r>
              <w:rPr>
                <w:rFonts w:ascii="Times New Roman" w:hAnsi="Times New Roman" w:eastAsia="宋体"/>
                <w:b w:val="0"/>
                <w:sz w:val="20"/>
              </w:rPr>
              <w:t>绝对空仓</w:t>
            </w:r>
          </w:p>
        </w:tc>
        <w:tc>
          <w:tcPr>
            <w:tcW w:type="dxa" w:w="1417"/>
            <w:vAlign w:val="center"/>
          </w:tcPr>
          <w:p>
            <w:pPr>
              <w:jc w:val="left"/>
            </w:pPr>
            <w:r/>
            <w:r>
              <w:rPr>
                <w:rFonts w:ascii="Times New Roman" w:hAnsi="Times New Roman" w:eastAsia="宋体"/>
                <w:b w:val="0"/>
                <w:sz w:val="20"/>
              </w:rPr>
              <w:t>极高风险</w:t>
            </w:r>
          </w:p>
        </w:tc>
      </w:tr>
    </w:tbl>
    <w:p>
      <w:pPr>
        <w:spacing w:before="200" w:after="120"/>
      </w:pPr>
      <w:r>
        <w:rPr>
          <w:rFonts w:ascii="Times New Roman" w:hAnsi="Times New Roman" w:eastAsia="微软雅黑"/>
          <w:b/>
          <w:color w:val="44546A"/>
          <w:sz w:val="24"/>
        </w:rPr>
        <w:t>7.5.2 战略层面的应用</w:t>
      </w:r>
    </w:p>
    <w:p>
      <w:pPr>
        <w:spacing w:line="360" w:lineRule="auto" w:after="80"/>
        <w:ind w:firstLine="440"/>
      </w:pPr>
      <w:r>
        <w:rPr>
          <w:rFonts w:ascii="Times New Roman" w:hAnsi="Times New Roman" w:eastAsia="宋体"/>
          <w:b w:val="0"/>
          <w:sz w:val="22"/>
        </w:rPr>
        <w:t>大均线系统最适合用于战略级资产配置决策。当三条大均线同时向上时，应积极配置股票资产；当三条大均线同时向下时，应降低股票仓位、增加现金或防御性资产；方向纠结时，保持中性仓位等待趋势明朗。</w:t>
      </w:r>
    </w:p>
    <w:p>
      <w:pPr>
        <w:spacing w:before="200" w:after="120"/>
      </w:pPr>
      <w:r>
        <w:rPr>
          <w:rFonts w:ascii="Times New Roman" w:hAnsi="Times New Roman" w:eastAsia="微软雅黑"/>
          <w:b/>
          <w:color w:val="44546A"/>
          <w:sz w:val="24"/>
        </w:rPr>
        <w:t>7.5.3 与短期均线的配合使用</w:t>
      </w:r>
    </w:p>
    <w:p>
      <w:pPr>
        <w:spacing w:line="360" w:lineRule="auto" w:after="80"/>
        <w:ind w:firstLine="440"/>
      </w:pPr>
      <w:r>
        <w:rPr>
          <w:rFonts w:ascii="Times New Roman" w:hAnsi="Times New Roman" w:eastAsia="宋体"/>
          <w:b w:val="0"/>
          <w:sz w:val="22"/>
        </w:rPr>
        <w:t>大均线决定『方向』，短期均线决定『时机』。战略方向由大均线确定（做多还是做空），战术时机由短期均线确定（具体哪天买哪天卖）。这种『长期服从、短期验证』的思路，是成熟交易者的标配。</w:t>
      </w:r>
    </w:p>
    <w:p>
      <w:r>
        <w:br w:type="page"/>
      </w:r>
    </w:p>
    <w:p>
      <w:pPr>
        <w:spacing w:before="400" w:after="240"/>
      </w:pPr>
      <w:r>
        <w:rPr>
          <w:rFonts w:ascii="Times New Roman" w:hAnsi="Times New Roman" w:eastAsia="微软雅黑"/>
          <w:b/>
          <w:color w:val="1F4E78"/>
          <w:sz w:val="32"/>
        </w:rPr>
        <w:t>第八章  乖离率BIAS与均线联合</w:t>
      </w:r>
    </w:p>
    <w:p>
      <w:pPr>
        <w:spacing w:before="280" w:after="160"/>
      </w:pPr>
      <w:r>
        <w:rPr>
          <w:rFonts w:ascii="Times New Roman" w:hAnsi="Times New Roman" w:eastAsia="微软雅黑"/>
          <w:b/>
          <w:color w:val="2E75B6"/>
          <w:sz w:val="26"/>
        </w:rPr>
        <w:t>8.1 乖离率的定义与数学本质</w:t>
      </w:r>
    </w:p>
    <w:p>
      <w:pPr>
        <w:spacing w:line="360" w:lineRule="auto" w:after="80"/>
        <w:ind w:firstLine="440"/>
      </w:pPr>
      <w:r>
        <w:rPr>
          <w:rFonts w:ascii="Times New Roman" w:hAnsi="Times New Roman" w:eastAsia="宋体"/>
          <w:b w:val="0"/>
          <w:sz w:val="22"/>
        </w:rPr>
        <w:t>乖离率（Bias Ratio，简称BIAS）是衡量股价偏离均线程度的技术指标，反映了股价与其平均成本的偏离状况。</w:t>
      </w:r>
    </w:p>
    <w:p>
      <w:pPr>
        <w:spacing w:line="360" w:lineRule="auto" w:after="80"/>
        <w:ind w:firstLine="440"/>
      </w:pPr>
      <w:r>
        <w:rPr>
          <w:rFonts w:ascii="Times New Roman" w:hAnsi="Times New Roman" w:eastAsia="宋体"/>
          <w:b w:val="0"/>
          <w:sz w:val="22"/>
        </w:rPr>
        <w:t>计算公式：</w:t>
      </w:r>
    </w:p>
    <w:p>
      <w:pPr>
        <w:jc w:val="center"/>
      </w:pPr>
      <w:r>
        <w:rPr>
          <w:rFonts w:ascii="Times New Roman" w:hAnsi="Times New Roman" w:eastAsia="Consolas"/>
          <w:b/>
          <w:color w:val="1F4E78"/>
          <w:sz w:val="24"/>
        </w:rPr>
        <w:t>BIAS(N) = (当日收盘价 - MA(N)) / MA(N) × 100%</w:t>
      </w:r>
    </w:p>
    <w:p>
      <w:pPr>
        <w:spacing w:line="360" w:lineRule="auto" w:after="80"/>
        <w:ind w:firstLine="440"/>
      </w:pPr>
      <w:r>
        <w:rPr>
          <w:rFonts w:ascii="Times New Roman" w:hAnsi="Times New Roman" w:eastAsia="宋体"/>
          <w:b w:val="0"/>
          <w:sz w:val="22"/>
        </w:rPr>
        <w:t>正值表示股价在均线上方，正值越大表示偏离越严重，存在向均线回归的下行压力；负值表示股价在均线下方，负值越大表示偏离越严重，存在向均线回归的上行动能。</w:t>
      </w:r>
    </w:p>
    <w:p>
      <w:pPr>
        <w:spacing w:line="360" w:lineRule="auto" w:after="80"/>
        <w:ind w:firstLine="440"/>
      </w:pPr>
      <w:r>
        <w:rPr>
          <w:rFonts w:ascii="Times New Roman" w:hAnsi="Times New Roman" w:eastAsia="宋体"/>
          <w:b w:val="0"/>
          <w:sz w:val="22"/>
        </w:rPr>
        <w:t>这一指标的理论基础是『均值回归定律』——资产价格在短期内可能偏离其平均值，但长期看必然向平均值回归。</w:t>
      </w:r>
    </w:p>
    <w:p>
      <w:pPr>
        <w:spacing w:before="280" w:after="160"/>
      </w:pPr>
      <w:r>
        <w:rPr>
          <w:rFonts w:ascii="Times New Roman" w:hAnsi="Times New Roman" w:eastAsia="微软雅黑"/>
          <w:b/>
          <w:color w:val="2E75B6"/>
          <w:sz w:val="26"/>
        </w:rPr>
        <w:t>8.2 各周期BIAS警戒值</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shd w:fill="2E75B6"/>
            <w:vAlign w:val="center"/>
          </w:tcPr>
          <w:p>
            <w:pPr>
              <w:jc w:val="center"/>
            </w:pPr>
            <w:r/>
            <w:r>
              <w:rPr>
                <w:rFonts w:ascii="Times New Roman" w:hAnsi="Times New Roman" w:eastAsia="微软雅黑"/>
                <w:b/>
                <w:color w:val="FFFFFF"/>
                <w:sz w:val="20"/>
              </w:rPr>
              <w:t>均线</w:t>
            </w:r>
          </w:p>
        </w:tc>
        <w:tc>
          <w:tcPr>
            <w:tcW w:type="dxa" w:w="1701"/>
            <w:shd w:fill="2E75B6"/>
            <w:vAlign w:val="center"/>
          </w:tcPr>
          <w:p>
            <w:pPr>
              <w:jc w:val="center"/>
            </w:pPr>
            <w:r/>
            <w:r>
              <w:rPr>
                <w:rFonts w:ascii="Times New Roman" w:hAnsi="Times New Roman" w:eastAsia="微软雅黑"/>
                <w:b/>
                <w:color w:val="FFFFFF"/>
                <w:sz w:val="20"/>
              </w:rPr>
              <w:t>正乖离率警戒值（超买）</w:t>
            </w:r>
          </w:p>
        </w:tc>
        <w:tc>
          <w:tcPr>
            <w:tcW w:type="dxa" w:w="1701"/>
            <w:shd w:fill="2E75B6"/>
            <w:vAlign w:val="center"/>
          </w:tcPr>
          <w:p>
            <w:pPr>
              <w:jc w:val="center"/>
            </w:pPr>
            <w:r/>
            <w:r>
              <w:rPr>
                <w:rFonts w:ascii="Times New Roman" w:hAnsi="Times New Roman" w:eastAsia="微软雅黑"/>
                <w:b/>
                <w:color w:val="FFFFFF"/>
                <w:sz w:val="20"/>
              </w:rPr>
              <w:t>负乖离率警戒值（超卖）</w:t>
            </w:r>
          </w:p>
        </w:tc>
        <w:tc>
          <w:tcPr>
            <w:tcW w:type="dxa" w:w="1701"/>
            <w:shd w:fill="2E75B6"/>
            <w:vAlign w:val="center"/>
          </w:tcPr>
          <w:p>
            <w:pPr>
              <w:jc w:val="center"/>
            </w:pPr>
            <w:r/>
            <w:r>
              <w:rPr>
                <w:rFonts w:ascii="Times New Roman" w:hAnsi="Times New Roman" w:eastAsia="微软雅黑"/>
                <w:b/>
                <w:color w:val="FFFFFF"/>
                <w:sz w:val="20"/>
              </w:rPr>
              <w:t>信号性质</w:t>
            </w:r>
          </w:p>
        </w:tc>
        <w:tc>
          <w:tcPr>
            <w:tcW w:type="dxa" w:w="2551"/>
            <w:shd w:fill="2E75B6"/>
            <w:vAlign w:val="center"/>
          </w:tcPr>
          <w:p>
            <w:pPr>
              <w:jc w:val="center"/>
            </w:pPr>
            <w:r/>
            <w:r>
              <w:rPr>
                <w:rFonts w:ascii="Times New Roman" w:hAnsi="Times New Roman" w:eastAsia="微软雅黑"/>
                <w:b/>
                <w:color w:val="FFFFFF"/>
                <w:sz w:val="20"/>
              </w:rPr>
              <w:t>操作含义</w:t>
            </w:r>
          </w:p>
        </w:tc>
      </w:tr>
      <w:tr>
        <w:tc>
          <w:tcPr>
            <w:tcW w:type="dxa" w:w="1134"/>
            <w:vAlign w:val="center"/>
          </w:tcPr>
          <w:p>
            <w:pPr>
              <w:jc w:val="left"/>
            </w:pPr>
            <w:r/>
            <w:r>
              <w:rPr>
                <w:rFonts w:ascii="Times New Roman" w:hAnsi="Times New Roman" w:eastAsia="宋体"/>
                <w:b w:val="0"/>
                <w:sz w:val="20"/>
              </w:rPr>
              <w:t>MA5</w:t>
            </w:r>
          </w:p>
        </w:tc>
        <w:tc>
          <w:tcPr>
            <w:tcW w:type="dxa" w:w="1701"/>
            <w:vAlign w:val="center"/>
          </w:tcPr>
          <w:p>
            <w:pPr>
              <w:jc w:val="left"/>
            </w:pPr>
            <w:r/>
            <w:r>
              <w:rPr>
                <w:rFonts w:ascii="Times New Roman" w:hAnsi="Times New Roman" w:eastAsia="宋体"/>
                <w:b w:val="0"/>
                <w:sz w:val="20"/>
              </w:rPr>
              <w:t>+5% 以上</w:t>
            </w:r>
          </w:p>
        </w:tc>
        <w:tc>
          <w:tcPr>
            <w:tcW w:type="dxa" w:w="1701"/>
            <w:vAlign w:val="center"/>
          </w:tcPr>
          <w:p>
            <w:pPr>
              <w:jc w:val="left"/>
            </w:pPr>
            <w:r/>
            <w:r>
              <w:rPr>
                <w:rFonts w:ascii="Times New Roman" w:hAnsi="Times New Roman" w:eastAsia="宋体"/>
                <w:b w:val="0"/>
                <w:sz w:val="20"/>
              </w:rPr>
              <w:t>-5% 以下</w:t>
            </w:r>
          </w:p>
        </w:tc>
        <w:tc>
          <w:tcPr>
            <w:tcW w:type="dxa" w:w="1701"/>
            <w:vAlign w:val="center"/>
          </w:tcPr>
          <w:p>
            <w:pPr>
              <w:jc w:val="left"/>
            </w:pPr>
            <w:r/>
            <w:r>
              <w:rPr>
                <w:rFonts w:ascii="Times New Roman" w:hAnsi="Times New Roman" w:eastAsia="宋体"/>
                <w:b w:val="0"/>
                <w:sz w:val="20"/>
              </w:rPr>
              <w:t>超短线极端</w:t>
            </w:r>
          </w:p>
        </w:tc>
        <w:tc>
          <w:tcPr>
            <w:tcW w:type="dxa" w:w="2551"/>
            <w:vAlign w:val="center"/>
          </w:tcPr>
          <w:p>
            <w:pPr>
              <w:jc w:val="left"/>
            </w:pPr>
            <w:r/>
            <w:r>
              <w:rPr>
                <w:rFonts w:ascii="Times New Roman" w:hAnsi="Times New Roman" w:eastAsia="宋体"/>
                <w:b w:val="0"/>
                <w:sz w:val="20"/>
              </w:rPr>
              <w:t>短期回调/反弹信号</w:t>
            </w:r>
          </w:p>
        </w:tc>
      </w:tr>
      <w:tr>
        <w:tc>
          <w:tcPr>
            <w:tcW w:type="dxa" w:w="1134"/>
            <w:vAlign w:val="center"/>
          </w:tcPr>
          <w:p>
            <w:pPr>
              <w:jc w:val="left"/>
            </w:pPr>
            <w:r/>
            <w:r>
              <w:rPr>
                <w:rFonts w:ascii="Times New Roman" w:hAnsi="Times New Roman" w:eastAsia="宋体"/>
                <w:b w:val="0"/>
                <w:sz w:val="20"/>
              </w:rPr>
              <w:t>MA10</w:t>
            </w:r>
          </w:p>
        </w:tc>
        <w:tc>
          <w:tcPr>
            <w:tcW w:type="dxa" w:w="1701"/>
            <w:vAlign w:val="center"/>
          </w:tcPr>
          <w:p>
            <w:pPr>
              <w:jc w:val="left"/>
            </w:pPr>
            <w:r/>
            <w:r>
              <w:rPr>
                <w:rFonts w:ascii="Times New Roman" w:hAnsi="Times New Roman" w:eastAsia="宋体"/>
                <w:b w:val="0"/>
                <w:sz w:val="20"/>
              </w:rPr>
              <w:t>+8% 以上</w:t>
            </w:r>
          </w:p>
        </w:tc>
        <w:tc>
          <w:tcPr>
            <w:tcW w:type="dxa" w:w="1701"/>
            <w:vAlign w:val="center"/>
          </w:tcPr>
          <w:p>
            <w:pPr>
              <w:jc w:val="left"/>
            </w:pPr>
            <w:r/>
            <w:r>
              <w:rPr>
                <w:rFonts w:ascii="Times New Roman" w:hAnsi="Times New Roman" w:eastAsia="宋体"/>
                <w:b w:val="0"/>
                <w:sz w:val="20"/>
              </w:rPr>
              <w:t>-8% 以下</w:t>
            </w:r>
          </w:p>
        </w:tc>
        <w:tc>
          <w:tcPr>
            <w:tcW w:type="dxa" w:w="1701"/>
            <w:vAlign w:val="center"/>
          </w:tcPr>
          <w:p>
            <w:pPr>
              <w:jc w:val="left"/>
            </w:pPr>
            <w:r/>
            <w:r>
              <w:rPr>
                <w:rFonts w:ascii="Times New Roman" w:hAnsi="Times New Roman" w:eastAsia="宋体"/>
                <w:b w:val="0"/>
                <w:sz w:val="20"/>
              </w:rPr>
              <w:t>短线极端</w:t>
            </w:r>
          </w:p>
        </w:tc>
        <w:tc>
          <w:tcPr>
            <w:tcW w:type="dxa" w:w="2551"/>
            <w:vAlign w:val="center"/>
          </w:tcPr>
          <w:p>
            <w:pPr>
              <w:jc w:val="left"/>
            </w:pPr>
            <w:r/>
            <w:r>
              <w:rPr>
                <w:rFonts w:ascii="Times New Roman" w:hAnsi="Times New Roman" w:eastAsia="宋体"/>
                <w:b w:val="0"/>
                <w:sz w:val="20"/>
              </w:rPr>
              <w:t>短线风控/波段机会</w:t>
            </w:r>
          </w:p>
        </w:tc>
      </w:tr>
      <w:tr>
        <w:tc>
          <w:tcPr>
            <w:tcW w:type="dxa" w:w="1134"/>
            <w:vAlign w:val="center"/>
          </w:tcPr>
          <w:p>
            <w:pPr>
              <w:jc w:val="left"/>
            </w:pPr>
            <w:r/>
            <w:r>
              <w:rPr>
                <w:rFonts w:ascii="Times New Roman" w:hAnsi="Times New Roman" w:eastAsia="宋体"/>
                <w:b w:val="0"/>
                <w:sz w:val="20"/>
              </w:rPr>
              <w:t>MA20</w:t>
            </w:r>
          </w:p>
        </w:tc>
        <w:tc>
          <w:tcPr>
            <w:tcW w:type="dxa" w:w="1701"/>
            <w:vAlign w:val="center"/>
          </w:tcPr>
          <w:p>
            <w:pPr>
              <w:jc w:val="left"/>
            </w:pPr>
            <w:r/>
            <w:r>
              <w:rPr>
                <w:rFonts w:ascii="Times New Roman" w:hAnsi="Times New Roman" w:eastAsia="宋体"/>
                <w:b w:val="0"/>
                <w:sz w:val="20"/>
              </w:rPr>
              <w:t>+10% 以上</w:t>
            </w:r>
          </w:p>
        </w:tc>
        <w:tc>
          <w:tcPr>
            <w:tcW w:type="dxa" w:w="1701"/>
            <w:vAlign w:val="center"/>
          </w:tcPr>
          <w:p>
            <w:pPr>
              <w:jc w:val="left"/>
            </w:pPr>
            <w:r/>
            <w:r>
              <w:rPr>
                <w:rFonts w:ascii="Times New Roman" w:hAnsi="Times New Roman" w:eastAsia="宋体"/>
                <w:b w:val="0"/>
                <w:sz w:val="20"/>
              </w:rPr>
              <w:t>-10% 以下</w:t>
            </w:r>
          </w:p>
        </w:tc>
        <w:tc>
          <w:tcPr>
            <w:tcW w:type="dxa" w:w="1701"/>
            <w:vAlign w:val="center"/>
          </w:tcPr>
          <w:p>
            <w:pPr>
              <w:jc w:val="left"/>
            </w:pPr>
            <w:r/>
            <w:r>
              <w:rPr>
                <w:rFonts w:ascii="Times New Roman" w:hAnsi="Times New Roman" w:eastAsia="宋体"/>
                <w:b w:val="0"/>
                <w:sz w:val="20"/>
              </w:rPr>
              <w:t>中短线极端</w:t>
            </w:r>
          </w:p>
        </w:tc>
        <w:tc>
          <w:tcPr>
            <w:tcW w:type="dxa" w:w="2551"/>
            <w:vAlign w:val="center"/>
          </w:tcPr>
          <w:p>
            <w:pPr>
              <w:jc w:val="left"/>
            </w:pPr>
            <w:r/>
            <w:r>
              <w:rPr>
                <w:rFonts w:ascii="Times New Roman" w:hAnsi="Times New Roman" w:eastAsia="宋体"/>
                <w:b w:val="0"/>
                <w:sz w:val="20"/>
              </w:rPr>
              <w:t>波段关键参考</w:t>
            </w:r>
          </w:p>
        </w:tc>
      </w:tr>
      <w:tr>
        <w:tc>
          <w:tcPr>
            <w:tcW w:type="dxa" w:w="1134"/>
            <w:vAlign w:val="center"/>
          </w:tcPr>
          <w:p>
            <w:pPr>
              <w:jc w:val="left"/>
            </w:pPr>
            <w:r/>
            <w:r>
              <w:rPr>
                <w:rFonts w:ascii="Times New Roman" w:hAnsi="Times New Roman" w:eastAsia="宋体"/>
                <w:b w:val="0"/>
                <w:sz w:val="20"/>
              </w:rPr>
              <w:t>MA60</w:t>
            </w:r>
          </w:p>
        </w:tc>
        <w:tc>
          <w:tcPr>
            <w:tcW w:type="dxa" w:w="1701"/>
            <w:vAlign w:val="center"/>
          </w:tcPr>
          <w:p>
            <w:pPr>
              <w:jc w:val="left"/>
            </w:pPr>
            <w:r/>
            <w:r>
              <w:rPr>
                <w:rFonts w:ascii="Times New Roman" w:hAnsi="Times New Roman" w:eastAsia="宋体"/>
                <w:b w:val="0"/>
                <w:sz w:val="20"/>
              </w:rPr>
              <w:t>+15% 以上</w:t>
            </w:r>
          </w:p>
        </w:tc>
        <w:tc>
          <w:tcPr>
            <w:tcW w:type="dxa" w:w="1701"/>
            <w:vAlign w:val="center"/>
          </w:tcPr>
          <w:p>
            <w:pPr>
              <w:jc w:val="left"/>
            </w:pPr>
            <w:r/>
            <w:r>
              <w:rPr>
                <w:rFonts w:ascii="Times New Roman" w:hAnsi="Times New Roman" w:eastAsia="宋体"/>
                <w:b w:val="0"/>
                <w:sz w:val="20"/>
              </w:rPr>
              <w:t>-15% 以下</w:t>
            </w:r>
          </w:p>
        </w:tc>
        <w:tc>
          <w:tcPr>
            <w:tcW w:type="dxa" w:w="1701"/>
            <w:vAlign w:val="center"/>
          </w:tcPr>
          <w:p>
            <w:pPr>
              <w:jc w:val="left"/>
            </w:pPr>
            <w:r/>
            <w:r>
              <w:rPr>
                <w:rFonts w:ascii="Times New Roman" w:hAnsi="Times New Roman" w:eastAsia="宋体"/>
                <w:b w:val="0"/>
                <w:sz w:val="20"/>
              </w:rPr>
              <w:t>中线极端</w:t>
            </w:r>
          </w:p>
        </w:tc>
        <w:tc>
          <w:tcPr>
            <w:tcW w:type="dxa" w:w="2551"/>
            <w:vAlign w:val="center"/>
          </w:tcPr>
          <w:p>
            <w:pPr>
              <w:jc w:val="left"/>
            </w:pPr>
            <w:r/>
            <w:r>
              <w:rPr>
                <w:rFonts w:ascii="Times New Roman" w:hAnsi="Times New Roman" w:eastAsia="宋体"/>
                <w:b w:val="0"/>
                <w:sz w:val="20"/>
              </w:rPr>
              <w:t>中线仓位调整</w:t>
            </w:r>
          </w:p>
        </w:tc>
      </w:tr>
      <w:tr>
        <w:tc>
          <w:tcPr>
            <w:tcW w:type="dxa" w:w="1134"/>
            <w:vAlign w:val="center"/>
          </w:tcPr>
          <w:p>
            <w:pPr>
              <w:jc w:val="left"/>
            </w:pPr>
            <w:r/>
            <w:r>
              <w:rPr>
                <w:rFonts w:ascii="Times New Roman" w:hAnsi="Times New Roman" w:eastAsia="宋体"/>
                <w:b w:val="0"/>
                <w:sz w:val="20"/>
              </w:rPr>
              <w:t>MA120</w:t>
            </w:r>
          </w:p>
        </w:tc>
        <w:tc>
          <w:tcPr>
            <w:tcW w:type="dxa" w:w="1701"/>
            <w:vAlign w:val="center"/>
          </w:tcPr>
          <w:p>
            <w:pPr>
              <w:jc w:val="left"/>
            </w:pPr>
            <w:r/>
            <w:r>
              <w:rPr>
                <w:rFonts w:ascii="Times New Roman" w:hAnsi="Times New Roman" w:eastAsia="宋体"/>
                <w:b w:val="0"/>
                <w:sz w:val="20"/>
              </w:rPr>
              <w:t>+20% 以上</w:t>
            </w:r>
          </w:p>
        </w:tc>
        <w:tc>
          <w:tcPr>
            <w:tcW w:type="dxa" w:w="1701"/>
            <w:vAlign w:val="center"/>
          </w:tcPr>
          <w:p>
            <w:pPr>
              <w:jc w:val="left"/>
            </w:pPr>
            <w:r/>
            <w:r>
              <w:rPr>
                <w:rFonts w:ascii="Times New Roman" w:hAnsi="Times New Roman" w:eastAsia="宋体"/>
                <w:b w:val="0"/>
                <w:sz w:val="20"/>
              </w:rPr>
              <w:t>-20% 以下</w:t>
            </w:r>
          </w:p>
        </w:tc>
        <w:tc>
          <w:tcPr>
            <w:tcW w:type="dxa" w:w="1701"/>
            <w:vAlign w:val="center"/>
          </w:tcPr>
          <w:p>
            <w:pPr>
              <w:jc w:val="left"/>
            </w:pPr>
            <w:r/>
            <w:r>
              <w:rPr>
                <w:rFonts w:ascii="Times New Roman" w:hAnsi="Times New Roman" w:eastAsia="宋体"/>
                <w:b w:val="0"/>
                <w:sz w:val="20"/>
              </w:rPr>
              <w:t>中长线极端</w:t>
            </w:r>
          </w:p>
        </w:tc>
        <w:tc>
          <w:tcPr>
            <w:tcW w:type="dxa" w:w="2551"/>
            <w:vAlign w:val="center"/>
          </w:tcPr>
          <w:p>
            <w:pPr>
              <w:jc w:val="left"/>
            </w:pPr>
            <w:r/>
            <w:r>
              <w:rPr>
                <w:rFonts w:ascii="Times New Roman" w:hAnsi="Times New Roman" w:eastAsia="宋体"/>
                <w:b w:val="0"/>
                <w:sz w:val="20"/>
              </w:rPr>
              <w:t>战略级信号</w:t>
            </w:r>
          </w:p>
        </w:tc>
      </w:tr>
      <w:tr>
        <w:tc>
          <w:tcPr>
            <w:tcW w:type="dxa" w:w="1134"/>
            <w:vAlign w:val="center"/>
          </w:tcPr>
          <w:p>
            <w:pPr>
              <w:jc w:val="left"/>
            </w:pPr>
            <w:r/>
            <w:r>
              <w:rPr>
                <w:rFonts w:ascii="Times New Roman" w:hAnsi="Times New Roman" w:eastAsia="宋体"/>
                <w:b w:val="0"/>
                <w:sz w:val="20"/>
              </w:rPr>
              <w:t>MA250</w:t>
            </w:r>
          </w:p>
        </w:tc>
        <w:tc>
          <w:tcPr>
            <w:tcW w:type="dxa" w:w="1701"/>
            <w:vAlign w:val="center"/>
          </w:tcPr>
          <w:p>
            <w:pPr>
              <w:jc w:val="left"/>
            </w:pPr>
            <w:r/>
            <w:r>
              <w:rPr>
                <w:rFonts w:ascii="Times New Roman" w:hAnsi="Times New Roman" w:eastAsia="宋体"/>
                <w:b w:val="0"/>
                <w:sz w:val="20"/>
              </w:rPr>
              <w:t>+30% 以上</w:t>
            </w:r>
          </w:p>
        </w:tc>
        <w:tc>
          <w:tcPr>
            <w:tcW w:type="dxa" w:w="1701"/>
            <w:vAlign w:val="center"/>
          </w:tcPr>
          <w:p>
            <w:pPr>
              <w:jc w:val="left"/>
            </w:pPr>
            <w:r/>
            <w:r>
              <w:rPr>
                <w:rFonts w:ascii="Times New Roman" w:hAnsi="Times New Roman" w:eastAsia="宋体"/>
                <w:b w:val="0"/>
                <w:sz w:val="20"/>
              </w:rPr>
              <w:t>-30% 以下</w:t>
            </w:r>
          </w:p>
        </w:tc>
        <w:tc>
          <w:tcPr>
            <w:tcW w:type="dxa" w:w="1701"/>
            <w:vAlign w:val="center"/>
          </w:tcPr>
          <w:p>
            <w:pPr>
              <w:jc w:val="left"/>
            </w:pPr>
            <w:r/>
            <w:r>
              <w:rPr>
                <w:rFonts w:ascii="Times New Roman" w:hAnsi="Times New Roman" w:eastAsia="宋体"/>
                <w:b w:val="0"/>
                <w:sz w:val="20"/>
              </w:rPr>
              <w:t>长线极端</w:t>
            </w:r>
          </w:p>
        </w:tc>
        <w:tc>
          <w:tcPr>
            <w:tcW w:type="dxa" w:w="2551"/>
            <w:vAlign w:val="center"/>
          </w:tcPr>
          <w:p>
            <w:pPr>
              <w:jc w:val="left"/>
            </w:pPr>
            <w:r/>
            <w:r>
              <w:rPr>
                <w:rFonts w:ascii="Times New Roman" w:hAnsi="Times New Roman" w:eastAsia="宋体"/>
                <w:b w:val="0"/>
                <w:sz w:val="20"/>
              </w:rPr>
              <w:t>牛熊极值</w:t>
            </w:r>
          </w:p>
        </w:tc>
      </w:tr>
    </w:tbl>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BIAS警戒值非绝对标准，需结合市场环境调整。牛市顶部常出现正乖离率的极值（如上证指数2007年MA250乖离率达60%）；熊市底部常出现负乖离率的极值（如2008年MA250乖离率达-45%）。不同行业、不同风格的股票，警戒值也不同。小盘成长股的波动更大，警戒值可适当上调。</w:t>
            </w:r>
          </w:p>
        </w:tc>
      </w:tr>
    </w:tbl>
    <w:p>
      <w:pPr>
        <w:spacing w:before="280" w:after="160"/>
      </w:pPr>
      <w:r>
        <w:rPr>
          <w:rFonts w:ascii="Times New Roman" w:hAnsi="Times New Roman" w:eastAsia="微软雅黑"/>
          <w:b/>
          <w:color w:val="2E75B6"/>
          <w:sz w:val="26"/>
        </w:rPr>
        <w:t>8.3 BIAS背离信号</w:t>
      </w:r>
    </w:p>
    <w:p>
      <w:pPr>
        <w:spacing w:before="200" w:after="120"/>
      </w:pPr>
      <w:r>
        <w:rPr>
          <w:rFonts w:ascii="Times New Roman" w:hAnsi="Times New Roman" w:eastAsia="微软雅黑"/>
          <w:b/>
          <w:color w:val="44546A"/>
          <w:sz w:val="24"/>
        </w:rPr>
        <w:t>8.3.1 BIAS顶背离（看空信号）</w:t>
      </w:r>
    </w:p>
    <w:p>
      <w:pPr>
        <w:spacing w:line="360" w:lineRule="auto" w:after="80"/>
        <w:ind w:firstLine="440"/>
      </w:pPr>
      <w:r>
        <w:rPr>
          <w:rFonts w:ascii="Times New Roman" w:hAnsi="Times New Roman" w:eastAsia="宋体"/>
          <w:b w:val="0"/>
          <w:sz w:val="22"/>
        </w:rPr>
        <w:t>定义：股价创新高，但BIAS未能同步创新高。</w:t>
      </w:r>
    </w:p>
    <w:p>
      <w:pPr>
        <w:spacing w:line="360" w:lineRule="auto" w:after="80"/>
        <w:ind w:firstLine="440"/>
      </w:pPr>
      <w:r>
        <w:rPr>
          <w:rFonts w:ascii="Times New Roman" w:hAnsi="Times New Roman" w:eastAsia="宋体"/>
          <w:b w:val="0"/>
          <w:sz w:val="22"/>
        </w:rPr>
        <w:t>含义：虽然股价继续上涨，但上涨动力（偏离均线的速度）已经减弱，上涨动能衰竭。</w:t>
      </w:r>
    </w:p>
    <w:p>
      <w:pPr>
        <w:spacing w:line="360" w:lineRule="auto" w:after="80"/>
        <w:ind w:firstLine="440"/>
      </w:pPr>
      <w:r>
        <w:rPr>
          <w:rFonts w:ascii="Times New Roman" w:hAnsi="Times New Roman" w:eastAsia="宋体"/>
          <w:b w:val="0"/>
          <w:sz w:val="22"/>
        </w:rPr>
        <w:t>操作要点：顶背离出现后不应立即卖出，应等待确认信号（如K线顶部形态、均线死叉等）。但应提高警惕，做好减仓准备。</w:t>
      </w:r>
    </w:p>
    <w:p>
      <w:pPr>
        <w:spacing w:before="200" w:after="120"/>
      </w:pPr>
      <w:r>
        <w:rPr>
          <w:rFonts w:ascii="Times New Roman" w:hAnsi="Times New Roman" w:eastAsia="微软雅黑"/>
          <w:b/>
          <w:color w:val="44546A"/>
          <w:sz w:val="24"/>
        </w:rPr>
        <w:t>8.3.2 BIAS底背离（看多信号）</w:t>
      </w:r>
    </w:p>
    <w:p>
      <w:pPr>
        <w:spacing w:line="360" w:lineRule="auto" w:after="80"/>
        <w:ind w:firstLine="440"/>
      </w:pPr>
      <w:r>
        <w:rPr>
          <w:rFonts w:ascii="Times New Roman" w:hAnsi="Times New Roman" w:eastAsia="宋体"/>
          <w:b w:val="0"/>
          <w:sz w:val="22"/>
        </w:rPr>
        <w:t>定义：股价创新低，但BIAS未能同步创新低。</w:t>
      </w:r>
    </w:p>
    <w:p>
      <w:pPr>
        <w:spacing w:line="360" w:lineRule="auto" w:after="80"/>
        <w:ind w:firstLine="440"/>
      </w:pPr>
      <w:r>
        <w:rPr>
          <w:rFonts w:ascii="Times New Roman" w:hAnsi="Times New Roman" w:eastAsia="宋体"/>
          <w:b w:val="0"/>
          <w:sz w:val="22"/>
        </w:rPr>
        <w:t>含义：虽然股价继续下跌，但下跌动力已经减弱，下跌动能衰竭。</w:t>
      </w:r>
    </w:p>
    <w:p>
      <w:pPr>
        <w:spacing w:line="360" w:lineRule="auto" w:after="80"/>
        <w:ind w:firstLine="440"/>
      </w:pPr>
      <w:r>
        <w:rPr>
          <w:rFonts w:ascii="Times New Roman" w:hAnsi="Times New Roman" w:eastAsia="宋体"/>
          <w:b w:val="0"/>
          <w:sz w:val="22"/>
        </w:rPr>
        <w:t>操作要点：底背离出现后不应立即买入，应等待确认信号（如K线底部形态、均线金叉等）。但可准备建仓计划。</w:t>
      </w:r>
    </w:p>
    <w:p>
      <w:pPr>
        <w:spacing w:before="280" w:after="160"/>
      </w:pPr>
      <w:r>
        <w:rPr>
          <w:rFonts w:ascii="Times New Roman" w:hAnsi="Times New Roman" w:eastAsia="微软雅黑"/>
          <w:b/>
          <w:color w:val="2E75B6"/>
          <w:sz w:val="26"/>
        </w:rPr>
        <w:t>8.4 BIAS的实战策略</w:t>
      </w:r>
    </w:p>
    <w:p>
      <w:pPr>
        <w:spacing w:before="200" w:after="120"/>
      </w:pPr>
      <w:r>
        <w:rPr>
          <w:rFonts w:ascii="Times New Roman" w:hAnsi="Times New Roman" w:eastAsia="微软雅黑"/>
          <w:b/>
          <w:color w:val="44546A"/>
          <w:sz w:val="24"/>
        </w:rPr>
        <w:t>8.4.1 BIAS回归策略</w:t>
      </w:r>
    </w:p>
    <w:p>
      <w:pPr>
        <w:spacing w:line="360" w:lineRule="auto" w:after="80"/>
        <w:ind w:firstLine="440"/>
      </w:pPr>
      <w:r>
        <w:rPr>
          <w:rFonts w:ascii="Times New Roman" w:hAnsi="Times New Roman" w:eastAsia="宋体"/>
          <w:b w:val="0"/>
          <w:sz w:val="22"/>
        </w:rPr>
        <w:t>核心思想：当BIAS超过警戒值时，顺向仓位做部分获利了结（正乖离率过大）或部分补仓（负乖离率过大）；BIAS回归至±3%以内视为常态。</w:t>
      </w:r>
    </w:p>
    <w:p>
      <w:pPr>
        <w:spacing w:before="200" w:after="120"/>
      </w:pPr>
      <w:r>
        <w:rPr>
          <w:rFonts w:ascii="Times New Roman" w:hAnsi="Times New Roman" w:eastAsia="微软雅黑"/>
          <w:b/>
          <w:color w:val="44546A"/>
          <w:sz w:val="24"/>
        </w:rPr>
        <w:t>8.4.2 BIAS多周期共振</w:t>
      </w:r>
    </w:p>
    <w:p>
      <w:pPr>
        <w:spacing w:line="360" w:lineRule="auto" w:after="80"/>
        <w:ind w:firstLine="440"/>
      </w:pPr>
      <w:r>
        <w:rPr>
          <w:rFonts w:ascii="Times New Roman" w:hAnsi="Times New Roman" w:eastAsia="宋体"/>
          <w:b w:val="0"/>
          <w:sz w:val="22"/>
        </w:rPr>
        <w:t>当MA5、MA10、MA20三个周期的BIAS同时处于极端值时，回归概率极高。这是短线波段操作的黄金信号。</w:t>
      </w:r>
    </w:p>
    <w:p>
      <w:pPr>
        <w:spacing w:before="200" w:after="120"/>
      </w:pPr>
      <w:r>
        <w:rPr>
          <w:rFonts w:ascii="Times New Roman" w:hAnsi="Times New Roman" w:eastAsia="微软雅黑"/>
          <w:b/>
          <w:color w:val="44546A"/>
          <w:sz w:val="24"/>
        </w:rPr>
        <w:t>8.4.3 BIAS与均线方向结合</w:t>
      </w:r>
    </w:p>
    <w:p>
      <w:pPr>
        <w:spacing w:line="360" w:lineRule="auto" w:after="80"/>
        <w:ind w:firstLine="440"/>
      </w:pPr>
      <w:r>
        <w:rPr>
          <w:rFonts w:ascii="Times New Roman" w:hAnsi="Times New Roman" w:eastAsia="宋体"/>
          <w:b w:val="0"/>
          <w:sz w:val="22"/>
        </w:rPr>
        <w:t>即使BIAS达到警戒值，若均线方向仍然强劲（如MA20斜率&gt;30°），则趋势可能继续延续，BIAS回归可能通过均线追赶股价、而非股价向均线回落实现。此时不应盲目逆势操作。</w:t>
      </w:r>
    </w:p>
    <w:p>
      <w:r>
        <w:br w:type="page"/>
      </w:r>
    </w:p>
    <w:p>
      <w:pPr>
        <w:spacing w:before="400" w:after="240"/>
      </w:pPr>
      <w:r>
        <w:rPr>
          <w:rFonts w:ascii="Times New Roman" w:hAnsi="Times New Roman" w:eastAsia="微软雅黑"/>
          <w:b/>
          <w:color w:val="1F4E78"/>
          <w:sz w:val="32"/>
        </w:rPr>
        <w:t>第九章  量价配合与均线综合判断</w:t>
      </w:r>
    </w:p>
    <w:p>
      <w:pPr>
        <w:spacing w:before="280" w:after="160"/>
      </w:pPr>
      <w:r>
        <w:rPr>
          <w:rFonts w:ascii="Times New Roman" w:hAnsi="Times New Roman" w:eastAsia="微软雅黑"/>
          <w:b/>
          <w:color w:val="2E75B6"/>
          <w:sz w:val="26"/>
        </w:rPr>
        <w:t>9.1 成交量对均线信号的确认作用</w:t>
      </w:r>
    </w:p>
    <w:p>
      <w:pPr>
        <w:spacing w:line="360" w:lineRule="auto" w:after="80"/>
        <w:ind w:firstLine="440"/>
      </w:pPr>
      <w:r>
        <w:rPr>
          <w:rFonts w:ascii="Times New Roman" w:hAnsi="Times New Roman" w:eastAsia="宋体"/>
          <w:b w:val="0"/>
          <w:sz w:val="22"/>
        </w:rPr>
        <w:t>均线信号的可靠性很大程度上取决于成交量的配合情况。成交量是市场资金活动的直接体现，是检验均线信号真伪的『试金石』。</w:t>
      </w:r>
    </w:p>
    <w:p>
      <w:pPr>
        <w:spacing w:line="360" w:lineRule="auto" w:after="80"/>
        <w:ind w:firstLine="440"/>
      </w:pPr>
      <w:r>
        <w:rPr>
          <w:rFonts w:ascii="Times New Roman" w:hAnsi="Times New Roman" w:eastAsia="宋体"/>
          <w:b w:val="0"/>
          <w:sz w:val="22"/>
        </w:rPr>
        <w:t>基本原则：任何均线突破/跌破信号，都需要成交量的确认才能视为真实有效。无量突破多为假突破，无量跌破多为假跌破。</w:t>
      </w:r>
    </w:p>
    <w:p>
      <w:pPr>
        <w:spacing w:before="280" w:after="160"/>
      </w:pPr>
      <w:r>
        <w:rPr>
          <w:rFonts w:ascii="Times New Roman" w:hAnsi="Times New Roman" w:eastAsia="微软雅黑"/>
          <w:b/>
          <w:color w:val="2E75B6"/>
          <w:sz w:val="26"/>
        </w:rPr>
        <w:t>9.2 量能与均线的八种综合判断规则</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2268"/>
            <w:shd w:fill="2E75B6"/>
            <w:vAlign w:val="center"/>
          </w:tcPr>
          <w:p>
            <w:pPr>
              <w:jc w:val="center"/>
            </w:pPr>
            <w:r/>
            <w:r>
              <w:rPr>
                <w:rFonts w:ascii="Times New Roman" w:hAnsi="Times New Roman" w:eastAsia="微软雅黑"/>
                <w:b/>
                <w:color w:val="FFFFFF"/>
                <w:sz w:val="20"/>
              </w:rPr>
              <w:t>量价组合 + 排列</w:t>
            </w:r>
          </w:p>
        </w:tc>
        <w:tc>
          <w:tcPr>
            <w:tcW w:type="dxa" w:w="1984"/>
            <w:shd w:fill="2E75B6"/>
            <w:vAlign w:val="center"/>
          </w:tcPr>
          <w:p>
            <w:pPr>
              <w:jc w:val="center"/>
            </w:pPr>
            <w:r/>
            <w:r>
              <w:rPr>
                <w:rFonts w:ascii="Times New Roman" w:hAnsi="Times New Roman" w:eastAsia="微软雅黑"/>
                <w:b/>
                <w:color w:val="FFFFFF"/>
                <w:sz w:val="20"/>
              </w:rPr>
              <w:t>信号判断</w:t>
            </w:r>
          </w:p>
        </w:tc>
        <w:tc>
          <w:tcPr>
            <w:tcW w:type="dxa" w:w="1134"/>
            <w:shd w:fill="2E75B6"/>
            <w:vAlign w:val="center"/>
          </w:tcPr>
          <w:p>
            <w:pPr>
              <w:jc w:val="center"/>
            </w:pPr>
            <w:r/>
            <w:r>
              <w:rPr>
                <w:rFonts w:ascii="Times New Roman" w:hAnsi="Times New Roman" w:eastAsia="微软雅黑"/>
                <w:b/>
                <w:color w:val="FFFFFF"/>
                <w:sz w:val="20"/>
              </w:rPr>
              <w:t>可靠性</w:t>
            </w:r>
          </w:p>
        </w:tc>
        <w:tc>
          <w:tcPr>
            <w:tcW w:type="dxa" w:w="1984"/>
            <w:shd w:fill="2E75B6"/>
            <w:vAlign w:val="center"/>
          </w:tcPr>
          <w:p>
            <w:pPr>
              <w:jc w:val="center"/>
            </w:pPr>
            <w:r/>
            <w:r>
              <w:rPr>
                <w:rFonts w:ascii="Times New Roman" w:hAnsi="Times New Roman" w:eastAsia="微软雅黑"/>
                <w:b/>
                <w:color w:val="FFFFFF"/>
                <w:sz w:val="20"/>
              </w:rPr>
              <w:t>操作建议</w:t>
            </w:r>
          </w:p>
        </w:tc>
        <w:tc>
          <w:tcPr>
            <w:tcW w:type="dxa" w:w="1134"/>
            <w:shd w:fill="2E75B6"/>
            <w:vAlign w:val="center"/>
          </w:tcPr>
          <w:p>
            <w:pPr>
              <w:jc w:val="center"/>
            </w:pPr>
            <w:r/>
            <w:r>
              <w:rPr>
                <w:rFonts w:ascii="Times New Roman" w:hAnsi="Times New Roman" w:eastAsia="微软雅黑"/>
                <w:b/>
                <w:color w:val="FFFFFF"/>
                <w:sz w:val="20"/>
              </w:rPr>
              <w:t>风险等级</w:t>
            </w:r>
          </w:p>
        </w:tc>
      </w:tr>
      <w:tr>
        <w:tc>
          <w:tcPr>
            <w:tcW w:type="dxa" w:w="2268"/>
            <w:vAlign w:val="center"/>
          </w:tcPr>
          <w:p>
            <w:pPr>
              <w:jc w:val="left"/>
            </w:pPr>
            <w:r/>
            <w:r>
              <w:rPr>
                <w:rFonts w:ascii="Times New Roman" w:hAnsi="Times New Roman" w:eastAsia="宋体"/>
                <w:b w:val="0"/>
                <w:sz w:val="20"/>
              </w:rPr>
              <w:t>价升量增 + 多头排列</w:t>
            </w:r>
          </w:p>
        </w:tc>
        <w:tc>
          <w:tcPr>
            <w:tcW w:type="dxa" w:w="1984"/>
            <w:vAlign w:val="center"/>
          </w:tcPr>
          <w:p>
            <w:pPr>
              <w:jc w:val="left"/>
            </w:pPr>
            <w:r/>
            <w:r>
              <w:rPr>
                <w:rFonts w:ascii="Times New Roman" w:hAnsi="Times New Roman" w:eastAsia="宋体"/>
                <w:b w:val="0"/>
                <w:sz w:val="20"/>
              </w:rPr>
              <w:t>最健康的上涨形态</w:t>
            </w:r>
          </w:p>
        </w:tc>
        <w:tc>
          <w:tcPr>
            <w:tcW w:type="dxa" w:w="1134"/>
            <w:vAlign w:val="center"/>
          </w:tcPr>
          <w:p>
            <w:pPr>
              <w:jc w:val="left"/>
            </w:pPr>
            <w:r/>
            <w:r>
              <w:rPr>
                <w:rFonts w:ascii="Times New Roman" w:hAnsi="Times New Roman" w:eastAsia="宋体"/>
                <w:b w:val="0"/>
                <w:sz w:val="20"/>
              </w:rPr>
              <w:t>极高</w:t>
            </w:r>
          </w:p>
        </w:tc>
        <w:tc>
          <w:tcPr>
            <w:tcW w:type="dxa" w:w="1984"/>
            <w:vAlign w:val="center"/>
          </w:tcPr>
          <w:p>
            <w:pPr>
              <w:jc w:val="left"/>
            </w:pPr>
            <w:r/>
            <w:r>
              <w:rPr>
                <w:rFonts w:ascii="Times New Roman" w:hAnsi="Times New Roman" w:eastAsia="宋体"/>
                <w:b w:val="0"/>
                <w:sz w:val="20"/>
              </w:rPr>
              <w:t>持有加仓</w:t>
            </w:r>
          </w:p>
        </w:tc>
        <w:tc>
          <w:tcPr>
            <w:tcW w:type="dxa" w:w="1134"/>
            <w:vAlign w:val="center"/>
          </w:tcPr>
          <w:p>
            <w:pPr>
              <w:jc w:val="left"/>
            </w:pPr>
            <w:r/>
            <w:r>
              <w:rPr>
                <w:rFonts w:ascii="Times New Roman" w:hAnsi="Times New Roman" w:eastAsia="宋体"/>
                <w:b w:val="0"/>
                <w:sz w:val="20"/>
              </w:rPr>
              <w:t>低风险</w:t>
            </w:r>
          </w:p>
        </w:tc>
      </w:tr>
      <w:tr>
        <w:tc>
          <w:tcPr>
            <w:tcW w:type="dxa" w:w="2268"/>
            <w:vAlign w:val="center"/>
          </w:tcPr>
          <w:p>
            <w:pPr>
              <w:jc w:val="left"/>
            </w:pPr>
            <w:r/>
            <w:r>
              <w:rPr>
                <w:rFonts w:ascii="Times New Roman" w:hAnsi="Times New Roman" w:eastAsia="宋体"/>
                <w:b w:val="0"/>
                <w:sz w:val="20"/>
              </w:rPr>
              <w:t>价升量缩 + 多头排列</w:t>
            </w:r>
          </w:p>
        </w:tc>
        <w:tc>
          <w:tcPr>
            <w:tcW w:type="dxa" w:w="1984"/>
            <w:vAlign w:val="center"/>
          </w:tcPr>
          <w:p>
            <w:pPr>
              <w:jc w:val="left"/>
            </w:pPr>
            <w:r/>
            <w:r>
              <w:rPr>
                <w:rFonts w:ascii="Times New Roman" w:hAnsi="Times New Roman" w:eastAsia="宋体"/>
                <w:b w:val="0"/>
                <w:sz w:val="20"/>
              </w:rPr>
              <w:t>上涨动力可能不足</w:t>
            </w:r>
          </w:p>
        </w:tc>
        <w:tc>
          <w:tcPr>
            <w:tcW w:type="dxa" w:w="1134"/>
            <w:vAlign w:val="center"/>
          </w:tcPr>
          <w:p>
            <w:pPr>
              <w:jc w:val="left"/>
            </w:pPr>
            <w:r/>
            <w:r>
              <w:rPr>
                <w:rFonts w:ascii="Times New Roman" w:hAnsi="Times New Roman" w:eastAsia="宋体"/>
                <w:b w:val="0"/>
                <w:sz w:val="20"/>
              </w:rPr>
              <w:t>警示</w:t>
            </w:r>
          </w:p>
        </w:tc>
        <w:tc>
          <w:tcPr>
            <w:tcW w:type="dxa" w:w="1984"/>
            <w:vAlign w:val="center"/>
          </w:tcPr>
          <w:p>
            <w:pPr>
              <w:jc w:val="left"/>
            </w:pPr>
            <w:r/>
            <w:r>
              <w:rPr>
                <w:rFonts w:ascii="Times New Roman" w:hAnsi="Times New Roman" w:eastAsia="宋体"/>
                <w:b w:val="0"/>
                <w:sz w:val="20"/>
              </w:rPr>
              <w:t>保持仓位，注意顶部</w:t>
            </w:r>
          </w:p>
        </w:tc>
        <w:tc>
          <w:tcPr>
            <w:tcW w:type="dxa" w:w="1134"/>
            <w:vAlign w:val="center"/>
          </w:tcPr>
          <w:p>
            <w:pPr>
              <w:jc w:val="left"/>
            </w:pPr>
            <w:r/>
            <w:r>
              <w:rPr>
                <w:rFonts w:ascii="Times New Roman" w:hAnsi="Times New Roman" w:eastAsia="宋体"/>
                <w:b w:val="0"/>
                <w:sz w:val="20"/>
              </w:rPr>
              <w:t>中等</w:t>
            </w:r>
          </w:p>
        </w:tc>
      </w:tr>
      <w:tr>
        <w:tc>
          <w:tcPr>
            <w:tcW w:type="dxa" w:w="2268"/>
            <w:vAlign w:val="center"/>
          </w:tcPr>
          <w:p>
            <w:pPr>
              <w:jc w:val="left"/>
            </w:pPr>
            <w:r/>
            <w:r>
              <w:rPr>
                <w:rFonts w:ascii="Times New Roman" w:hAnsi="Times New Roman" w:eastAsia="宋体"/>
                <w:b w:val="0"/>
                <w:sz w:val="20"/>
              </w:rPr>
              <w:t>价跌量缩 + 多头排列</w:t>
            </w:r>
          </w:p>
        </w:tc>
        <w:tc>
          <w:tcPr>
            <w:tcW w:type="dxa" w:w="1984"/>
            <w:vAlign w:val="center"/>
          </w:tcPr>
          <w:p>
            <w:pPr>
              <w:jc w:val="left"/>
            </w:pPr>
            <w:r/>
            <w:r>
              <w:rPr>
                <w:rFonts w:ascii="Times New Roman" w:hAnsi="Times New Roman" w:eastAsia="宋体"/>
                <w:b w:val="0"/>
                <w:sz w:val="20"/>
              </w:rPr>
              <w:t>正常缩量回踩</w:t>
            </w:r>
          </w:p>
        </w:tc>
        <w:tc>
          <w:tcPr>
            <w:tcW w:type="dxa" w:w="1134"/>
            <w:vAlign w:val="center"/>
          </w:tcPr>
          <w:p>
            <w:pPr>
              <w:jc w:val="left"/>
            </w:pPr>
            <w:r/>
            <w:r>
              <w:rPr>
                <w:rFonts w:ascii="Times New Roman" w:hAnsi="Times New Roman" w:eastAsia="宋体"/>
                <w:b w:val="0"/>
                <w:sz w:val="20"/>
              </w:rPr>
              <w:t>高</w:t>
            </w:r>
          </w:p>
        </w:tc>
        <w:tc>
          <w:tcPr>
            <w:tcW w:type="dxa" w:w="1984"/>
            <w:vAlign w:val="center"/>
          </w:tcPr>
          <w:p>
            <w:pPr>
              <w:jc w:val="left"/>
            </w:pPr>
            <w:r/>
            <w:r>
              <w:rPr>
                <w:rFonts w:ascii="Times New Roman" w:hAnsi="Times New Roman" w:eastAsia="宋体"/>
                <w:b w:val="0"/>
                <w:sz w:val="20"/>
              </w:rPr>
              <w:t>逢低买入</w:t>
            </w:r>
          </w:p>
        </w:tc>
        <w:tc>
          <w:tcPr>
            <w:tcW w:type="dxa" w:w="1134"/>
            <w:vAlign w:val="center"/>
          </w:tcPr>
          <w:p>
            <w:pPr>
              <w:jc w:val="left"/>
            </w:pPr>
            <w:r/>
            <w:r>
              <w:rPr>
                <w:rFonts w:ascii="Times New Roman" w:hAnsi="Times New Roman" w:eastAsia="宋体"/>
                <w:b w:val="0"/>
                <w:sz w:val="20"/>
              </w:rPr>
              <w:t>低风险</w:t>
            </w:r>
          </w:p>
        </w:tc>
      </w:tr>
      <w:tr>
        <w:tc>
          <w:tcPr>
            <w:tcW w:type="dxa" w:w="2268"/>
            <w:vAlign w:val="center"/>
          </w:tcPr>
          <w:p>
            <w:pPr>
              <w:jc w:val="left"/>
            </w:pPr>
            <w:r/>
            <w:r>
              <w:rPr>
                <w:rFonts w:ascii="Times New Roman" w:hAnsi="Times New Roman" w:eastAsia="宋体"/>
                <w:b w:val="0"/>
                <w:sz w:val="20"/>
              </w:rPr>
              <w:t>价跌量增 + 多头排列</w:t>
            </w:r>
          </w:p>
        </w:tc>
        <w:tc>
          <w:tcPr>
            <w:tcW w:type="dxa" w:w="1984"/>
            <w:vAlign w:val="center"/>
          </w:tcPr>
          <w:p>
            <w:pPr>
              <w:jc w:val="left"/>
            </w:pPr>
            <w:r/>
            <w:r>
              <w:rPr>
                <w:rFonts w:ascii="Times New Roman" w:hAnsi="Times New Roman" w:eastAsia="宋体"/>
                <w:b w:val="0"/>
                <w:sz w:val="20"/>
              </w:rPr>
              <w:t>主力出逃，排列面临瓦解</w:t>
            </w:r>
          </w:p>
        </w:tc>
        <w:tc>
          <w:tcPr>
            <w:tcW w:type="dxa" w:w="1134"/>
            <w:vAlign w:val="center"/>
          </w:tcPr>
          <w:p>
            <w:pPr>
              <w:jc w:val="left"/>
            </w:pPr>
            <w:r/>
            <w:r>
              <w:rPr>
                <w:rFonts w:ascii="Times New Roman" w:hAnsi="Times New Roman" w:eastAsia="宋体"/>
                <w:b w:val="0"/>
                <w:sz w:val="20"/>
              </w:rPr>
              <w:t>危险</w:t>
            </w:r>
          </w:p>
        </w:tc>
        <w:tc>
          <w:tcPr>
            <w:tcW w:type="dxa" w:w="1984"/>
            <w:vAlign w:val="center"/>
          </w:tcPr>
          <w:p>
            <w:pPr>
              <w:jc w:val="left"/>
            </w:pPr>
            <w:r/>
            <w:r>
              <w:rPr>
                <w:rFonts w:ascii="Times New Roman" w:hAnsi="Times New Roman" w:eastAsia="宋体"/>
                <w:b w:val="0"/>
                <w:sz w:val="20"/>
              </w:rPr>
              <w:t>减仓观望</w:t>
            </w:r>
          </w:p>
        </w:tc>
        <w:tc>
          <w:tcPr>
            <w:tcW w:type="dxa" w:w="1134"/>
            <w:vAlign w:val="center"/>
          </w:tcPr>
          <w:p>
            <w:pPr>
              <w:jc w:val="left"/>
            </w:pPr>
            <w:r/>
            <w:r>
              <w:rPr>
                <w:rFonts w:ascii="Times New Roman" w:hAnsi="Times New Roman" w:eastAsia="宋体"/>
                <w:b w:val="0"/>
                <w:sz w:val="20"/>
              </w:rPr>
              <w:t>高风险</w:t>
            </w:r>
          </w:p>
        </w:tc>
      </w:tr>
      <w:tr>
        <w:tc>
          <w:tcPr>
            <w:tcW w:type="dxa" w:w="2268"/>
            <w:vAlign w:val="center"/>
          </w:tcPr>
          <w:p>
            <w:pPr>
              <w:jc w:val="left"/>
            </w:pPr>
            <w:r/>
            <w:r>
              <w:rPr>
                <w:rFonts w:ascii="Times New Roman" w:hAnsi="Times New Roman" w:eastAsia="宋体"/>
                <w:b w:val="0"/>
                <w:sz w:val="20"/>
              </w:rPr>
              <w:t>价升量增 + 空头排列</w:t>
            </w:r>
          </w:p>
        </w:tc>
        <w:tc>
          <w:tcPr>
            <w:tcW w:type="dxa" w:w="1984"/>
            <w:vAlign w:val="center"/>
          </w:tcPr>
          <w:p>
            <w:pPr>
              <w:jc w:val="left"/>
            </w:pPr>
            <w:r/>
            <w:r>
              <w:rPr>
                <w:rFonts w:ascii="Times New Roman" w:hAnsi="Times New Roman" w:eastAsia="宋体"/>
                <w:b w:val="0"/>
                <w:sz w:val="20"/>
              </w:rPr>
              <w:t>反弹但未改变趋势</w:t>
            </w:r>
          </w:p>
        </w:tc>
        <w:tc>
          <w:tcPr>
            <w:tcW w:type="dxa" w:w="1134"/>
            <w:vAlign w:val="center"/>
          </w:tcPr>
          <w:p>
            <w:pPr>
              <w:jc w:val="left"/>
            </w:pPr>
            <w:r/>
            <w:r>
              <w:rPr>
                <w:rFonts w:ascii="Times New Roman" w:hAnsi="Times New Roman" w:eastAsia="宋体"/>
                <w:b w:val="0"/>
                <w:sz w:val="20"/>
              </w:rPr>
              <w:t>中性</w:t>
            </w:r>
          </w:p>
        </w:tc>
        <w:tc>
          <w:tcPr>
            <w:tcW w:type="dxa" w:w="1984"/>
            <w:vAlign w:val="center"/>
          </w:tcPr>
          <w:p>
            <w:pPr>
              <w:jc w:val="left"/>
            </w:pPr>
            <w:r/>
            <w:r>
              <w:rPr>
                <w:rFonts w:ascii="Times New Roman" w:hAnsi="Times New Roman" w:eastAsia="宋体"/>
                <w:b w:val="0"/>
                <w:sz w:val="20"/>
              </w:rPr>
              <w:t>波段高抛</w:t>
            </w:r>
          </w:p>
        </w:tc>
        <w:tc>
          <w:tcPr>
            <w:tcW w:type="dxa" w:w="1134"/>
            <w:vAlign w:val="center"/>
          </w:tcPr>
          <w:p>
            <w:pPr>
              <w:jc w:val="left"/>
            </w:pPr>
            <w:r/>
            <w:r>
              <w:rPr>
                <w:rFonts w:ascii="Times New Roman" w:hAnsi="Times New Roman" w:eastAsia="宋体"/>
                <w:b w:val="0"/>
                <w:sz w:val="20"/>
              </w:rPr>
              <w:t>中等</w:t>
            </w:r>
          </w:p>
        </w:tc>
      </w:tr>
      <w:tr>
        <w:tc>
          <w:tcPr>
            <w:tcW w:type="dxa" w:w="2268"/>
            <w:vAlign w:val="center"/>
          </w:tcPr>
          <w:p>
            <w:pPr>
              <w:jc w:val="left"/>
            </w:pPr>
            <w:r/>
            <w:r>
              <w:rPr>
                <w:rFonts w:ascii="Times New Roman" w:hAnsi="Times New Roman" w:eastAsia="宋体"/>
                <w:b w:val="0"/>
                <w:sz w:val="20"/>
              </w:rPr>
              <w:t>价升量缩 + 空头排列</w:t>
            </w:r>
          </w:p>
        </w:tc>
        <w:tc>
          <w:tcPr>
            <w:tcW w:type="dxa" w:w="1984"/>
            <w:vAlign w:val="center"/>
          </w:tcPr>
          <w:p>
            <w:pPr>
              <w:jc w:val="left"/>
            </w:pPr>
            <w:r/>
            <w:r>
              <w:rPr>
                <w:rFonts w:ascii="Times New Roman" w:hAnsi="Times New Roman" w:eastAsia="宋体"/>
                <w:b w:val="0"/>
                <w:sz w:val="20"/>
              </w:rPr>
              <w:t>弱反弹，无持续性</w:t>
            </w:r>
          </w:p>
        </w:tc>
        <w:tc>
          <w:tcPr>
            <w:tcW w:type="dxa" w:w="1134"/>
            <w:vAlign w:val="center"/>
          </w:tcPr>
          <w:p>
            <w:pPr>
              <w:jc w:val="left"/>
            </w:pPr>
            <w:r/>
            <w:r>
              <w:rPr>
                <w:rFonts w:ascii="Times New Roman" w:hAnsi="Times New Roman" w:eastAsia="宋体"/>
                <w:b w:val="0"/>
                <w:sz w:val="20"/>
              </w:rPr>
              <w:t>弱</w:t>
            </w:r>
          </w:p>
        </w:tc>
        <w:tc>
          <w:tcPr>
            <w:tcW w:type="dxa" w:w="1984"/>
            <w:vAlign w:val="center"/>
          </w:tcPr>
          <w:p>
            <w:pPr>
              <w:jc w:val="left"/>
            </w:pPr>
            <w:r/>
            <w:r>
              <w:rPr>
                <w:rFonts w:ascii="Times New Roman" w:hAnsi="Times New Roman" w:eastAsia="宋体"/>
                <w:b w:val="0"/>
                <w:sz w:val="20"/>
              </w:rPr>
              <w:t>反弹卖出</w:t>
            </w:r>
          </w:p>
        </w:tc>
        <w:tc>
          <w:tcPr>
            <w:tcW w:type="dxa" w:w="1134"/>
            <w:vAlign w:val="center"/>
          </w:tcPr>
          <w:p>
            <w:pPr>
              <w:jc w:val="left"/>
            </w:pPr>
            <w:r/>
            <w:r>
              <w:rPr>
                <w:rFonts w:ascii="Times New Roman" w:hAnsi="Times New Roman" w:eastAsia="宋体"/>
                <w:b w:val="0"/>
                <w:sz w:val="20"/>
              </w:rPr>
              <w:t>中高风险</w:t>
            </w:r>
          </w:p>
        </w:tc>
      </w:tr>
      <w:tr>
        <w:tc>
          <w:tcPr>
            <w:tcW w:type="dxa" w:w="2268"/>
            <w:vAlign w:val="center"/>
          </w:tcPr>
          <w:p>
            <w:pPr>
              <w:jc w:val="left"/>
            </w:pPr>
            <w:r/>
            <w:r>
              <w:rPr>
                <w:rFonts w:ascii="Times New Roman" w:hAnsi="Times New Roman" w:eastAsia="宋体"/>
                <w:b w:val="0"/>
                <w:sz w:val="20"/>
              </w:rPr>
              <w:t>价跌量缩 + 空头排列</w:t>
            </w:r>
          </w:p>
        </w:tc>
        <w:tc>
          <w:tcPr>
            <w:tcW w:type="dxa" w:w="1984"/>
            <w:vAlign w:val="center"/>
          </w:tcPr>
          <w:p>
            <w:pPr>
              <w:jc w:val="left"/>
            </w:pPr>
            <w:r/>
            <w:r>
              <w:rPr>
                <w:rFonts w:ascii="Times New Roman" w:hAnsi="Times New Roman" w:eastAsia="宋体"/>
                <w:b w:val="0"/>
                <w:sz w:val="20"/>
              </w:rPr>
              <w:t>阴跌走势</w:t>
            </w:r>
          </w:p>
        </w:tc>
        <w:tc>
          <w:tcPr>
            <w:tcW w:type="dxa" w:w="1134"/>
            <w:vAlign w:val="center"/>
          </w:tcPr>
          <w:p>
            <w:pPr>
              <w:jc w:val="left"/>
            </w:pPr>
            <w:r/>
            <w:r>
              <w:rPr>
                <w:rFonts w:ascii="Times New Roman" w:hAnsi="Times New Roman" w:eastAsia="宋体"/>
                <w:b w:val="0"/>
                <w:sz w:val="20"/>
              </w:rPr>
              <w:t>弱空头</w:t>
            </w:r>
          </w:p>
        </w:tc>
        <w:tc>
          <w:tcPr>
            <w:tcW w:type="dxa" w:w="1984"/>
            <w:vAlign w:val="center"/>
          </w:tcPr>
          <w:p>
            <w:pPr>
              <w:jc w:val="left"/>
            </w:pPr>
            <w:r/>
            <w:r>
              <w:rPr>
                <w:rFonts w:ascii="Times New Roman" w:hAnsi="Times New Roman" w:eastAsia="宋体"/>
                <w:b w:val="0"/>
                <w:sz w:val="20"/>
              </w:rPr>
              <w:t>不可抄底</w:t>
            </w:r>
          </w:p>
        </w:tc>
        <w:tc>
          <w:tcPr>
            <w:tcW w:type="dxa" w:w="1134"/>
            <w:vAlign w:val="center"/>
          </w:tcPr>
          <w:p>
            <w:pPr>
              <w:jc w:val="left"/>
            </w:pPr>
            <w:r/>
            <w:r>
              <w:rPr>
                <w:rFonts w:ascii="Times New Roman" w:hAnsi="Times New Roman" w:eastAsia="宋体"/>
                <w:b w:val="0"/>
                <w:sz w:val="20"/>
              </w:rPr>
              <w:t>高风险</w:t>
            </w:r>
          </w:p>
        </w:tc>
      </w:tr>
      <w:tr>
        <w:tc>
          <w:tcPr>
            <w:tcW w:type="dxa" w:w="2268"/>
            <w:vAlign w:val="center"/>
          </w:tcPr>
          <w:p>
            <w:pPr>
              <w:jc w:val="left"/>
            </w:pPr>
            <w:r/>
            <w:r>
              <w:rPr>
                <w:rFonts w:ascii="Times New Roman" w:hAnsi="Times New Roman" w:eastAsia="宋体"/>
                <w:b w:val="0"/>
                <w:sz w:val="20"/>
              </w:rPr>
              <w:t>价跌量增 + 空头排列</w:t>
            </w:r>
          </w:p>
        </w:tc>
        <w:tc>
          <w:tcPr>
            <w:tcW w:type="dxa" w:w="1984"/>
            <w:vAlign w:val="center"/>
          </w:tcPr>
          <w:p>
            <w:pPr>
              <w:jc w:val="left"/>
            </w:pPr>
            <w:r/>
            <w:r>
              <w:rPr>
                <w:rFonts w:ascii="Times New Roman" w:hAnsi="Times New Roman" w:eastAsia="宋体"/>
                <w:b w:val="0"/>
                <w:sz w:val="20"/>
              </w:rPr>
              <w:t>恐慌性抛售，最危险</w:t>
            </w:r>
          </w:p>
        </w:tc>
        <w:tc>
          <w:tcPr>
            <w:tcW w:type="dxa" w:w="1134"/>
            <w:vAlign w:val="center"/>
          </w:tcPr>
          <w:p>
            <w:pPr>
              <w:jc w:val="left"/>
            </w:pPr>
            <w:r/>
            <w:r>
              <w:rPr>
                <w:rFonts w:ascii="Times New Roman" w:hAnsi="Times New Roman" w:eastAsia="宋体"/>
                <w:b w:val="0"/>
                <w:sz w:val="20"/>
              </w:rPr>
              <w:t>极危险</w:t>
            </w:r>
          </w:p>
        </w:tc>
        <w:tc>
          <w:tcPr>
            <w:tcW w:type="dxa" w:w="1984"/>
            <w:vAlign w:val="center"/>
          </w:tcPr>
          <w:p>
            <w:pPr>
              <w:jc w:val="left"/>
            </w:pPr>
            <w:r/>
            <w:r>
              <w:rPr>
                <w:rFonts w:ascii="Times New Roman" w:hAnsi="Times New Roman" w:eastAsia="宋体"/>
                <w:b w:val="0"/>
                <w:sz w:val="20"/>
              </w:rPr>
              <w:t>远离，绝对空仓</w:t>
            </w:r>
          </w:p>
        </w:tc>
        <w:tc>
          <w:tcPr>
            <w:tcW w:type="dxa" w:w="1134"/>
            <w:vAlign w:val="center"/>
          </w:tcPr>
          <w:p>
            <w:pPr>
              <w:jc w:val="left"/>
            </w:pPr>
            <w:r/>
            <w:r>
              <w:rPr>
                <w:rFonts w:ascii="Times New Roman" w:hAnsi="Times New Roman" w:eastAsia="宋体"/>
                <w:b w:val="0"/>
                <w:sz w:val="20"/>
              </w:rPr>
              <w:t>极高风险</w:t>
            </w:r>
          </w:p>
        </w:tc>
      </w:tr>
    </w:tbl>
    <w:p>
      <w:pPr>
        <w:spacing w:before="280" w:after="160"/>
      </w:pPr>
      <w:r>
        <w:rPr>
          <w:rFonts w:ascii="Times New Roman" w:hAnsi="Times New Roman" w:eastAsia="微软雅黑"/>
          <w:b/>
          <w:color w:val="2E75B6"/>
          <w:sz w:val="26"/>
        </w:rPr>
        <w:t>9.3 成交量与均线信号的关键组合</w:t>
      </w:r>
    </w:p>
    <w:p>
      <w:pPr>
        <w:spacing w:before="200" w:after="120"/>
      </w:pPr>
      <w:r>
        <w:rPr>
          <w:rFonts w:ascii="Times New Roman" w:hAnsi="Times New Roman" w:eastAsia="微软雅黑"/>
          <w:b/>
          <w:color w:val="44546A"/>
          <w:sz w:val="24"/>
        </w:rPr>
        <w:t>9.3.1 金叉与成交量的四种组合</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835"/>
            <w:shd w:fill="2E75B6"/>
            <w:vAlign w:val="center"/>
          </w:tcPr>
          <w:p>
            <w:pPr>
              <w:jc w:val="center"/>
            </w:pPr>
            <w:r/>
            <w:r>
              <w:rPr>
                <w:rFonts w:ascii="Times New Roman" w:hAnsi="Times New Roman" w:eastAsia="微软雅黑"/>
                <w:b/>
                <w:color w:val="FFFFFF"/>
                <w:sz w:val="20"/>
              </w:rPr>
              <w:t>组合</w:t>
            </w:r>
          </w:p>
        </w:tc>
        <w:tc>
          <w:tcPr>
            <w:tcW w:type="dxa" w:w="2551"/>
            <w:shd w:fill="2E75B6"/>
            <w:vAlign w:val="center"/>
          </w:tcPr>
          <w:p>
            <w:pPr>
              <w:jc w:val="center"/>
            </w:pPr>
            <w:r/>
            <w:r>
              <w:rPr>
                <w:rFonts w:ascii="Times New Roman" w:hAnsi="Times New Roman" w:eastAsia="微软雅黑"/>
                <w:b/>
                <w:color w:val="FFFFFF"/>
                <w:sz w:val="20"/>
              </w:rPr>
              <w:t>信号判断</w:t>
            </w:r>
          </w:p>
        </w:tc>
        <w:tc>
          <w:tcPr>
            <w:tcW w:type="dxa" w:w="1134"/>
            <w:shd w:fill="2E75B6"/>
            <w:vAlign w:val="center"/>
          </w:tcPr>
          <w:p>
            <w:pPr>
              <w:jc w:val="center"/>
            </w:pPr>
            <w:r/>
            <w:r>
              <w:rPr>
                <w:rFonts w:ascii="Times New Roman" w:hAnsi="Times New Roman" w:eastAsia="微软雅黑"/>
                <w:b/>
                <w:color w:val="FFFFFF"/>
                <w:sz w:val="20"/>
              </w:rPr>
              <w:t>可靠性</w:t>
            </w:r>
          </w:p>
        </w:tc>
        <w:tc>
          <w:tcPr>
            <w:tcW w:type="dxa" w:w="2551"/>
            <w:shd w:fill="2E75B6"/>
            <w:vAlign w:val="center"/>
          </w:tcPr>
          <w:p>
            <w:pPr>
              <w:jc w:val="center"/>
            </w:pPr>
            <w:r/>
            <w:r>
              <w:rPr>
                <w:rFonts w:ascii="Times New Roman" w:hAnsi="Times New Roman" w:eastAsia="微软雅黑"/>
                <w:b/>
                <w:color w:val="FFFFFF"/>
                <w:sz w:val="20"/>
              </w:rPr>
              <w:t>操作建议</w:t>
            </w:r>
          </w:p>
        </w:tc>
      </w:tr>
      <w:tr>
        <w:tc>
          <w:tcPr>
            <w:tcW w:type="dxa" w:w="2835"/>
            <w:vAlign w:val="center"/>
          </w:tcPr>
          <w:p>
            <w:pPr>
              <w:jc w:val="left"/>
            </w:pPr>
            <w:r/>
            <w:r>
              <w:rPr>
                <w:rFonts w:ascii="Times New Roman" w:hAnsi="Times New Roman" w:eastAsia="宋体"/>
                <w:b w:val="0"/>
                <w:sz w:val="20"/>
              </w:rPr>
              <w:t>金叉 + 放量（&gt;1.5倍均量）</w:t>
            </w:r>
          </w:p>
        </w:tc>
        <w:tc>
          <w:tcPr>
            <w:tcW w:type="dxa" w:w="2551"/>
            <w:vAlign w:val="center"/>
          </w:tcPr>
          <w:p>
            <w:pPr>
              <w:jc w:val="left"/>
            </w:pPr>
            <w:r/>
            <w:r>
              <w:rPr>
                <w:rFonts w:ascii="Times New Roman" w:hAnsi="Times New Roman" w:eastAsia="宋体"/>
                <w:b w:val="0"/>
                <w:sz w:val="20"/>
              </w:rPr>
              <w:t>真金叉，资金认可</w:t>
            </w:r>
          </w:p>
        </w:tc>
        <w:tc>
          <w:tcPr>
            <w:tcW w:type="dxa" w:w="1134"/>
            <w:vAlign w:val="center"/>
          </w:tcPr>
          <w:p>
            <w:pPr>
              <w:jc w:val="left"/>
            </w:pPr>
            <w:r/>
            <w:r>
              <w:rPr>
                <w:rFonts w:ascii="Times New Roman" w:hAnsi="Times New Roman" w:eastAsia="宋体"/>
                <w:b w:val="0"/>
                <w:sz w:val="20"/>
              </w:rPr>
              <w:t>高</w:t>
            </w:r>
          </w:p>
        </w:tc>
        <w:tc>
          <w:tcPr>
            <w:tcW w:type="dxa" w:w="2551"/>
            <w:vAlign w:val="center"/>
          </w:tcPr>
          <w:p>
            <w:pPr>
              <w:jc w:val="left"/>
            </w:pPr>
            <w:r/>
            <w:r>
              <w:rPr>
                <w:rFonts w:ascii="Times New Roman" w:hAnsi="Times New Roman" w:eastAsia="宋体"/>
                <w:b w:val="0"/>
                <w:sz w:val="20"/>
              </w:rPr>
              <w:t>积极买入</w:t>
            </w:r>
          </w:p>
        </w:tc>
      </w:tr>
      <w:tr>
        <w:tc>
          <w:tcPr>
            <w:tcW w:type="dxa" w:w="2835"/>
            <w:vAlign w:val="center"/>
          </w:tcPr>
          <w:p>
            <w:pPr>
              <w:jc w:val="left"/>
            </w:pPr>
            <w:r/>
            <w:r>
              <w:rPr>
                <w:rFonts w:ascii="Times New Roman" w:hAnsi="Times New Roman" w:eastAsia="宋体"/>
                <w:b w:val="0"/>
                <w:sz w:val="20"/>
              </w:rPr>
              <w:t>金叉 + 缩量</w:t>
            </w:r>
          </w:p>
        </w:tc>
        <w:tc>
          <w:tcPr>
            <w:tcW w:type="dxa" w:w="2551"/>
            <w:vAlign w:val="center"/>
          </w:tcPr>
          <w:p>
            <w:pPr>
              <w:jc w:val="left"/>
            </w:pPr>
            <w:r/>
            <w:r>
              <w:rPr>
                <w:rFonts w:ascii="Times New Roman" w:hAnsi="Times New Roman" w:eastAsia="宋体"/>
                <w:b w:val="0"/>
                <w:sz w:val="20"/>
              </w:rPr>
              <w:t>假金叉可能性大</w:t>
            </w:r>
          </w:p>
        </w:tc>
        <w:tc>
          <w:tcPr>
            <w:tcW w:type="dxa" w:w="1134"/>
            <w:vAlign w:val="center"/>
          </w:tcPr>
          <w:p>
            <w:pPr>
              <w:jc w:val="left"/>
            </w:pPr>
            <w:r/>
            <w:r>
              <w:rPr>
                <w:rFonts w:ascii="Times New Roman" w:hAnsi="Times New Roman" w:eastAsia="宋体"/>
                <w:b w:val="0"/>
                <w:sz w:val="20"/>
              </w:rPr>
              <w:t>低</w:t>
            </w:r>
          </w:p>
        </w:tc>
        <w:tc>
          <w:tcPr>
            <w:tcW w:type="dxa" w:w="2551"/>
            <w:vAlign w:val="center"/>
          </w:tcPr>
          <w:p>
            <w:pPr>
              <w:jc w:val="left"/>
            </w:pPr>
            <w:r/>
            <w:r>
              <w:rPr>
                <w:rFonts w:ascii="Times New Roman" w:hAnsi="Times New Roman" w:eastAsia="宋体"/>
                <w:b w:val="0"/>
                <w:sz w:val="20"/>
              </w:rPr>
              <w:t>等待确认</w:t>
            </w:r>
          </w:p>
        </w:tc>
      </w:tr>
      <w:tr>
        <w:tc>
          <w:tcPr>
            <w:tcW w:type="dxa" w:w="2835"/>
            <w:vAlign w:val="center"/>
          </w:tcPr>
          <w:p>
            <w:pPr>
              <w:jc w:val="left"/>
            </w:pPr>
            <w:r/>
            <w:r>
              <w:rPr>
                <w:rFonts w:ascii="Times New Roman" w:hAnsi="Times New Roman" w:eastAsia="宋体"/>
                <w:b w:val="0"/>
                <w:sz w:val="20"/>
              </w:rPr>
              <w:t>金叉 + 巨量（&gt;3倍均量）</w:t>
            </w:r>
          </w:p>
        </w:tc>
        <w:tc>
          <w:tcPr>
            <w:tcW w:type="dxa" w:w="2551"/>
            <w:vAlign w:val="center"/>
          </w:tcPr>
          <w:p>
            <w:pPr>
              <w:jc w:val="left"/>
            </w:pPr>
            <w:r/>
            <w:r>
              <w:rPr>
                <w:rFonts w:ascii="Times New Roman" w:hAnsi="Times New Roman" w:eastAsia="宋体"/>
                <w:b w:val="0"/>
                <w:sz w:val="20"/>
              </w:rPr>
              <w:t>可能是主力诱多</w:t>
            </w:r>
          </w:p>
        </w:tc>
        <w:tc>
          <w:tcPr>
            <w:tcW w:type="dxa" w:w="1134"/>
            <w:vAlign w:val="center"/>
          </w:tcPr>
          <w:p>
            <w:pPr>
              <w:jc w:val="left"/>
            </w:pPr>
            <w:r/>
            <w:r>
              <w:rPr>
                <w:rFonts w:ascii="Times New Roman" w:hAnsi="Times New Roman" w:eastAsia="宋体"/>
                <w:b w:val="0"/>
                <w:sz w:val="20"/>
              </w:rPr>
              <w:t>警惕</w:t>
            </w:r>
          </w:p>
        </w:tc>
        <w:tc>
          <w:tcPr>
            <w:tcW w:type="dxa" w:w="2551"/>
            <w:vAlign w:val="center"/>
          </w:tcPr>
          <w:p>
            <w:pPr>
              <w:jc w:val="left"/>
            </w:pPr>
            <w:r/>
            <w:r>
              <w:rPr>
                <w:rFonts w:ascii="Times New Roman" w:hAnsi="Times New Roman" w:eastAsia="宋体"/>
                <w:b w:val="0"/>
                <w:sz w:val="20"/>
              </w:rPr>
              <w:t>小仓试探</w:t>
            </w:r>
          </w:p>
        </w:tc>
      </w:tr>
      <w:tr>
        <w:tc>
          <w:tcPr>
            <w:tcW w:type="dxa" w:w="2835"/>
            <w:vAlign w:val="center"/>
          </w:tcPr>
          <w:p>
            <w:pPr>
              <w:jc w:val="left"/>
            </w:pPr>
            <w:r/>
            <w:r>
              <w:rPr>
                <w:rFonts w:ascii="Times New Roman" w:hAnsi="Times New Roman" w:eastAsia="宋体"/>
                <w:b w:val="0"/>
                <w:sz w:val="20"/>
              </w:rPr>
              <w:t>连锁金叉 + 持续放量</w:t>
            </w:r>
          </w:p>
        </w:tc>
        <w:tc>
          <w:tcPr>
            <w:tcW w:type="dxa" w:w="2551"/>
            <w:vAlign w:val="center"/>
          </w:tcPr>
          <w:p>
            <w:pPr>
              <w:jc w:val="left"/>
            </w:pPr>
            <w:r/>
            <w:r>
              <w:rPr>
                <w:rFonts w:ascii="Times New Roman" w:hAnsi="Times New Roman" w:eastAsia="宋体"/>
                <w:b w:val="0"/>
                <w:sz w:val="20"/>
              </w:rPr>
              <w:t>主升浪启动</w:t>
            </w:r>
          </w:p>
        </w:tc>
        <w:tc>
          <w:tcPr>
            <w:tcW w:type="dxa" w:w="1134"/>
            <w:vAlign w:val="center"/>
          </w:tcPr>
          <w:p>
            <w:pPr>
              <w:jc w:val="left"/>
            </w:pPr>
            <w:r/>
            <w:r>
              <w:rPr>
                <w:rFonts w:ascii="Times New Roman" w:hAnsi="Times New Roman" w:eastAsia="宋体"/>
                <w:b w:val="0"/>
                <w:sz w:val="20"/>
              </w:rPr>
              <w:t>极高</w:t>
            </w:r>
          </w:p>
        </w:tc>
        <w:tc>
          <w:tcPr>
            <w:tcW w:type="dxa" w:w="2551"/>
            <w:vAlign w:val="center"/>
          </w:tcPr>
          <w:p>
            <w:pPr>
              <w:jc w:val="left"/>
            </w:pPr>
            <w:r/>
            <w:r>
              <w:rPr>
                <w:rFonts w:ascii="Times New Roman" w:hAnsi="Times New Roman" w:eastAsia="宋体"/>
                <w:b w:val="0"/>
                <w:sz w:val="20"/>
              </w:rPr>
              <w:t>果断重仓</w:t>
            </w:r>
          </w:p>
        </w:tc>
      </w:tr>
    </w:tbl>
    <w:p>
      <w:pPr>
        <w:spacing w:before="200" w:after="120"/>
      </w:pPr>
      <w:r>
        <w:rPr>
          <w:rFonts w:ascii="Times New Roman" w:hAnsi="Times New Roman" w:eastAsia="微软雅黑"/>
          <w:b/>
          <w:color w:val="44546A"/>
          <w:sz w:val="24"/>
        </w:rPr>
        <w:t>9.3.2 死叉与成交量的四种组合</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835"/>
            <w:shd w:fill="2E75B6"/>
            <w:vAlign w:val="center"/>
          </w:tcPr>
          <w:p>
            <w:pPr>
              <w:jc w:val="center"/>
            </w:pPr>
            <w:r/>
            <w:r>
              <w:rPr>
                <w:rFonts w:ascii="Times New Roman" w:hAnsi="Times New Roman" w:eastAsia="微软雅黑"/>
                <w:b/>
                <w:color w:val="FFFFFF"/>
                <w:sz w:val="20"/>
              </w:rPr>
              <w:t>组合</w:t>
            </w:r>
          </w:p>
        </w:tc>
        <w:tc>
          <w:tcPr>
            <w:tcW w:type="dxa" w:w="2551"/>
            <w:shd w:fill="2E75B6"/>
            <w:vAlign w:val="center"/>
          </w:tcPr>
          <w:p>
            <w:pPr>
              <w:jc w:val="center"/>
            </w:pPr>
            <w:r/>
            <w:r>
              <w:rPr>
                <w:rFonts w:ascii="Times New Roman" w:hAnsi="Times New Roman" w:eastAsia="微软雅黑"/>
                <w:b/>
                <w:color w:val="FFFFFF"/>
                <w:sz w:val="20"/>
              </w:rPr>
              <w:t>信号判断</w:t>
            </w:r>
          </w:p>
        </w:tc>
        <w:tc>
          <w:tcPr>
            <w:tcW w:type="dxa" w:w="1134"/>
            <w:shd w:fill="2E75B6"/>
            <w:vAlign w:val="center"/>
          </w:tcPr>
          <w:p>
            <w:pPr>
              <w:jc w:val="center"/>
            </w:pPr>
            <w:r/>
            <w:r>
              <w:rPr>
                <w:rFonts w:ascii="Times New Roman" w:hAnsi="Times New Roman" w:eastAsia="微软雅黑"/>
                <w:b/>
                <w:color w:val="FFFFFF"/>
                <w:sz w:val="20"/>
              </w:rPr>
              <w:t>可靠性</w:t>
            </w:r>
          </w:p>
        </w:tc>
        <w:tc>
          <w:tcPr>
            <w:tcW w:type="dxa" w:w="2551"/>
            <w:shd w:fill="2E75B6"/>
            <w:vAlign w:val="center"/>
          </w:tcPr>
          <w:p>
            <w:pPr>
              <w:jc w:val="center"/>
            </w:pPr>
            <w:r/>
            <w:r>
              <w:rPr>
                <w:rFonts w:ascii="Times New Roman" w:hAnsi="Times New Roman" w:eastAsia="微软雅黑"/>
                <w:b/>
                <w:color w:val="FFFFFF"/>
                <w:sz w:val="20"/>
              </w:rPr>
              <w:t>操作建议</w:t>
            </w:r>
          </w:p>
        </w:tc>
      </w:tr>
      <w:tr>
        <w:tc>
          <w:tcPr>
            <w:tcW w:type="dxa" w:w="2835"/>
            <w:vAlign w:val="center"/>
          </w:tcPr>
          <w:p>
            <w:pPr>
              <w:jc w:val="left"/>
            </w:pPr>
            <w:r/>
            <w:r>
              <w:rPr>
                <w:rFonts w:ascii="Times New Roman" w:hAnsi="Times New Roman" w:eastAsia="宋体"/>
                <w:b w:val="0"/>
                <w:sz w:val="20"/>
              </w:rPr>
              <w:t>死叉 + 放量</w:t>
            </w:r>
          </w:p>
        </w:tc>
        <w:tc>
          <w:tcPr>
            <w:tcW w:type="dxa" w:w="2551"/>
            <w:vAlign w:val="center"/>
          </w:tcPr>
          <w:p>
            <w:pPr>
              <w:jc w:val="left"/>
            </w:pPr>
            <w:r/>
            <w:r>
              <w:rPr>
                <w:rFonts w:ascii="Times New Roman" w:hAnsi="Times New Roman" w:eastAsia="宋体"/>
                <w:b w:val="0"/>
                <w:sz w:val="20"/>
              </w:rPr>
              <w:t>真死叉，资金出逃</w:t>
            </w:r>
          </w:p>
        </w:tc>
        <w:tc>
          <w:tcPr>
            <w:tcW w:type="dxa" w:w="1134"/>
            <w:vAlign w:val="center"/>
          </w:tcPr>
          <w:p>
            <w:pPr>
              <w:jc w:val="left"/>
            </w:pPr>
            <w:r/>
            <w:r>
              <w:rPr>
                <w:rFonts w:ascii="Times New Roman" w:hAnsi="Times New Roman" w:eastAsia="宋体"/>
                <w:b w:val="0"/>
                <w:sz w:val="20"/>
              </w:rPr>
              <w:t>高</w:t>
            </w:r>
          </w:p>
        </w:tc>
        <w:tc>
          <w:tcPr>
            <w:tcW w:type="dxa" w:w="2551"/>
            <w:vAlign w:val="center"/>
          </w:tcPr>
          <w:p>
            <w:pPr>
              <w:jc w:val="left"/>
            </w:pPr>
            <w:r/>
            <w:r>
              <w:rPr>
                <w:rFonts w:ascii="Times New Roman" w:hAnsi="Times New Roman" w:eastAsia="宋体"/>
                <w:b w:val="0"/>
                <w:sz w:val="20"/>
              </w:rPr>
              <w:t>立即卖出</w:t>
            </w:r>
          </w:p>
        </w:tc>
      </w:tr>
      <w:tr>
        <w:tc>
          <w:tcPr>
            <w:tcW w:type="dxa" w:w="2835"/>
            <w:vAlign w:val="center"/>
          </w:tcPr>
          <w:p>
            <w:pPr>
              <w:jc w:val="left"/>
            </w:pPr>
            <w:r/>
            <w:r>
              <w:rPr>
                <w:rFonts w:ascii="Times New Roman" w:hAnsi="Times New Roman" w:eastAsia="宋体"/>
                <w:b w:val="0"/>
                <w:sz w:val="20"/>
              </w:rPr>
              <w:t>死叉 + 缩量</w:t>
            </w:r>
          </w:p>
        </w:tc>
        <w:tc>
          <w:tcPr>
            <w:tcW w:type="dxa" w:w="2551"/>
            <w:vAlign w:val="center"/>
          </w:tcPr>
          <w:p>
            <w:pPr>
              <w:jc w:val="left"/>
            </w:pPr>
            <w:r/>
            <w:r>
              <w:rPr>
                <w:rFonts w:ascii="Times New Roman" w:hAnsi="Times New Roman" w:eastAsia="宋体"/>
                <w:b w:val="0"/>
                <w:sz w:val="20"/>
              </w:rPr>
              <w:t>可能是洗盘</w:t>
            </w:r>
          </w:p>
        </w:tc>
        <w:tc>
          <w:tcPr>
            <w:tcW w:type="dxa" w:w="1134"/>
            <w:vAlign w:val="center"/>
          </w:tcPr>
          <w:p>
            <w:pPr>
              <w:jc w:val="left"/>
            </w:pPr>
            <w:r/>
            <w:r>
              <w:rPr>
                <w:rFonts w:ascii="Times New Roman" w:hAnsi="Times New Roman" w:eastAsia="宋体"/>
                <w:b w:val="0"/>
                <w:sz w:val="20"/>
              </w:rPr>
              <w:t>中</w:t>
            </w:r>
          </w:p>
        </w:tc>
        <w:tc>
          <w:tcPr>
            <w:tcW w:type="dxa" w:w="2551"/>
            <w:vAlign w:val="center"/>
          </w:tcPr>
          <w:p>
            <w:pPr>
              <w:jc w:val="left"/>
            </w:pPr>
            <w:r/>
            <w:r>
              <w:rPr>
                <w:rFonts w:ascii="Times New Roman" w:hAnsi="Times New Roman" w:eastAsia="宋体"/>
                <w:b w:val="0"/>
                <w:sz w:val="20"/>
              </w:rPr>
              <w:t>短线持有观察</w:t>
            </w:r>
          </w:p>
        </w:tc>
      </w:tr>
      <w:tr>
        <w:tc>
          <w:tcPr>
            <w:tcW w:type="dxa" w:w="2835"/>
            <w:vAlign w:val="center"/>
          </w:tcPr>
          <w:p>
            <w:pPr>
              <w:jc w:val="left"/>
            </w:pPr>
            <w:r/>
            <w:r>
              <w:rPr>
                <w:rFonts w:ascii="Times New Roman" w:hAnsi="Times New Roman" w:eastAsia="宋体"/>
                <w:b w:val="0"/>
                <w:sz w:val="20"/>
              </w:rPr>
              <w:t>死叉 + 巨量</w:t>
            </w:r>
          </w:p>
        </w:tc>
        <w:tc>
          <w:tcPr>
            <w:tcW w:type="dxa" w:w="2551"/>
            <w:vAlign w:val="center"/>
          </w:tcPr>
          <w:p>
            <w:pPr>
              <w:jc w:val="left"/>
            </w:pPr>
            <w:r/>
            <w:r>
              <w:rPr>
                <w:rFonts w:ascii="Times New Roman" w:hAnsi="Times New Roman" w:eastAsia="宋体"/>
                <w:b w:val="0"/>
                <w:sz w:val="20"/>
              </w:rPr>
              <w:t>主力出货完毕</w:t>
            </w:r>
          </w:p>
        </w:tc>
        <w:tc>
          <w:tcPr>
            <w:tcW w:type="dxa" w:w="1134"/>
            <w:vAlign w:val="center"/>
          </w:tcPr>
          <w:p>
            <w:pPr>
              <w:jc w:val="left"/>
            </w:pPr>
            <w:r/>
            <w:r>
              <w:rPr>
                <w:rFonts w:ascii="Times New Roman" w:hAnsi="Times New Roman" w:eastAsia="宋体"/>
                <w:b w:val="0"/>
                <w:sz w:val="20"/>
              </w:rPr>
              <w:t>极高</w:t>
            </w:r>
          </w:p>
        </w:tc>
        <w:tc>
          <w:tcPr>
            <w:tcW w:type="dxa" w:w="2551"/>
            <w:vAlign w:val="center"/>
          </w:tcPr>
          <w:p>
            <w:pPr>
              <w:jc w:val="left"/>
            </w:pPr>
            <w:r/>
            <w:r>
              <w:rPr>
                <w:rFonts w:ascii="Times New Roman" w:hAnsi="Times New Roman" w:eastAsia="宋体"/>
                <w:b w:val="0"/>
                <w:sz w:val="20"/>
              </w:rPr>
              <w:t>绝对清仓</w:t>
            </w:r>
          </w:p>
        </w:tc>
      </w:tr>
      <w:tr>
        <w:tc>
          <w:tcPr>
            <w:tcW w:type="dxa" w:w="2835"/>
            <w:vAlign w:val="center"/>
          </w:tcPr>
          <w:p>
            <w:pPr>
              <w:jc w:val="left"/>
            </w:pPr>
            <w:r/>
            <w:r>
              <w:rPr>
                <w:rFonts w:ascii="Times New Roman" w:hAnsi="Times New Roman" w:eastAsia="宋体"/>
                <w:b w:val="0"/>
                <w:sz w:val="20"/>
              </w:rPr>
              <w:t>连锁死叉 + 持续放量</w:t>
            </w:r>
          </w:p>
        </w:tc>
        <w:tc>
          <w:tcPr>
            <w:tcW w:type="dxa" w:w="2551"/>
            <w:vAlign w:val="center"/>
          </w:tcPr>
          <w:p>
            <w:pPr>
              <w:jc w:val="left"/>
            </w:pPr>
            <w:r/>
            <w:r>
              <w:rPr>
                <w:rFonts w:ascii="Times New Roman" w:hAnsi="Times New Roman" w:eastAsia="宋体"/>
                <w:b w:val="0"/>
                <w:sz w:val="20"/>
              </w:rPr>
              <w:t>主跌浪启动</w:t>
            </w:r>
          </w:p>
        </w:tc>
        <w:tc>
          <w:tcPr>
            <w:tcW w:type="dxa" w:w="1134"/>
            <w:vAlign w:val="center"/>
          </w:tcPr>
          <w:p>
            <w:pPr>
              <w:jc w:val="left"/>
            </w:pPr>
            <w:r/>
            <w:r>
              <w:rPr>
                <w:rFonts w:ascii="Times New Roman" w:hAnsi="Times New Roman" w:eastAsia="宋体"/>
                <w:b w:val="0"/>
                <w:sz w:val="20"/>
              </w:rPr>
              <w:t>极高</w:t>
            </w:r>
          </w:p>
        </w:tc>
        <w:tc>
          <w:tcPr>
            <w:tcW w:type="dxa" w:w="2551"/>
            <w:vAlign w:val="center"/>
          </w:tcPr>
          <w:p>
            <w:pPr>
              <w:jc w:val="left"/>
            </w:pPr>
            <w:r/>
            <w:r>
              <w:rPr>
                <w:rFonts w:ascii="Times New Roman" w:hAnsi="Times New Roman" w:eastAsia="宋体"/>
                <w:b w:val="0"/>
                <w:sz w:val="20"/>
              </w:rPr>
              <w:t>规避风险</w:t>
            </w:r>
          </w:p>
        </w:tc>
      </w:tr>
    </w:tbl>
    <w:p>
      <w:pPr>
        <w:spacing w:before="280" w:after="160"/>
      </w:pPr>
      <w:r>
        <w:rPr>
          <w:rFonts w:ascii="Times New Roman" w:hAnsi="Times New Roman" w:eastAsia="微软雅黑"/>
          <w:b/>
          <w:color w:val="2E75B6"/>
          <w:sz w:val="26"/>
        </w:rPr>
        <w:t>9.4 量比与均线结合的实战应用</w:t>
      </w:r>
    </w:p>
    <w:p>
      <w:pPr>
        <w:spacing w:line="360" w:lineRule="auto" w:after="80"/>
        <w:ind w:firstLine="440"/>
      </w:pPr>
      <w:r>
        <w:rPr>
          <w:rFonts w:ascii="Times New Roman" w:hAnsi="Times New Roman" w:eastAsia="宋体"/>
          <w:b w:val="0"/>
          <w:sz w:val="22"/>
        </w:rPr>
        <w:t>量比 = 当日总手 / (近N日均量比例)。量比&gt;1表示放量，量比&lt;1表示缩量。</w:t>
      </w:r>
    </w:p>
    <w:p>
      <w:pPr>
        <w:spacing w:line="360" w:lineRule="auto" w:after="80"/>
        <w:ind w:firstLine="440"/>
      </w:pPr>
      <w:r>
        <w:rPr>
          <w:rFonts w:ascii="Times New Roman" w:hAnsi="Times New Roman" w:eastAsia="宋体"/>
          <w:b w:val="0"/>
          <w:sz w:val="22"/>
        </w:rPr>
        <w:t>实战应用：</w:t>
      </w:r>
    </w:p>
    <w:p>
      <w:pPr>
        <w:spacing w:line="360" w:lineRule="auto" w:after="80"/>
        <w:ind w:firstLine="440"/>
      </w:pPr>
      <w:r>
        <w:rPr>
          <w:rFonts w:ascii="Times New Roman" w:hAnsi="Times New Roman" w:eastAsia="宋体"/>
          <w:b w:val="0"/>
          <w:sz w:val="22"/>
        </w:rPr>
        <w:t>• 多头排列 + 量比&gt;1.5：强势股特征，可追涨</w:t>
      </w:r>
    </w:p>
    <w:p>
      <w:pPr>
        <w:spacing w:line="360" w:lineRule="auto" w:after="80"/>
        <w:ind w:firstLine="440"/>
      </w:pPr>
      <w:r>
        <w:rPr>
          <w:rFonts w:ascii="Times New Roman" w:hAnsi="Times New Roman" w:eastAsia="宋体"/>
          <w:b w:val="0"/>
          <w:sz w:val="22"/>
        </w:rPr>
        <w:t>• 多头排列 + 量比&lt;0.7：健康调整，可低吸</w:t>
      </w:r>
    </w:p>
    <w:p>
      <w:pPr>
        <w:spacing w:line="360" w:lineRule="auto" w:after="80"/>
        <w:ind w:firstLine="440"/>
      </w:pPr>
      <w:r>
        <w:rPr>
          <w:rFonts w:ascii="Times New Roman" w:hAnsi="Times New Roman" w:eastAsia="宋体"/>
          <w:b w:val="0"/>
          <w:sz w:val="22"/>
        </w:rPr>
        <w:t>• 空头排列 + 量比&gt;1.5：警惕恐慌性抛售</w:t>
      </w:r>
    </w:p>
    <w:p>
      <w:pPr>
        <w:spacing w:line="360" w:lineRule="auto" w:after="80"/>
        <w:ind w:firstLine="440"/>
      </w:pPr>
      <w:r>
        <w:rPr>
          <w:rFonts w:ascii="Times New Roman" w:hAnsi="Times New Roman" w:eastAsia="宋体"/>
          <w:b w:val="0"/>
          <w:sz w:val="22"/>
        </w:rPr>
        <w:t>• 空头排列 + 量比&lt;0.7：阴跌继续，不要抄底</w:t>
      </w:r>
    </w:p>
    <w:p>
      <w:r>
        <w:br w:type="page"/>
      </w:r>
    </w:p>
    <w:p>
      <w:pPr>
        <w:spacing w:before="400" w:after="240"/>
      </w:pPr>
      <w:r>
        <w:rPr>
          <w:rFonts w:ascii="Times New Roman" w:hAnsi="Times New Roman" w:eastAsia="微软雅黑"/>
          <w:b/>
          <w:color w:val="1F4E78"/>
          <w:sz w:val="32"/>
        </w:rPr>
        <w:t>第十章  实战买卖点规则汇总</w:t>
      </w:r>
    </w:p>
    <w:p>
      <w:pPr>
        <w:spacing w:line="360" w:lineRule="auto" w:after="80"/>
        <w:ind w:firstLine="440"/>
      </w:pPr>
      <w:r>
        <w:rPr>
          <w:rFonts w:ascii="Times New Roman" w:hAnsi="Times New Roman" w:eastAsia="宋体"/>
          <w:b w:val="0"/>
          <w:sz w:val="22"/>
        </w:rPr>
        <w:t>本章将前述所有买卖信号按照可靠性由强到弱统一汇总，供实战参考。</w:t>
      </w:r>
    </w:p>
    <w:p>
      <w:pPr>
        <w:spacing w:before="280" w:after="160"/>
      </w:pPr>
      <w:r>
        <w:rPr>
          <w:rFonts w:ascii="Times New Roman" w:hAnsi="Times New Roman" w:eastAsia="微软雅黑"/>
          <w:b/>
          <w:color w:val="2E75B6"/>
          <w:sz w:val="26"/>
        </w:rPr>
        <w:t>10.1 买入规则汇总（由强到弱）</w:t>
      </w:r>
    </w:p>
    <w:p>
      <w:pPr>
        <w:spacing w:before="200" w:after="120"/>
      </w:pPr>
      <w:r>
        <w:rPr>
          <w:rFonts w:ascii="Times New Roman" w:hAnsi="Times New Roman" w:eastAsia="微软雅黑"/>
          <w:b/>
          <w:color w:val="44546A"/>
          <w:sz w:val="24"/>
        </w:rPr>
        <w:t>10.1.1 最强买入信号（四大金牌买点）</w:t>
      </w:r>
    </w:p>
    <w:p>
      <w:pPr>
        <w:spacing w:line="360" w:lineRule="auto" w:after="80"/>
        <w:ind w:firstLine="440"/>
      </w:pPr>
      <w:r>
        <w:rPr>
          <w:rFonts w:ascii="Times New Roman" w:hAnsi="Times New Roman" w:eastAsia="宋体"/>
          <w:b/>
          <w:color w:val="C00000"/>
          <w:sz w:val="22"/>
        </w:rPr>
        <w:t>【信号一】完整多头排列 + 股价回踩MA20获支撑 + 成交量温和放大</w:t>
      </w:r>
    </w:p>
    <w:p>
      <w:pPr>
        <w:spacing w:line="360" w:lineRule="auto" w:after="80"/>
        <w:ind w:firstLine="440"/>
      </w:pPr>
      <w:r>
        <w:rPr>
          <w:rFonts w:ascii="Times New Roman" w:hAnsi="Times New Roman" w:eastAsia="宋体"/>
          <w:b w:val="0"/>
          <w:sz w:val="22"/>
        </w:rPr>
        <w:t>这是最可靠的买入信号，成功率极高。条件要求：MA5&gt;MA10&gt;MA20&gt;MA60&gt;MA120均向上，股价回踩MA20止跌，且成交量在支撑位温和放大（0.8-1.2倍均量）。</w:t>
      </w:r>
    </w:p>
    <w:p>
      <w:pPr>
        <w:spacing w:line="360" w:lineRule="auto" w:after="80"/>
        <w:ind w:firstLine="440"/>
      </w:pPr>
      <w:r>
        <w:rPr>
          <w:rFonts w:ascii="Times New Roman" w:hAnsi="Times New Roman" w:eastAsia="宋体"/>
          <w:b w:val="0"/>
          <w:sz w:val="22"/>
        </w:rPr>
        <w:t>止损：MA60下方3%。</w:t>
      </w:r>
    </w:p>
    <w:p>
      <w:pPr>
        <w:spacing w:line="360" w:lineRule="auto" w:after="80"/>
        <w:ind w:firstLine="440"/>
      </w:pPr>
      <w:r>
        <w:rPr>
          <w:rFonts w:ascii="Times New Roman" w:hAnsi="Times New Roman" w:eastAsia="宋体"/>
          <w:b/>
          <w:color w:val="C00000"/>
          <w:sz w:val="22"/>
        </w:rPr>
        <w:t>【信号二】连锁金叉（多条均线同时金叉）</w:t>
      </w:r>
    </w:p>
    <w:p>
      <w:pPr>
        <w:spacing w:line="360" w:lineRule="auto" w:after="80"/>
        <w:ind w:firstLine="440"/>
      </w:pPr>
      <w:r>
        <w:rPr>
          <w:rFonts w:ascii="Times New Roman" w:hAnsi="Times New Roman" w:eastAsia="宋体"/>
          <w:b w:val="0"/>
          <w:sz w:val="22"/>
        </w:rPr>
        <w:t>当MA10与MA20金叉的同时MA20与MA60也在金叉（或接连几日内形成），意味着多个时间维度同时转向多头，信号极为可靠。</w:t>
      </w:r>
    </w:p>
    <w:p>
      <w:pPr>
        <w:spacing w:line="360" w:lineRule="auto" w:after="80"/>
        <w:ind w:firstLine="440"/>
      </w:pPr>
      <w:r>
        <w:rPr>
          <w:rFonts w:ascii="Times New Roman" w:hAnsi="Times New Roman" w:eastAsia="宋体"/>
          <w:b w:val="0"/>
          <w:sz w:val="22"/>
        </w:rPr>
        <w:t>止损：最低价下方3%。</w:t>
      </w:r>
    </w:p>
    <w:p>
      <w:pPr>
        <w:spacing w:line="360" w:lineRule="auto" w:after="80"/>
        <w:ind w:firstLine="440"/>
      </w:pPr>
      <w:r>
        <w:rPr>
          <w:rFonts w:ascii="Times New Roman" w:hAnsi="Times New Roman" w:eastAsia="宋体"/>
          <w:b/>
          <w:color w:val="C00000"/>
          <w:sz w:val="22"/>
        </w:rPr>
        <w:t>【信号三】三线开花形成</w:t>
      </w:r>
    </w:p>
    <w:p>
      <w:pPr>
        <w:spacing w:line="360" w:lineRule="auto" w:after="80"/>
        <w:ind w:firstLine="440"/>
      </w:pPr>
      <w:r>
        <w:rPr>
          <w:rFonts w:ascii="Times New Roman" w:hAnsi="Times New Roman" w:eastAsia="宋体"/>
          <w:b w:val="0"/>
          <w:sz w:val="22"/>
        </w:rPr>
        <w:t>20日、50日、120日均线完成三线开花形态，成功率在90%以上，历史回测显示可获30%-300%收益。</w:t>
      </w:r>
    </w:p>
    <w:p>
      <w:pPr>
        <w:spacing w:line="360" w:lineRule="auto" w:after="80"/>
        <w:ind w:firstLine="440"/>
      </w:pPr>
      <w:r>
        <w:rPr>
          <w:rFonts w:ascii="Times New Roman" w:hAnsi="Times New Roman" w:eastAsia="宋体"/>
          <w:b w:val="0"/>
          <w:sz w:val="22"/>
        </w:rPr>
        <w:t>止损：形态最低点下方。</w:t>
      </w:r>
    </w:p>
    <w:p>
      <w:pPr>
        <w:spacing w:line="360" w:lineRule="auto" w:after="80"/>
        <w:ind w:firstLine="440"/>
      </w:pPr>
      <w:r>
        <w:rPr>
          <w:rFonts w:ascii="Times New Roman" w:hAnsi="Times New Roman" w:eastAsia="宋体"/>
          <w:b/>
          <w:color w:val="C00000"/>
          <w:sz w:val="22"/>
        </w:rPr>
        <w:t>【信号四】长期均线（MA120或MA250）首次支撑成功</w:t>
      </w:r>
    </w:p>
    <w:p>
      <w:pPr>
        <w:spacing w:line="360" w:lineRule="auto" w:after="80"/>
        <w:ind w:firstLine="440"/>
      </w:pPr>
      <w:r>
        <w:rPr>
          <w:rFonts w:ascii="Times New Roman" w:hAnsi="Times New Roman" w:eastAsia="宋体"/>
          <w:b w:val="0"/>
          <w:sz w:val="22"/>
        </w:rPr>
        <w:t>股价在长期下跌后首次回踩MA120或MA250获得有效支撑，是战略性的底部买入机会。</w:t>
      </w:r>
    </w:p>
    <w:p>
      <w:pPr>
        <w:spacing w:line="360" w:lineRule="auto" w:after="80"/>
        <w:ind w:firstLine="440"/>
      </w:pPr>
      <w:r>
        <w:rPr>
          <w:rFonts w:ascii="Times New Roman" w:hAnsi="Times New Roman" w:eastAsia="宋体"/>
          <w:b w:val="0"/>
          <w:sz w:val="22"/>
        </w:rPr>
        <w:t>止损：MA250下方5%。</w:t>
      </w:r>
    </w:p>
    <w:p>
      <w:pPr>
        <w:spacing w:before="200" w:after="120"/>
      </w:pPr>
      <w:r>
        <w:rPr>
          <w:rFonts w:ascii="Times New Roman" w:hAnsi="Times New Roman" w:eastAsia="微软雅黑"/>
          <w:b/>
          <w:color w:val="44546A"/>
          <w:sz w:val="24"/>
        </w:rPr>
        <w:t>10.1.2 较强买入信号（三大银牌买点）</w:t>
      </w:r>
    </w:p>
    <w:p>
      <w:pPr>
        <w:spacing w:line="360" w:lineRule="auto" w:after="80"/>
        <w:ind w:firstLine="440"/>
      </w:pPr>
      <w:r>
        <w:rPr>
          <w:rFonts w:ascii="Times New Roman" w:hAnsi="Times New Roman" w:eastAsia="宋体"/>
          <w:b/>
          <w:sz w:val="22"/>
        </w:rPr>
        <w:t>【信号五】金叉 + 多头排列</w:t>
      </w:r>
    </w:p>
    <w:p>
      <w:pPr>
        <w:spacing w:line="360" w:lineRule="auto" w:after="80"/>
        <w:ind w:firstLine="440"/>
      </w:pPr>
      <w:r>
        <w:rPr>
          <w:rFonts w:ascii="Times New Roman" w:hAnsi="Times New Roman" w:eastAsia="宋体"/>
          <w:b w:val="0"/>
          <w:sz w:val="22"/>
        </w:rPr>
        <w:t>短期均线形成金叉，同时中长期均线保持多头排列，表明短期回调结束、上升趋势恢复。</w:t>
      </w:r>
    </w:p>
    <w:p>
      <w:pPr>
        <w:spacing w:line="360" w:lineRule="auto" w:after="80"/>
        <w:ind w:firstLine="440"/>
      </w:pPr>
      <w:r>
        <w:rPr>
          <w:rFonts w:ascii="Times New Roman" w:hAnsi="Times New Roman" w:eastAsia="宋体"/>
          <w:b/>
          <w:sz w:val="22"/>
        </w:rPr>
        <w:t>【信号六】均线粘合后向上突破</w:t>
      </w:r>
    </w:p>
    <w:p>
      <w:pPr>
        <w:spacing w:line="360" w:lineRule="auto" w:after="80"/>
        <w:ind w:firstLine="440"/>
      </w:pPr>
      <w:r>
        <w:rPr>
          <w:rFonts w:ascii="Times New Roman" w:hAnsi="Times New Roman" w:eastAsia="宋体"/>
          <w:b w:val="0"/>
          <w:sz w:val="22"/>
        </w:rPr>
        <w:t>多条均线粘合后选择向上突破，成交量配合放大，是新一轮上涨的起点。</w:t>
      </w:r>
    </w:p>
    <w:p>
      <w:pPr>
        <w:spacing w:line="360" w:lineRule="auto" w:after="80"/>
        <w:ind w:firstLine="440"/>
      </w:pPr>
      <w:r>
        <w:rPr>
          <w:rFonts w:ascii="Times New Roman" w:hAnsi="Times New Roman" w:eastAsia="宋体"/>
          <w:b/>
          <w:sz w:val="22"/>
        </w:rPr>
        <w:t>【信号七】金山谷形成</w:t>
      </w:r>
    </w:p>
    <w:p>
      <w:pPr>
        <w:spacing w:line="360" w:lineRule="auto" w:after="80"/>
        <w:ind w:firstLine="440"/>
      </w:pPr>
      <w:r>
        <w:rPr>
          <w:rFonts w:ascii="Times New Roman" w:hAnsi="Times New Roman" w:eastAsia="宋体"/>
          <w:b w:val="0"/>
          <w:sz w:val="22"/>
        </w:rPr>
        <w:t>继银山谷之后出现的第二个均线交叉三角形区域，经过回踩确认，可靠性高。</w:t>
      </w:r>
    </w:p>
    <w:p>
      <w:pPr>
        <w:spacing w:before="200" w:after="120"/>
      </w:pPr>
      <w:r>
        <w:rPr>
          <w:rFonts w:ascii="Times New Roman" w:hAnsi="Times New Roman" w:eastAsia="微软雅黑"/>
          <w:b/>
          <w:color w:val="44546A"/>
          <w:sz w:val="24"/>
        </w:rPr>
        <w:t>10.1.3 一般买入信号（三大铜牌买点）</w:t>
      </w:r>
    </w:p>
    <w:p>
      <w:pPr>
        <w:spacing w:line="360" w:lineRule="auto" w:after="80"/>
        <w:ind w:firstLine="440"/>
      </w:pPr>
      <w:r>
        <w:rPr>
          <w:rFonts w:ascii="Times New Roman" w:hAnsi="Times New Roman" w:eastAsia="宋体"/>
          <w:b/>
          <w:sz w:val="22"/>
        </w:rPr>
        <w:t>【信号八】短期金叉（MA5金叉MA10）</w:t>
      </w:r>
    </w:p>
    <w:p>
      <w:pPr>
        <w:spacing w:line="360" w:lineRule="auto" w:after="80"/>
        <w:ind w:firstLine="440"/>
      </w:pPr>
      <w:r>
        <w:rPr>
          <w:rFonts w:ascii="Times New Roman" w:hAnsi="Times New Roman" w:eastAsia="宋体"/>
          <w:b w:val="0"/>
          <w:sz w:val="22"/>
        </w:rPr>
        <w:t>信号灵敏但可靠性一般，适合配合其他指标使用。</w:t>
      </w:r>
    </w:p>
    <w:p>
      <w:pPr>
        <w:spacing w:line="360" w:lineRule="auto" w:after="80"/>
        <w:ind w:firstLine="440"/>
      </w:pPr>
      <w:r>
        <w:rPr>
          <w:rFonts w:ascii="Times New Roman" w:hAnsi="Times New Roman" w:eastAsia="宋体"/>
          <w:b/>
          <w:sz w:val="22"/>
        </w:rPr>
        <w:t>【信号九】股价跌破短期均线后快速收复（假跌破）</w:t>
      </w:r>
    </w:p>
    <w:p>
      <w:pPr>
        <w:spacing w:line="360" w:lineRule="auto" w:after="80"/>
        <w:ind w:firstLine="440"/>
      </w:pPr>
      <w:r>
        <w:rPr>
          <w:rFonts w:ascii="Times New Roman" w:hAnsi="Times New Roman" w:eastAsia="宋体"/>
          <w:b w:val="0"/>
          <w:sz w:val="22"/>
        </w:rPr>
        <w:t>通常是主力洗盘行为，后续上涨概率较高。</w:t>
      </w:r>
    </w:p>
    <w:p>
      <w:pPr>
        <w:spacing w:line="360" w:lineRule="auto" w:after="80"/>
        <w:ind w:firstLine="440"/>
      </w:pPr>
      <w:r>
        <w:rPr>
          <w:rFonts w:ascii="Times New Roman" w:hAnsi="Times New Roman" w:eastAsia="宋体"/>
          <w:b/>
          <w:sz w:val="22"/>
        </w:rPr>
        <w:t>【信号十】负乖离率过大后的超跌反弹</w:t>
      </w:r>
    </w:p>
    <w:p>
      <w:pPr>
        <w:spacing w:line="360" w:lineRule="auto" w:after="80"/>
        <w:ind w:firstLine="440"/>
      </w:pPr>
      <w:r>
        <w:rPr>
          <w:rFonts w:ascii="Times New Roman" w:hAnsi="Times New Roman" w:eastAsia="宋体"/>
          <w:b w:val="0"/>
          <w:sz w:val="22"/>
        </w:rPr>
        <w:t>股价远离均线、负乖离率超过警戒值时的反弹买入。风险较高，仅做波段。</w:t>
      </w:r>
    </w:p>
    <w:p>
      <w:pPr>
        <w:spacing w:before="280" w:after="160"/>
      </w:pPr>
      <w:r>
        <w:rPr>
          <w:rFonts w:ascii="Times New Roman" w:hAnsi="Times New Roman" w:eastAsia="微软雅黑"/>
          <w:b/>
          <w:color w:val="2E75B6"/>
          <w:sz w:val="26"/>
        </w:rPr>
        <w:t>10.2 卖出规则汇总（由强到弱）</w:t>
      </w:r>
    </w:p>
    <w:p>
      <w:pPr>
        <w:spacing w:before="200" w:after="120"/>
      </w:pPr>
      <w:r>
        <w:rPr>
          <w:rFonts w:ascii="Times New Roman" w:hAnsi="Times New Roman" w:eastAsia="微软雅黑"/>
          <w:b/>
          <w:color w:val="44546A"/>
          <w:sz w:val="24"/>
        </w:rPr>
        <w:t>10.2.1 最强卖出信号（四大金牌卖点）</w:t>
      </w:r>
    </w:p>
    <w:p>
      <w:pPr>
        <w:spacing w:line="360" w:lineRule="auto" w:after="80"/>
        <w:ind w:firstLine="440"/>
      </w:pPr>
      <w:r>
        <w:rPr>
          <w:rFonts w:ascii="Times New Roman" w:hAnsi="Times New Roman" w:eastAsia="宋体"/>
          <w:b/>
          <w:color w:val="00B050"/>
          <w:sz w:val="22"/>
        </w:rPr>
        <w:t>【信号一】完整空头排列 + 股价反弹至MA20受阻 + 成交量萎靡</w:t>
      </w:r>
    </w:p>
    <w:p>
      <w:pPr>
        <w:spacing w:line="360" w:lineRule="auto" w:after="80"/>
        <w:ind w:firstLine="440"/>
      </w:pPr>
      <w:r>
        <w:rPr>
          <w:rFonts w:ascii="Times New Roman" w:hAnsi="Times New Roman" w:eastAsia="宋体"/>
          <w:b w:val="0"/>
          <w:sz w:val="22"/>
        </w:rPr>
        <w:t>这是最可靠的卖出信号。</w:t>
      </w:r>
    </w:p>
    <w:p>
      <w:pPr>
        <w:spacing w:line="360" w:lineRule="auto" w:after="80"/>
        <w:ind w:firstLine="440"/>
      </w:pPr>
      <w:r>
        <w:rPr>
          <w:rFonts w:ascii="Times New Roman" w:hAnsi="Times New Roman" w:eastAsia="宋体"/>
          <w:b/>
          <w:color w:val="00B050"/>
          <w:sz w:val="22"/>
        </w:rPr>
        <w:t>【信号二】连锁死叉（多条均线同时死叉）</w:t>
      </w:r>
    </w:p>
    <w:p>
      <w:pPr>
        <w:spacing w:line="360" w:lineRule="auto" w:after="80"/>
        <w:ind w:firstLine="440"/>
      </w:pPr>
      <w:r>
        <w:rPr>
          <w:rFonts w:ascii="Times New Roman" w:hAnsi="Times New Roman" w:eastAsia="宋体"/>
          <w:b w:val="0"/>
          <w:sz w:val="22"/>
        </w:rPr>
        <w:t>多个时间维度同时转向空头，下跌的确定性极高。</w:t>
      </w:r>
    </w:p>
    <w:p>
      <w:pPr>
        <w:spacing w:line="360" w:lineRule="auto" w:after="80"/>
        <w:ind w:firstLine="440"/>
      </w:pPr>
      <w:r>
        <w:rPr>
          <w:rFonts w:ascii="Times New Roman" w:hAnsi="Times New Roman" w:eastAsia="宋体"/>
          <w:b/>
          <w:color w:val="00B050"/>
          <w:sz w:val="22"/>
        </w:rPr>
        <w:t>【信号三】死亡谷形成</w:t>
      </w:r>
    </w:p>
    <w:p>
      <w:pPr>
        <w:spacing w:line="360" w:lineRule="auto" w:after="80"/>
        <w:ind w:firstLine="440"/>
      </w:pPr>
      <w:r>
        <w:rPr>
          <w:rFonts w:ascii="Times New Roman" w:hAnsi="Times New Roman" w:eastAsia="宋体"/>
          <w:b w:val="0"/>
          <w:sz w:val="22"/>
        </w:rPr>
        <w:t>短中长期均线交叉向下形成封闭三角，是极强的空头信号。</w:t>
      </w:r>
    </w:p>
    <w:p>
      <w:pPr>
        <w:spacing w:line="360" w:lineRule="auto" w:after="80"/>
        <w:ind w:firstLine="440"/>
      </w:pPr>
      <w:r>
        <w:rPr>
          <w:rFonts w:ascii="Times New Roman" w:hAnsi="Times New Roman" w:eastAsia="宋体"/>
          <w:b/>
          <w:color w:val="00B050"/>
          <w:sz w:val="22"/>
        </w:rPr>
        <w:t>【信号四】股价有效跌破MA120或MA250</w:t>
      </w:r>
    </w:p>
    <w:p>
      <w:pPr>
        <w:spacing w:line="360" w:lineRule="auto" w:after="80"/>
        <w:ind w:firstLine="440"/>
      </w:pPr>
      <w:r>
        <w:rPr>
          <w:rFonts w:ascii="Times New Roman" w:hAnsi="Times New Roman" w:eastAsia="宋体"/>
          <w:b w:val="0"/>
          <w:sz w:val="22"/>
        </w:rPr>
        <w:t>长期支撑被破坏，趋势面临根本性反转。</w:t>
      </w:r>
    </w:p>
    <w:p>
      <w:pPr>
        <w:spacing w:before="200" w:after="120"/>
      </w:pPr>
      <w:r>
        <w:rPr>
          <w:rFonts w:ascii="Times New Roman" w:hAnsi="Times New Roman" w:eastAsia="微软雅黑"/>
          <w:b/>
          <w:color w:val="44546A"/>
          <w:sz w:val="24"/>
        </w:rPr>
        <w:t>10.2.2 较强卖出信号（三大银牌卖点）</w:t>
      </w:r>
    </w:p>
    <w:p>
      <w:pPr>
        <w:spacing w:line="360" w:lineRule="auto" w:after="80"/>
        <w:ind w:firstLine="440"/>
      </w:pPr>
      <w:r>
        <w:rPr>
          <w:rFonts w:ascii="Times New Roman" w:hAnsi="Times New Roman" w:eastAsia="宋体"/>
          <w:b/>
          <w:sz w:val="22"/>
        </w:rPr>
        <w:t>【信号五】死叉 + 空头排列</w:t>
      </w:r>
    </w:p>
    <w:p>
      <w:pPr>
        <w:spacing w:line="360" w:lineRule="auto" w:after="80"/>
        <w:ind w:firstLine="440"/>
      </w:pPr>
      <w:r>
        <w:rPr>
          <w:rFonts w:ascii="Times New Roman" w:hAnsi="Times New Roman" w:eastAsia="宋体"/>
          <w:b w:val="0"/>
          <w:sz w:val="22"/>
        </w:rPr>
        <w:t>短期死叉出现，同时中长期均线已转为空头排列。</w:t>
      </w:r>
    </w:p>
    <w:p>
      <w:pPr>
        <w:spacing w:line="360" w:lineRule="auto" w:after="80"/>
        <w:ind w:firstLine="440"/>
      </w:pPr>
      <w:r>
        <w:rPr>
          <w:rFonts w:ascii="Times New Roman" w:hAnsi="Times New Roman" w:eastAsia="宋体"/>
          <w:b/>
          <w:sz w:val="22"/>
        </w:rPr>
        <w:t>【信号六】三线闭合</w:t>
      </w:r>
    </w:p>
    <w:p>
      <w:pPr>
        <w:spacing w:line="360" w:lineRule="auto" w:after="80"/>
        <w:ind w:firstLine="440"/>
      </w:pPr>
      <w:r>
        <w:rPr>
          <w:rFonts w:ascii="Times New Roman" w:hAnsi="Times New Roman" w:eastAsia="宋体"/>
          <w:b w:val="0"/>
          <w:sz w:val="22"/>
        </w:rPr>
        <w:t>20日、50日、120日均线由发散转为收敛聚拢。</w:t>
      </w:r>
    </w:p>
    <w:p>
      <w:pPr>
        <w:spacing w:line="360" w:lineRule="auto" w:after="80"/>
        <w:ind w:firstLine="440"/>
      </w:pPr>
      <w:r>
        <w:rPr>
          <w:rFonts w:ascii="Times New Roman" w:hAnsi="Times New Roman" w:eastAsia="宋体"/>
          <w:b/>
          <w:sz w:val="22"/>
        </w:rPr>
        <w:t>【信号七】均线粘合后向下突破</w:t>
      </w:r>
    </w:p>
    <w:p>
      <w:pPr>
        <w:spacing w:line="360" w:lineRule="auto" w:after="80"/>
        <w:ind w:firstLine="440"/>
      </w:pPr>
      <w:r>
        <w:rPr>
          <w:rFonts w:ascii="Times New Roman" w:hAnsi="Times New Roman" w:eastAsia="宋体"/>
          <w:b w:val="0"/>
          <w:sz w:val="22"/>
        </w:rPr>
        <w:t>蓄势后空头胜出，下跌空间大。</w:t>
      </w:r>
    </w:p>
    <w:p>
      <w:pPr>
        <w:spacing w:before="200" w:after="120"/>
      </w:pPr>
      <w:r>
        <w:rPr>
          <w:rFonts w:ascii="Times New Roman" w:hAnsi="Times New Roman" w:eastAsia="微软雅黑"/>
          <w:b/>
          <w:color w:val="44546A"/>
          <w:sz w:val="24"/>
        </w:rPr>
        <w:t>10.2.3 一般卖出信号（三大铜牌卖点）</w:t>
      </w:r>
    </w:p>
    <w:p>
      <w:pPr>
        <w:spacing w:line="360" w:lineRule="auto" w:after="80"/>
        <w:ind w:firstLine="440"/>
      </w:pPr>
      <w:r>
        <w:rPr>
          <w:rFonts w:ascii="Times New Roman" w:hAnsi="Times New Roman" w:eastAsia="宋体"/>
          <w:b/>
          <w:sz w:val="22"/>
        </w:rPr>
        <w:t>【信号八】短期死叉（MA5死叉MA10）</w:t>
      </w:r>
    </w:p>
    <w:p>
      <w:pPr>
        <w:spacing w:line="360" w:lineRule="auto" w:after="80"/>
        <w:ind w:firstLine="440"/>
      </w:pPr>
      <w:r>
        <w:rPr>
          <w:rFonts w:ascii="Times New Roman" w:hAnsi="Times New Roman" w:eastAsia="宋体"/>
          <w:b w:val="0"/>
          <w:sz w:val="22"/>
        </w:rPr>
        <w:t>短线卖出信号，可能是洗盘也可能是趋势反转的先兆。</w:t>
      </w:r>
    </w:p>
    <w:p>
      <w:pPr>
        <w:spacing w:line="360" w:lineRule="auto" w:after="80"/>
        <w:ind w:firstLine="440"/>
      </w:pPr>
      <w:r>
        <w:rPr>
          <w:rFonts w:ascii="Times New Roman" w:hAnsi="Times New Roman" w:eastAsia="宋体"/>
          <w:b/>
          <w:sz w:val="22"/>
        </w:rPr>
        <w:t>【信号九】股价突破短期均线阻力后快速回落（假突破）</w:t>
      </w:r>
    </w:p>
    <w:p>
      <w:pPr>
        <w:spacing w:line="360" w:lineRule="auto" w:after="80"/>
        <w:ind w:firstLine="440"/>
      </w:pPr>
      <w:r>
        <w:rPr>
          <w:rFonts w:ascii="Times New Roman" w:hAnsi="Times New Roman" w:eastAsia="宋体"/>
          <w:b w:val="0"/>
          <w:sz w:val="22"/>
        </w:rPr>
        <w:t>多头力量不足的表现。</w:t>
      </w:r>
    </w:p>
    <w:p>
      <w:pPr>
        <w:spacing w:line="360" w:lineRule="auto" w:after="80"/>
        <w:ind w:firstLine="440"/>
      </w:pPr>
      <w:r>
        <w:rPr>
          <w:rFonts w:ascii="Times New Roman" w:hAnsi="Times New Roman" w:eastAsia="宋体"/>
          <w:b/>
          <w:sz w:val="22"/>
        </w:rPr>
        <w:t>【信号十】正乖离率过大后的高位回落</w:t>
      </w:r>
    </w:p>
    <w:p>
      <w:pPr>
        <w:spacing w:line="360" w:lineRule="auto" w:after="80"/>
        <w:ind w:firstLine="440"/>
      </w:pPr>
      <w:r>
        <w:rPr>
          <w:rFonts w:ascii="Times New Roman" w:hAnsi="Times New Roman" w:eastAsia="宋体"/>
          <w:b w:val="0"/>
          <w:sz w:val="22"/>
        </w:rPr>
        <w:t>股价远离均线、正乖离率超过警戒值时的回调卖出。</w:t>
      </w:r>
    </w:p>
    <w:p>
      <w:pPr>
        <w:spacing w:before="280" w:after="160"/>
      </w:pPr>
      <w:r>
        <w:rPr>
          <w:rFonts w:ascii="Times New Roman" w:hAnsi="Times New Roman" w:eastAsia="微软雅黑"/>
          <w:b/>
          <w:color w:val="2E75B6"/>
          <w:sz w:val="26"/>
        </w:rPr>
        <w:t>10.3 完整交易流程示例</w:t>
      </w:r>
    </w:p>
    <w:p>
      <w:pPr>
        <w:spacing w:before="200" w:after="120"/>
      </w:pPr>
      <w:r>
        <w:rPr>
          <w:rFonts w:ascii="Times New Roman" w:hAnsi="Times New Roman" w:eastAsia="微软雅黑"/>
          <w:b/>
          <w:color w:val="44546A"/>
          <w:sz w:val="24"/>
        </w:rPr>
        <w:t>10.3.1 多头买入流程（五步法）</w:t>
      </w:r>
    </w:p>
    <w:p>
      <w:pPr>
        <w:spacing w:line="360" w:lineRule="auto" w:after="80"/>
        <w:ind w:firstLine="440"/>
      </w:pPr>
      <w:r>
        <w:rPr>
          <w:rFonts w:ascii="Times New Roman" w:hAnsi="Times New Roman" w:eastAsia="宋体"/>
          <w:b w:val="0"/>
          <w:sz w:val="22"/>
        </w:rPr>
        <w:t>第一步：判断长期趋势——观察MA120与MA250的关系。若MA120&gt;MA250且均向上，确认长期多头格局。</w:t>
      </w:r>
    </w:p>
    <w:p>
      <w:pPr>
        <w:spacing w:line="360" w:lineRule="auto" w:after="80"/>
        <w:ind w:firstLine="440"/>
      </w:pPr>
      <w:r>
        <w:rPr>
          <w:rFonts w:ascii="Times New Roman" w:hAnsi="Times New Roman" w:eastAsia="宋体"/>
          <w:b w:val="0"/>
          <w:sz w:val="22"/>
        </w:rPr>
        <w:t>第二步：判断中期趋势——观察MA20与MA60的关系。若MA20&gt;MA60且均向上，确认中期多头格局。</w:t>
      </w:r>
    </w:p>
    <w:p>
      <w:pPr>
        <w:spacing w:line="360" w:lineRule="auto" w:after="80"/>
        <w:ind w:firstLine="440"/>
      </w:pPr>
      <w:r>
        <w:rPr>
          <w:rFonts w:ascii="Times New Roman" w:hAnsi="Times New Roman" w:eastAsia="宋体"/>
          <w:b w:val="0"/>
          <w:sz w:val="22"/>
        </w:rPr>
        <w:t>第三步：等待短期信号——观察MA5和MA10的排列。若MA5&gt;MA10&gt;MA20形成完整短期多头排列，且股价回踩MA20获支撑，则为买入时机。</w:t>
      </w:r>
    </w:p>
    <w:p>
      <w:pPr>
        <w:spacing w:line="360" w:lineRule="auto" w:after="80"/>
        <w:ind w:firstLine="440"/>
      </w:pPr>
      <w:r>
        <w:rPr>
          <w:rFonts w:ascii="Times New Roman" w:hAnsi="Times New Roman" w:eastAsia="宋体"/>
          <w:b w:val="0"/>
          <w:sz w:val="22"/>
        </w:rPr>
        <w:t>第四步：确认成交量——要求回踩时缩量，止跌时温和放大。</w:t>
      </w:r>
    </w:p>
    <w:p>
      <w:pPr>
        <w:spacing w:line="360" w:lineRule="auto" w:after="80"/>
        <w:ind w:firstLine="440"/>
      </w:pPr>
      <w:r>
        <w:rPr>
          <w:rFonts w:ascii="Times New Roman" w:hAnsi="Times New Roman" w:eastAsia="宋体"/>
          <w:b w:val="0"/>
          <w:sz w:val="22"/>
        </w:rPr>
        <w:t>第五步：执行买入——在MA20支撑位附近买入，止损设在MA60下方，目标价根据前期高点和阻力位设定。</w:t>
      </w:r>
    </w:p>
    <w:p>
      <w:pPr>
        <w:spacing w:before="200" w:after="120"/>
      </w:pPr>
      <w:r>
        <w:rPr>
          <w:rFonts w:ascii="Times New Roman" w:hAnsi="Times New Roman" w:eastAsia="微软雅黑"/>
          <w:b/>
          <w:color w:val="44546A"/>
          <w:sz w:val="24"/>
        </w:rPr>
        <w:t>10.3.2 空头卖出流程（五步法）</w:t>
      </w:r>
    </w:p>
    <w:p>
      <w:pPr>
        <w:spacing w:line="360" w:lineRule="auto" w:after="80"/>
        <w:ind w:firstLine="440"/>
      </w:pPr>
      <w:r>
        <w:rPr>
          <w:rFonts w:ascii="Times New Roman" w:hAnsi="Times New Roman" w:eastAsia="宋体"/>
          <w:b w:val="0"/>
          <w:sz w:val="22"/>
        </w:rPr>
        <w:t>第一步：判断长期趋势——观察MA120与MA250的关系。若MA120&lt;MA250且均向下，确认长期空头格局。</w:t>
      </w:r>
    </w:p>
    <w:p>
      <w:pPr>
        <w:spacing w:line="360" w:lineRule="auto" w:after="80"/>
        <w:ind w:firstLine="440"/>
      </w:pPr>
      <w:r>
        <w:rPr>
          <w:rFonts w:ascii="Times New Roman" w:hAnsi="Times New Roman" w:eastAsia="宋体"/>
          <w:b w:val="0"/>
          <w:sz w:val="22"/>
        </w:rPr>
        <w:t>第二步：判断中期趋势——观察MA20与MA60的关系。若MA20&lt;MA60且均向下，确认中期空头格局。</w:t>
      </w:r>
    </w:p>
    <w:p>
      <w:pPr>
        <w:spacing w:line="360" w:lineRule="auto" w:after="80"/>
        <w:ind w:firstLine="440"/>
      </w:pPr>
      <w:r>
        <w:rPr>
          <w:rFonts w:ascii="Times New Roman" w:hAnsi="Times New Roman" w:eastAsia="宋体"/>
          <w:b w:val="0"/>
          <w:sz w:val="22"/>
        </w:rPr>
        <w:t>第三步：观察短期信号——若MA5&lt;MA10&lt;MA20形成空头排列，且股价反弹至MA20受阻，则为卖出时机。</w:t>
      </w:r>
    </w:p>
    <w:p>
      <w:pPr>
        <w:spacing w:line="360" w:lineRule="auto" w:after="80"/>
        <w:ind w:firstLine="440"/>
      </w:pPr>
      <w:r>
        <w:rPr>
          <w:rFonts w:ascii="Times New Roman" w:hAnsi="Times New Roman" w:eastAsia="宋体"/>
          <w:b w:val="0"/>
          <w:sz w:val="22"/>
        </w:rPr>
        <w:t>第四步：确认成交量——要求反弹时缩量，显示上攻无力。</w:t>
      </w:r>
    </w:p>
    <w:p>
      <w:pPr>
        <w:spacing w:line="360" w:lineRule="auto" w:after="80"/>
        <w:ind w:firstLine="440"/>
      </w:pPr>
      <w:r>
        <w:rPr>
          <w:rFonts w:ascii="Times New Roman" w:hAnsi="Times New Roman" w:eastAsia="宋体"/>
          <w:b w:val="0"/>
          <w:sz w:val="22"/>
        </w:rPr>
        <w:t>第五步：执行卖出——在MA20阻力位附近卖出。</w:t>
      </w:r>
    </w:p>
    <w:p>
      <w:r>
        <w:br w:type="page"/>
      </w:r>
    </w:p>
    <w:p>
      <w:pPr>
        <w:spacing w:before="400" w:after="240"/>
      </w:pPr>
      <w:r>
        <w:rPr>
          <w:rFonts w:ascii="Times New Roman" w:hAnsi="Times New Roman" w:eastAsia="微软雅黑"/>
          <w:b/>
          <w:color w:val="1F4E78"/>
          <w:sz w:val="32"/>
        </w:rPr>
        <w:t>第十一章  不同操作周期的均线战法</w:t>
      </w:r>
    </w:p>
    <w:p>
      <w:pPr>
        <w:spacing w:line="360" w:lineRule="auto" w:after="80"/>
        <w:ind w:firstLine="440"/>
      </w:pPr>
      <w:r>
        <w:rPr>
          <w:rFonts w:ascii="Times New Roman" w:hAnsi="Times New Roman" w:eastAsia="宋体"/>
          <w:b w:val="0"/>
          <w:sz w:val="22"/>
        </w:rPr>
        <w:t>均线战法的选择必须匹配交易者的风格和时间精力。以下是七种操作周期的均线战法对照，从超短线到超长线，各有其最优的均线组合。</w:t>
      </w:r>
    </w:p>
    <w:tbl>
      <w:tblPr>
        <w:tblStyle w:val="LightGrid-Accent1"/>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850"/>
            <w:shd w:fill="2E75B6"/>
            <w:vAlign w:val="center"/>
          </w:tcPr>
          <w:p>
            <w:pPr>
              <w:jc w:val="center"/>
            </w:pPr>
            <w:r/>
            <w:r>
              <w:rPr>
                <w:rFonts w:ascii="Times New Roman" w:hAnsi="Times New Roman" w:eastAsia="微软雅黑"/>
                <w:b/>
                <w:color w:val="FFFFFF"/>
                <w:sz w:val="20"/>
              </w:rPr>
              <w:t>操作周期</w:t>
            </w:r>
          </w:p>
        </w:tc>
        <w:tc>
          <w:tcPr>
            <w:tcW w:type="dxa" w:w="1020"/>
            <w:shd w:fill="2E75B6"/>
            <w:vAlign w:val="center"/>
          </w:tcPr>
          <w:p>
            <w:pPr>
              <w:jc w:val="center"/>
            </w:pPr>
            <w:r/>
            <w:r>
              <w:rPr>
                <w:rFonts w:ascii="Times New Roman" w:hAnsi="Times New Roman" w:eastAsia="微软雅黑"/>
                <w:b/>
                <w:color w:val="FFFFFF"/>
                <w:sz w:val="20"/>
              </w:rPr>
              <w:t>核心均线</w:t>
            </w:r>
          </w:p>
        </w:tc>
        <w:tc>
          <w:tcPr>
            <w:tcW w:type="dxa" w:w="1587"/>
            <w:shd w:fill="2E75B6"/>
            <w:vAlign w:val="center"/>
          </w:tcPr>
          <w:p>
            <w:pPr>
              <w:jc w:val="center"/>
            </w:pPr>
            <w:r/>
            <w:r>
              <w:rPr>
                <w:rFonts w:ascii="Times New Roman" w:hAnsi="Times New Roman" w:eastAsia="微软雅黑"/>
                <w:b/>
                <w:color w:val="FFFFFF"/>
                <w:sz w:val="20"/>
              </w:rPr>
              <w:t>买入条件</w:t>
            </w:r>
          </w:p>
        </w:tc>
        <w:tc>
          <w:tcPr>
            <w:tcW w:type="dxa" w:w="1247"/>
            <w:shd w:fill="2E75B6"/>
            <w:vAlign w:val="center"/>
          </w:tcPr>
          <w:p>
            <w:pPr>
              <w:jc w:val="center"/>
            </w:pPr>
            <w:r/>
            <w:r>
              <w:rPr>
                <w:rFonts w:ascii="Times New Roman" w:hAnsi="Times New Roman" w:eastAsia="微软雅黑"/>
                <w:b/>
                <w:color w:val="FFFFFF"/>
                <w:sz w:val="20"/>
              </w:rPr>
              <w:t>持仓条件</w:t>
            </w:r>
          </w:p>
        </w:tc>
        <w:tc>
          <w:tcPr>
            <w:tcW w:type="dxa" w:w="1587"/>
            <w:shd w:fill="2E75B6"/>
            <w:vAlign w:val="center"/>
          </w:tcPr>
          <w:p>
            <w:pPr>
              <w:jc w:val="center"/>
            </w:pPr>
            <w:r/>
            <w:r>
              <w:rPr>
                <w:rFonts w:ascii="Times New Roman" w:hAnsi="Times New Roman" w:eastAsia="微软雅黑"/>
                <w:b/>
                <w:color w:val="FFFFFF"/>
                <w:sz w:val="20"/>
              </w:rPr>
              <w:t>卖出条件</w:t>
            </w:r>
          </w:p>
        </w:tc>
        <w:tc>
          <w:tcPr>
            <w:tcW w:type="dxa" w:w="850"/>
            <w:shd w:fill="2E75B6"/>
            <w:vAlign w:val="center"/>
          </w:tcPr>
          <w:p>
            <w:pPr>
              <w:jc w:val="center"/>
            </w:pPr>
            <w:r/>
            <w:r>
              <w:rPr>
                <w:rFonts w:ascii="Times New Roman" w:hAnsi="Times New Roman" w:eastAsia="微软雅黑"/>
                <w:b/>
                <w:color w:val="FFFFFF"/>
                <w:sz w:val="20"/>
              </w:rPr>
              <w:t>持仓时间</w:t>
            </w:r>
          </w:p>
        </w:tc>
        <w:tc>
          <w:tcPr>
            <w:tcW w:type="dxa" w:w="1134"/>
            <w:shd w:fill="2E75B6"/>
            <w:vAlign w:val="center"/>
          </w:tcPr>
          <w:p>
            <w:pPr>
              <w:jc w:val="center"/>
            </w:pPr>
            <w:r/>
            <w:r>
              <w:rPr>
                <w:rFonts w:ascii="Times New Roman" w:hAnsi="Times New Roman" w:eastAsia="微软雅黑"/>
                <w:b/>
                <w:color w:val="FFFFFF"/>
                <w:sz w:val="20"/>
              </w:rPr>
              <w:t>适合人群</w:t>
            </w:r>
          </w:p>
        </w:tc>
      </w:tr>
      <w:tr>
        <w:tc>
          <w:tcPr>
            <w:tcW w:type="dxa" w:w="850"/>
            <w:vAlign w:val="center"/>
          </w:tcPr>
          <w:p>
            <w:pPr>
              <w:jc w:val="left"/>
            </w:pPr>
            <w:r/>
            <w:r>
              <w:rPr>
                <w:rFonts w:ascii="Times New Roman" w:hAnsi="Times New Roman" w:eastAsia="宋体"/>
                <w:b w:val="0"/>
                <w:sz w:val="20"/>
              </w:rPr>
              <w:t>超短线</w:t>
            </w:r>
          </w:p>
        </w:tc>
        <w:tc>
          <w:tcPr>
            <w:tcW w:type="dxa" w:w="1020"/>
            <w:vAlign w:val="center"/>
          </w:tcPr>
          <w:p>
            <w:pPr>
              <w:jc w:val="left"/>
            </w:pPr>
            <w:r/>
            <w:r>
              <w:rPr>
                <w:rFonts w:ascii="Times New Roman" w:hAnsi="Times New Roman" w:eastAsia="宋体"/>
                <w:b w:val="0"/>
                <w:sz w:val="20"/>
              </w:rPr>
              <w:t>MA5/MA10</w:t>
            </w:r>
          </w:p>
        </w:tc>
        <w:tc>
          <w:tcPr>
            <w:tcW w:type="dxa" w:w="1587"/>
            <w:vAlign w:val="center"/>
          </w:tcPr>
          <w:p>
            <w:pPr>
              <w:jc w:val="left"/>
            </w:pPr>
            <w:r/>
            <w:r>
              <w:rPr>
                <w:rFonts w:ascii="Times New Roman" w:hAnsi="Times New Roman" w:eastAsia="宋体"/>
                <w:b w:val="0"/>
                <w:sz w:val="20"/>
              </w:rPr>
              <w:t>MA5金叉MA10，股价站上两线</w:t>
            </w:r>
          </w:p>
        </w:tc>
        <w:tc>
          <w:tcPr>
            <w:tcW w:type="dxa" w:w="1247"/>
            <w:vAlign w:val="center"/>
          </w:tcPr>
          <w:p>
            <w:pPr>
              <w:jc w:val="left"/>
            </w:pPr>
            <w:r/>
            <w:r>
              <w:rPr>
                <w:rFonts w:ascii="Times New Roman" w:hAnsi="Times New Roman" w:eastAsia="宋体"/>
                <w:b w:val="0"/>
                <w:sz w:val="20"/>
              </w:rPr>
              <w:t>MA5在MA10上方</w:t>
            </w:r>
          </w:p>
        </w:tc>
        <w:tc>
          <w:tcPr>
            <w:tcW w:type="dxa" w:w="1587"/>
            <w:vAlign w:val="center"/>
          </w:tcPr>
          <w:p>
            <w:pPr>
              <w:jc w:val="left"/>
            </w:pPr>
            <w:r/>
            <w:r>
              <w:rPr>
                <w:rFonts w:ascii="Times New Roman" w:hAnsi="Times New Roman" w:eastAsia="宋体"/>
                <w:b w:val="0"/>
                <w:sz w:val="20"/>
              </w:rPr>
              <w:t>MA5死叉MA10或跌破MA10</w:t>
            </w:r>
          </w:p>
        </w:tc>
        <w:tc>
          <w:tcPr>
            <w:tcW w:type="dxa" w:w="850"/>
            <w:vAlign w:val="center"/>
          </w:tcPr>
          <w:p>
            <w:pPr>
              <w:jc w:val="left"/>
            </w:pPr>
            <w:r/>
            <w:r>
              <w:rPr>
                <w:rFonts w:ascii="Times New Roman" w:hAnsi="Times New Roman" w:eastAsia="宋体"/>
                <w:b w:val="0"/>
                <w:sz w:val="20"/>
              </w:rPr>
              <w:t>3-10天</w:t>
            </w:r>
          </w:p>
        </w:tc>
        <w:tc>
          <w:tcPr>
            <w:tcW w:type="dxa" w:w="1134"/>
            <w:vAlign w:val="center"/>
          </w:tcPr>
          <w:p>
            <w:pPr>
              <w:jc w:val="left"/>
            </w:pPr>
            <w:r/>
            <w:r>
              <w:rPr>
                <w:rFonts w:ascii="Times New Roman" w:hAnsi="Times New Roman" w:eastAsia="宋体"/>
                <w:b w:val="0"/>
                <w:sz w:val="20"/>
              </w:rPr>
              <w:t>全职交易者</w:t>
            </w:r>
          </w:p>
        </w:tc>
      </w:tr>
      <w:tr>
        <w:tc>
          <w:tcPr>
            <w:tcW w:type="dxa" w:w="850"/>
            <w:vAlign w:val="center"/>
          </w:tcPr>
          <w:p>
            <w:pPr>
              <w:jc w:val="left"/>
            </w:pPr>
            <w:r/>
            <w:r>
              <w:rPr>
                <w:rFonts w:ascii="Times New Roman" w:hAnsi="Times New Roman" w:eastAsia="宋体"/>
                <w:b w:val="0"/>
                <w:sz w:val="20"/>
              </w:rPr>
              <w:t>短线</w:t>
            </w:r>
          </w:p>
        </w:tc>
        <w:tc>
          <w:tcPr>
            <w:tcW w:type="dxa" w:w="1020"/>
            <w:vAlign w:val="center"/>
          </w:tcPr>
          <w:p>
            <w:pPr>
              <w:jc w:val="left"/>
            </w:pPr>
            <w:r/>
            <w:r>
              <w:rPr>
                <w:rFonts w:ascii="Times New Roman" w:hAnsi="Times New Roman" w:eastAsia="宋体"/>
                <w:b w:val="0"/>
                <w:sz w:val="20"/>
              </w:rPr>
              <w:t>MA10/MA20</w:t>
            </w:r>
          </w:p>
        </w:tc>
        <w:tc>
          <w:tcPr>
            <w:tcW w:type="dxa" w:w="1587"/>
            <w:vAlign w:val="center"/>
          </w:tcPr>
          <w:p>
            <w:pPr>
              <w:jc w:val="left"/>
            </w:pPr>
            <w:r/>
            <w:r>
              <w:rPr>
                <w:rFonts w:ascii="Times New Roman" w:hAnsi="Times New Roman" w:eastAsia="宋体"/>
                <w:b w:val="0"/>
                <w:sz w:val="20"/>
              </w:rPr>
              <w:t>MA10金叉MA20，股价回踩MA20不破</w:t>
            </w:r>
          </w:p>
        </w:tc>
        <w:tc>
          <w:tcPr>
            <w:tcW w:type="dxa" w:w="1247"/>
            <w:vAlign w:val="center"/>
          </w:tcPr>
          <w:p>
            <w:pPr>
              <w:jc w:val="left"/>
            </w:pPr>
            <w:r/>
            <w:r>
              <w:rPr>
                <w:rFonts w:ascii="Times New Roman" w:hAnsi="Times New Roman" w:eastAsia="宋体"/>
                <w:b w:val="0"/>
                <w:sz w:val="20"/>
              </w:rPr>
              <w:t>MA10在MA20上方，均线向上</w:t>
            </w:r>
          </w:p>
        </w:tc>
        <w:tc>
          <w:tcPr>
            <w:tcW w:type="dxa" w:w="1587"/>
            <w:vAlign w:val="center"/>
          </w:tcPr>
          <w:p>
            <w:pPr>
              <w:jc w:val="left"/>
            </w:pPr>
            <w:r/>
            <w:r>
              <w:rPr>
                <w:rFonts w:ascii="Times New Roman" w:hAnsi="Times New Roman" w:eastAsia="宋体"/>
                <w:b w:val="0"/>
                <w:sz w:val="20"/>
              </w:rPr>
              <w:t>MA10死叉MA20或跌破MA20</w:t>
            </w:r>
          </w:p>
        </w:tc>
        <w:tc>
          <w:tcPr>
            <w:tcW w:type="dxa" w:w="850"/>
            <w:vAlign w:val="center"/>
          </w:tcPr>
          <w:p>
            <w:pPr>
              <w:jc w:val="left"/>
            </w:pPr>
            <w:r/>
            <w:r>
              <w:rPr>
                <w:rFonts w:ascii="Times New Roman" w:hAnsi="Times New Roman" w:eastAsia="宋体"/>
                <w:b w:val="0"/>
                <w:sz w:val="20"/>
              </w:rPr>
              <w:t>10-20天</w:t>
            </w:r>
          </w:p>
        </w:tc>
        <w:tc>
          <w:tcPr>
            <w:tcW w:type="dxa" w:w="1134"/>
            <w:vAlign w:val="center"/>
          </w:tcPr>
          <w:p>
            <w:pPr>
              <w:jc w:val="left"/>
            </w:pPr>
            <w:r/>
            <w:r>
              <w:rPr>
                <w:rFonts w:ascii="Times New Roman" w:hAnsi="Times New Roman" w:eastAsia="宋体"/>
                <w:b w:val="0"/>
                <w:sz w:val="20"/>
              </w:rPr>
              <w:t>有大量时间盯盘者</w:t>
            </w:r>
          </w:p>
        </w:tc>
      </w:tr>
      <w:tr>
        <w:tc>
          <w:tcPr>
            <w:tcW w:type="dxa" w:w="850"/>
            <w:vAlign w:val="center"/>
          </w:tcPr>
          <w:p>
            <w:pPr>
              <w:jc w:val="left"/>
            </w:pPr>
            <w:r/>
            <w:r>
              <w:rPr>
                <w:rFonts w:ascii="Times New Roman" w:hAnsi="Times New Roman" w:eastAsia="宋体"/>
                <w:b w:val="0"/>
                <w:sz w:val="20"/>
              </w:rPr>
              <w:t>短中线</w:t>
            </w:r>
          </w:p>
        </w:tc>
        <w:tc>
          <w:tcPr>
            <w:tcW w:type="dxa" w:w="1020"/>
            <w:vAlign w:val="center"/>
          </w:tcPr>
          <w:p>
            <w:pPr>
              <w:jc w:val="left"/>
            </w:pPr>
            <w:r/>
            <w:r>
              <w:rPr>
                <w:rFonts w:ascii="Times New Roman" w:hAnsi="Times New Roman" w:eastAsia="宋体"/>
                <w:b w:val="0"/>
                <w:sz w:val="20"/>
              </w:rPr>
              <w:t>MA20/MA30</w:t>
            </w:r>
          </w:p>
        </w:tc>
        <w:tc>
          <w:tcPr>
            <w:tcW w:type="dxa" w:w="1587"/>
            <w:vAlign w:val="center"/>
          </w:tcPr>
          <w:p>
            <w:pPr>
              <w:jc w:val="left"/>
            </w:pPr>
            <w:r/>
            <w:r>
              <w:rPr>
                <w:rFonts w:ascii="Times New Roman" w:hAnsi="Times New Roman" w:eastAsia="宋体"/>
                <w:b w:val="0"/>
                <w:sz w:val="20"/>
              </w:rPr>
              <w:t>回踩MA20/30获支撑</w:t>
            </w:r>
          </w:p>
        </w:tc>
        <w:tc>
          <w:tcPr>
            <w:tcW w:type="dxa" w:w="1247"/>
            <w:vAlign w:val="center"/>
          </w:tcPr>
          <w:p>
            <w:pPr>
              <w:jc w:val="left"/>
            </w:pPr>
            <w:r/>
            <w:r>
              <w:rPr>
                <w:rFonts w:ascii="Times New Roman" w:hAnsi="Times New Roman" w:eastAsia="宋体"/>
                <w:b w:val="0"/>
                <w:sz w:val="20"/>
              </w:rPr>
              <w:t>股价在MA20上方</w:t>
            </w:r>
          </w:p>
        </w:tc>
        <w:tc>
          <w:tcPr>
            <w:tcW w:type="dxa" w:w="1587"/>
            <w:vAlign w:val="center"/>
          </w:tcPr>
          <w:p>
            <w:pPr>
              <w:jc w:val="left"/>
            </w:pPr>
            <w:r/>
            <w:r>
              <w:rPr>
                <w:rFonts w:ascii="Times New Roman" w:hAnsi="Times New Roman" w:eastAsia="宋体"/>
                <w:b w:val="0"/>
                <w:sz w:val="20"/>
              </w:rPr>
              <w:t>跌破MA30</w:t>
            </w:r>
          </w:p>
        </w:tc>
        <w:tc>
          <w:tcPr>
            <w:tcW w:type="dxa" w:w="850"/>
            <w:vAlign w:val="center"/>
          </w:tcPr>
          <w:p>
            <w:pPr>
              <w:jc w:val="left"/>
            </w:pPr>
            <w:r/>
            <w:r>
              <w:rPr>
                <w:rFonts w:ascii="Times New Roman" w:hAnsi="Times New Roman" w:eastAsia="宋体"/>
                <w:b w:val="0"/>
                <w:sz w:val="20"/>
              </w:rPr>
              <w:t>20-30天</w:t>
            </w:r>
          </w:p>
        </w:tc>
        <w:tc>
          <w:tcPr>
            <w:tcW w:type="dxa" w:w="1134"/>
            <w:vAlign w:val="center"/>
          </w:tcPr>
          <w:p>
            <w:pPr>
              <w:jc w:val="left"/>
            </w:pPr>
            <w:r/>
            <w:r>
              <w:rPr>
                <w:rFonts w:ascii="Times New Roman" w:hAnsi="Times New Roman" w:eastAsia="宋体"/>
                <w:b w:val="0"/>
                <w:sz w:val="20"/>
              </w:rPr>
              <w:t>兼职投资者</w:t>
            </w:r>
          </w:p>
        </w:tc>
      </w:tr>
      <w:tr>
        <w:tc>
          <w:tcPr>
            <w:tcW w:type="dxa" w:w="850"/>
            <w:vAlign w:val="center"/>
          </w:tcPr>
          <w:p>
            <w:pPr>
              <w:jc w:val="left"/>
            </w:pPr>
            <w:r/>
            <w:r>
              <w:rPr>
                <w:rFonts w:ascii="Times New Roman" w:hAnsi="Times New Roman" w:eastAsia="宋体"/>
                <w:b w:val="0"/>
                <w:sz w:val="20"/>
              </w:rPr>
              <w:t>中线</w:t>
            </w:r>
          </w:p>
        </w:tc>
        <w:tc>
          <w:tcPr>
            <w:tcW w:type="dxa" w:w="1020"/>
            <w:vAlign w:val="center"/>
          </w:tcPr>
          <w:p>
            <w:pPr>
              <w:jc w:val="left"/>
            </w:pPr>
            <w:r/>
            <w:r>
              <w:rPr>
                <w:rFonts w:ascii="Times New Roman" w:hAnsi="Times New Roman" w:eastAsia="宋体"/>
                <w:b w:val="0"/>
                <w:sz w:val="20"/>
              </w:rPr>
              <w:t>MA20/MA60</w:t>
            </w:r>
          </w:p>
        </w:tc>
        <w:tc>
          <w:tcPr>
            <w:tcW w:type="dxa" w:w="1587"/>
            <w:vAlign w:val="center"/>
          </w:tcPr>
          <w:p>
            <w:pPr>
              <w:jc w:val="left"/>
            </w:pPr>
            <w:r/>
            <w:r>
              <w:rPr>
                <w:rFonts w:ascii="Times New Roman" w:hAnsi="Times New Roman" w:eastAsia="宋体"/>
                <w:b w:val="0"/>
                <w:sz w:val="20"/>
              </w:rPr>
              <w:t>MA20金叉MA60，股价站上MA60</w:t>
            </w:r>
          </w:p>
        </w:tc>
        <w:tc>
          <w:tcPr>
            <w:tcW w:type="dxa" w:w="1247"/>
            <w:vAlign w:val="center"/>
          </w:tcPr>
          <w:p>
            <w:pPr>
              <w:jc w:val="left"/>
            </w:pPr>
            <w:r/>
            <w:r>
              <w:rPr>
                <w:rFonts w:ascii="Times New Roman" w:hAnsi="Times New Roman" w:eastAsia="宋体"/>
                <w:b w:val="0"/>
                <w:sz w:val="20"/>
              </w:rPr>
              <w:t>MA20在MA60上方，均线向上</w:t>
            </w:r>
          </w:p>
        </w:tc>
        <w:tc>
          <w:tcPr>
            <w:tcW w:type="dxa" w:w="1587"/>
            <w:vAlign w:val="center"/>
          </w:tcPr>
          <w:p>
            <w:pPr>
              <w:jc w:val="left"/>
            </w:pPr>
            <w:r/>
            <w:r>
              <w:rPr>
                <w:rFonts w:ascii="Times New Roman" w:hAnsi="Times New Roman" w:eastAsia="宋体"/>
                <w:b w:val="0"/>
                <w:sz w:val="20"/>
              </w:rPr>
              <w:t>MA20死叉MA60或跌破MA60</w:t>
            </w:r>
          </w:p>
        </w:tc>
        <w:tc>
          <w:tcPr>
            <w:tcW w:type="dxa" w:w="850"/>
            <w:vAlign w:val="center"/>
          </w:tcPr>
          <w:p>
            <w:pPr>
              <w:jc w:val="left"/>
            </w:pPr>
            <w:r/>
            <w:r>
              <w:rPr>
                <w:rFonts w:ascii="Times New Roman" w:hAnsi="Times New Roman" w:eastAsia="宋体"/>
                <w:b w:val="0"/>
                <w:sz w:val="20"/>
              </w:rPr>
              <w:t>1-3月</w:t>
            </w:r>
          </w:p>
        </w:tc>
        <w:tc>
          <w:tcPr>
            <w:tcW w:type="dxa" w:w="1134"/>
            <w:vAlign w:val="center"/>
          </w:tcPr>
          <w:p>
            <w:pPr>
              <w:jc w:val="left"/>
            </w:pPr>
            <w:r/>
            <w:r>
              <w:rPr>
                <w:rFonts w:ascii="Times New Roman" w:hAnsi="Times New Roman" w:eastAsia="宋体"/>
                <w:b w:val="0"/>
                <w:sz w:val="20"/>
              </w:rPr>
              <w:t>波段交易者</w:t>
            </w:r>
          </w:p>
        </w:tc>
      </w:tr>
      <w:tr>
        <w:tc>
          <w:tcPr>
            <w:tcW w:type="dxa" w:w="850"/>
            <w:vAlign w:val="center"/>
          </w:tcPr>
          <w:p>
            <w:pPr>
              <w:jc w:val="left"/>
            </w:pPr>
            <w:r/>
            <w:r>
              <w:rPr>
                <w:rFonts w:ascii="Times New Roman" w:hAnsi="Times New Roman" w:eastAsia="宋体"/>
                <w:b w:val="0"/>
                <w:sz w:val="20"/>
              </w:rPr>
              <w:t>中长线</w:t>
            </w:r>
          </w:p>
        </w:tc>
        <w:tc>
          <w:tcPr>
            <w:tcW w:type="dxa" w:w="1020"/>
            <w:vAlign w:val="center"/>
          </w:tcPr>
          <w:p>
            <w:pPr>
              <w:jc w:val="left"/>
            </w:pPr>
            <w:r/>
            <w:r>
              <w:rPr>
                <w:rFonts w:ascii="Times New Roman" w:hAnsi="Times New Roman" w:eastAsia="宋体"/>
                <w:b w:val="0"/>
                <w:sz w:val="20"/>
              </w:rPr>
              <w:t>MA60/MA120</w:t>
            </w:r>
          </w:p>
        </w:tc>
        <w:tc>
          <w:tcPr>
            <w:tcW w:type="dxa" w:w="1587"/>
            <w:vAlign w:val="center"/>
          </w:tcPr>
          <w:p>
            <w:pPr>
              <w:jc w:val="left"/>
            </w:pPr>
            <w:r/>
            <w:r>
              <w:rPr>
                <w:rFonts w:ascii="Times New Roman" w:hAnsi="Times New Roman" w:eastAsia="宋体"/>
                <w:b w:val="0"/>
                <w:sz w:val="20"/>
              </w:rPr>
              <w:t>MA60金叉MA120，股价站上MA120</w:t>
            </w:r>
          </w:p>
        </w:tc>
        <w:tc>
          <w:tcPr>
            <w:tcW w:type="dxa" w:w="1247"/>
            <w:vAlign w:val="center"/>
          </w:tcPr>
          <w:p>
            <w:pPr>
              <w:jc w:val="left"/>
            </w:pPr>
            <w:r/>
            <w:r>
              <w:rPr>
                <w:rFonts w:ascii="Times New Roman" w:hAnsi="Times New Roman" w:eastAsia="宋体"/>
                <w:b w:val="0"/>
                <w:sz w:val="20"/>
              </w:rPr>
              <w:t>MA60在MA120上方，均线向上</w:t>
            </w:r>
          </w:p>
        </w:tc>
        <w:tc>
          <w:tcPr>
            <w:tcW w:type="dxa" w:w="1587"/>
            <w:vAlign w:val="center"/>
          </w:tcPr>
          <w:p>
            <w:pPr>
              <w:jc w:val="left"/>
            </w:pPr>
            <w:r/>
            <w:r>
              <w:rPr>
                <w:rFonts w:ascii="Times New Roman" w:hAnsi="Times New Roman" w:eastAsia="宋体"/>
                <w:b w:val="0"/>
                <w:sz w:val="20"/>
              </w:rPr>
              <w:t>MA60死叉MA120或跌破MA120</w:t>
            </w:r>
          </w:p>
        </w:tc>
        <w:tc>
          <w:tcPr>
            <w:tcW w:type="dxa" w:w="850"/>
            <w:vAlign w:val="center"/>
          </w:tcPr>
          <w:p>
            <w:pPr>
              <w:jc w:val="left"/>
            </w:pPr>
            <w:r/>
            <w:r>
              <w:rPr>
                <w:rFonts w:ascii="Times New Roman" w:hAnsi="Times New Roman" w:eastAsia="宋体"/>
                <w:b w:val="0"/>
                <w:sz w:val="20"/>
              </w:rPr>
              <w:t>3-6月</w:t>
            </w:r>
          </w:p>
        </w:tc>
        <w:tc>
          <w:tcPr>
            <w:tcW w:type="dxa" w:w="1134"/>
            <w:vAlign w:val="center"/>
          </w:tcPr>
          <w:p>
            <w:pPr>
              <w:jc w:val="left"/>
            </w:pPr>
            <w:r/>
            <w:r>
              <w:rPr>
                <w:rFonts w:ascii="Times New Roman" w:hAnsi="Times New Roman" w:eastAsia="宋体"/>
                <w:b w:val="0"/>
                <w:sz w:val="20"/>
              </w:rPr>
              <w:t>价值投资者</w:t>
            </w:r>
          </w:p>
        </w:tc>
      </w:tr>
      <w:tr>
        <w:tc>
          <w:tcPr>
            <w:tcW w:type="dxa" w:w="850"/>
            <w:vAlign w:val="center"/>
          </w:tcPr>
          <w:p>
            <w:pPr>
              <w:jc w:val="left"/>
            </w:pPr>
            <w:r/>
            <w:r>
              <w:rPr>
                <w:rFonts w:ascii="Times New Roman" w:hAnsi="Times New Roman" w:eastAsia="宋体"/>
                <w:b w:val="0"/>
                <w:sz w:val="20"/>
              </w:rPr>
              <w:t>长线</w:t>
            </w:r>
          </w:p>
        </w:tc>
        <w:tc>
          <w:tcPr>
            <w:tcW w:type="dxa" w:w="1020"/>
            <w:vAlign w:val="center"/>
          </w:tcPr>
          <w:p>
            <w:pPr>
              <w:jc w:val="left"/>
            </w:pPr>
            <w:r/>
            <w:r>
              <w:rPr>
                <w:rFonts w:ascii="Times New Roman" w:hAnsi="Times New Roman" w:eastAsia="宋体"/>
                <w:b w:val="0"/>
                <w:sz w:val="20"/>
              </w:rPr>
              <w:t>MA120/MA250</w:t>
            </w:r>
          </w:p>
        </w:tc>
        <w:tc>
          <w:tcPr>
            <w:tcW w:type="dxa" w:w="1587"/>
            <w:vAlign w:val="center"/>
          </w:tcPr>
          <w:p>
            <w:pPr>
              <w:jc w:val="left"/>
            </w:pPr>
            <w:r/>
            <w:r>
              <w:rPr>
                <w:rFonts w:ascii="Times New Roman" w:hAnsi="Times New Roman" w:eastAsia="宋体"/>
                <w:b w:val="0"/>
                <w:sz w:val="20"/>
              </w:rPr>
              <w:t>MA120金叉MA250，股价站上MA250</w:t>
            </w:r>
          </w:p>
        </w:tc>
        <w:tc>
          <w:tcPr>
            <w:tcW w:type="dxa" w:w="1247"/>
            <w:vAlign w:val="center"/>
          </w:tcPr>
          <w:p>
            <w:pPr>
              <w:jc w:val="left"/>
            </w:pPr>
            <w:r/>
            <w:r>
              <w:rPr>
                <w:rFonts w:ascii="Times New Roman" w:hAnsi="Times New Roman" w:eastAsia="宋体"/>
                <w:b w:val="0"/>
                <w:sz w:val="20"/>
              </w:rPr>
              <w:t>股价始终在MA250上方</w:t>
            </w:r>
          </w:p>
        </w:tc>
        <w:tc>
          <w:tcPr>
            <w:tcW w:type="dxa" w:w="1587"/>
            <w:vAlign w:val="center"/>
          </w:tcPr>
          <w:p>
            <w:pPr>
              <w:jc w:val="left"/>
            </w:pPr>
            <w:r/>
            <w:r>
              <w:rPr>
                <w:rFonts w:ascii="Times New Roman" w:hAnsi="Times New Roman" w:eastAsia="宋体"/>
                <w:b w:val="0"/>
                <w:sz w:val="20"/>
              </w:rPr>
              <w:t>股价有效跌破MA250</w:t>
            </w:r>
          </w:p>
        </w:tc>
        <w:tc>
          <w:tcPr>
            <w:tcW w:type="dxa" w:w="850"/>
            <w:vAlign w:val="center"/>
          </w:tcPr>
          <w:p>
            <w:pPr>
              <w:jc w:val="left"/>
            </w:pPr>
            <w:r/>
            <w:r>
              <w:rPr>
                <w:rFonts w:ascii="Times New Roman" w:hAnsi="Times New Roman" w:eastAsia="宋体"/>
                <w:b w:val="0"/>
                <w:sz w:val="20"/>
              </w:rPr>
              <w:t>半年以上</w:t>
            </w:r>
          </w:p>
        </w:tc>
        <w:tc>
          <w:tcPr>
            <w:tcW w:type="dxa" w:w="1134"/>
            <w:vAlign w:val="center"/>
          </w:tcPr>
          <w:p>
            <w:pPr>
              <w:jc w:val="left"/>
            </w:pPr>
            <w:r/>
            <w:r>
              <w:rPr>
                <w:rFonts w:ascii="Times New Roman" w:hAnsi="Times New Roman" w:eastAsia="宋体"/>
                <w:b w:val="0"/>
                <w:sz w:val="20"/>
              </w:rPr>
              <w:t>稳健长期投资者</w:t>
            </w:r>
          </w:p>
        </w:tc>
      </w:tr>
      <w:tr>
        <w:tc>
          <w:tcPr>
            <w:tcW w:type="dxa" w:w="850"/>
            <w:vAlign w:val="center"/>
          </w:tcPr>
          <w:p>
            <w:pPr>
              <w:jc w:val="left"/>
            </w:pPr>
            <w:r/>
            <w:r>
              <w:rPr>
                <w:rFonts w:ascii="Times New Roman" w:hAnsi="Times New Roman" w:eastAsia="宋体"/>
                <w:b w:val="0"/>
                <w:sz w:val="20"/>
              </w:rPr>
              <w:t>超长线</w:t>
            </w:r>
          </w:p>
        </w:tc>
        <w:tc>
          <w:tcPr>
            <w:tcW w:type="dxa" w:w="1020"/>
            <w:vAlign w:val="center"/>
          </w:tcPr>
          <w:p>
            <w:pPr>
              <w:jc w:val="left"/>
            </w:pPr>
            <w:r/>
            <w:r>
              <w:rPr>
                <w:rFonts w:ascii="Times New Roman" w:hAnsi="Times New Roman" w:eastAsia="宋体"/>
                <w:b w:val="0"/>
                <w:sz w:val="20"/>
              </w:rPr>
              <w:t>MA250/MA850</w:t>
            </w:r>
          </w:p>
        </w:tc>
        <w:tc>
          <w:tcPr>
            <w:tcW w:type="dxa" w:w="1587"/>
            <w:vAlign w:val="center"/>
          </w:tcPr>
          <w:p>
            <w:pPr>
              <w:jc w:val="left"/>
            </w:pPr>
            <w:r/>
            <w:r>
              <w:rPr>
                <w:rFonts w:ascii="Times New Roman" w:hAnsi="Times New Roman" w:eastAsia="宋体"/>
                <w:b w:val="0"/>
                <w:sz w:val="20"/>
              </w:rPr>
              <w:t>股价向上突破MA850</w:t>
            </w:r>
          </w:p>
        </w:tc>
        <w:tc>
          <w:tcPr>
            <w:tcW w:type="dxa" w:w="1247"/>
            <w:vAlign w:val="center"/>
          </w:tcPr>
          <w:p>
            <w:pPr>
              <w:jc w:val="left"/>
            </w:pPr>
            <w:r/>
            <w:r>
              <w:rPr>
                <w:rFonts w:ascii="Times New Roman" w:hAnsi="Times New Roman" w:eastAsia="宋体"/>
                <w:b w:val="0"/>
                <w:sz w:val="20"/>
              </w:rPr>
              <w:t>股价始终在MA850上方</w:t>
            </w:r>
          </w:p>
        </w:tc>
        <w:tc>
          <w:tcPr>
            <w:tcW w:type="dxa" w:w="1587"/>
            <w:vAlign w:val="center"/>
          </w:tcPr>
          <w:p>
            <w:pPr>
              <w:jc w:val="left"/>
            </w:pPr>
            <w:r/>
            <w:r>
              <w:rPr>
                <w:rFonts w:ascii="Times New Roman" w:hAnsi="Times New Roman" w:eastAsia="宋体"/>
                <w:b w:val="0"/>
                <w:sz w:val="20"/>
              </w:rPr>
              <w:t>股价有效跌破MA850</w:t>
            </w:r>
          </w:p>
        </w:tc>
        <w:tc>
          <w:tcPr>
            <w:tcW w:type="dxa" w:w="850"/>
            <w:vAlign w:val="center"/>
          </w:tcPr>
          <w:p>
            <w:pPr>
              <w:jc w:val="left"/>
            </w:pPr>
            <w:r/>
            <w:r>
              <w:rPr>
                <w:rFonts w:ascii="Times New Roman" w:hAnsi="Times New Roman" w:eastAsia="宋体"/>
                <w:b w:val="0"/>
                <w:sz w:val="20"/>
              </w:rPr>
              <w:t>3年以上</w:t>
            </w:r>
          </w:p>
        </w:tc>
        <w:tc>
          <w:tcPr>
            <w:tcW w:type="dxa" w:w="1134"/>
            <w:vAlign w:val="center"/>
          </w:tcPr>
          <w:p>
            <w:pPr>
              <w:jc w:val="left"/>
            </w:pPr>
            <w:r/>
            <w:r>
              <w:rPr>
                <w:rFonts w:ascii="Times New Roman" w:hAnsi="Times New Roman" w:eastAsia="宋体"/>
                <w:b w:val="0"/>
                <w:sz w:val="20"/>
              </w:rPr>
              <w:t>养老/传承资金</w:t>
            </w:r>
          </w:p>
        </w:tc>
      </w:tr>
    </w:tbl>
    <w:p>
      <w:pPr>
        <w:spacing w:before="280" w:after="160"/>
      </w:pPr>
      <w:r>
        <w:rPr>
          <w:rFonts w:ascii="Times New Roman" w:hAnsi="Times New Roman" w:eastAsia="微软雅黑"/>
          <w:b/>
          <w:color w:val="2E75B6"/>
          <w:sz w:val="26"/>
        </w:rPr>
        <w:t>11.1 超短线战法（MA5/MA10）</w:t>
      </w:r>
    </w:p>
    <w:p>
      <w:pPr>
        <w:spacing w:line="360" w:lineRule="auto" w:after="80"/>
        <w:ind w:firstLine="440"/>
      </w:pPr>
      <w:r>
        <w:rPr>
          <w:rFonts w:ascii="Times New Roman" w:hAnsi="Times New Roman" w:eastAsia="宋体"/>
          <w:b w:val="0"/>
          <w:sz w:val="22"/>
        </w:rPr>
        <w:t>特点：信号灵敏但假信号多，需要极强的执行力和止损纪律。</w:t>
      </w:r>
    </w:p>
    <w:p>
      <w:pPr>
        <w:spacing w:line="360" w:lineRule="auto" w:after="80"/>
        <w:ind w:firstLine="440"/>
      </w:pPr>
      <w:r>
        <w:rPr>
          <w:rFonts w:ascii="Times New Roman" w:hAnsi="Times New Roman" w:eastAsia="宋体"/>
          <w:b w:val="0"/>
          <w:sz w:val="22"/>
        </w:rPr>
        <w:t>买入信号：MA5金叉MA10 + 股价站稳两线 + 成交量放大。</w:t>
      </w:r>
    </w:p>
    <w:p>
      <w:pPr>
        <w:spacing w:line="360" w:lineRule="auto" w:after="80"/>
        <w:ind w:firstLine="440"/>
      </w:pPr>
      <w:r>
        <w:rPr>
          <w:rFonts w:ascii="Times New Roman" w:hAnsi="Times New Roman" w:eastAsia="宋体"/>
          <w:b w:val="0"/>
          <w:sz w:val="22"/>
        </w:rPr>
        <w:t>卖出信号：MA5死叉MA10 或 股价跌破MA10。</w:t>
      </w:r>
    </w:p>
    <w:p>
      <w:pPr>
        <w:spacing w:line="360" w:lineRule="auto" w:after="80"/>
        <w:ind w:firstLine="440"/>
      </w:pPr>
      <w:r>
        <w:rPr>
          <w:rFonts w:ascii="Times New Roman" w:hAnsi="Times New Roman" w:eastAsia="宋体"/>
          <w:b w:val="0"/>
          <w:sz w:val="22"/>
        </w:rPr>
        <w:t>仓位建议：单只股票不超过总资金的30%；最多同时持有3-5只股票。</w:t>
      </w:r>
    </w:p>
    <w:p>
      <w:pPr>
        <w:spacing w:line="360" w:lineRule="auto" w:after="80"/>
        <w:ind w:firstLine="440"/>
      </w:pPr>
      <w:r>
        <w:rPr>
          <w:rFonts w:ascii="Times New Roman" w:hAnsi="Times New Roman" w:eastAsia="宋体"/>
          <w:b w:val="0"/>
          <w:sz w:val="22"/>
        </w:rPr>
        <w:t>关键纪律：严格止损（5-8%），盈利5-10%即可部分止盈。</w:t>
      </w:r>
    </w:p>
    <w:p>
      <w:pPr>
        <w:spacing w:before="280" w:after="160"/>
      </w:pPr>
      <w:r>
        <w:rPr>
          <w:rFonts w:ascii="Times New Roman" w:hAnsi="Times New Roman" w:eastAsia="微软雅黑"/>
          <w:b/>
          <w:color w:val="2E75B6"/>
          <w:sz w:val="26"/>
        </w:rPr>
        <w:t>11.2 短线战法（MA10/MA20）</w:t>
      </w:r>
    </w:p>
    <w:p>
      <w:pPr>
        <w:spacing w:line="360" w:lineRule="auto" w:after="80"/>
        <w:ind w:firstLine="440"/>
      </w:pPr>
      <w:r>
        <w:rPr>
          <w:rFonts w:ascii="Times New Roman" w:hAnsi="Times New Roman" w:eastAsia="宋体"/>
          <w:b w:val="0"/>
          <w:sz w:val="22"/>
        </w:rPr>
        <w:t>特点：比超短线可靠性更高，持仓周期适中，是最主流的短线策略。</w:t>
      </w:r>
    </w:p>
    <w:p>
      <w:pPr>
        <w:spacing w:line="360" w:lineRule="auto" w:after="80"/>
        <w:ind w:firstLine="440"/>
      </w:pPr>
      <w:r>
        <w:rPr>
          <w:rFonts w:ascii="Times New Roman" w:hAnsi="Times New Roman" w:eastAsia="宋体"/>
          <w:b w:val="0"/>
          <w:sz w:val="22"/>
        </w:rPr>
        <w:t>关键均线：20日线是核心。站上20日线为多头，跌破20日线为空头。</w:t>
      </w:r>
    </w:p>
    <w:p>
      <w:pPr>
        <w:spacing w:line="360" w:lineRule="auto" w:after="80"/>
        <w:ind w:firstLine="440"/>
      </w:pPr>
      <w:r>
        <w:rPr>
          <w:rFonts w:ascii="Times New Roman" w:hAnsi="Times New Roman" w:eastAsia="宋体"/>
          <w:b w:val="0"/>
          <w:sz w:val="22"/>
        </w:rPr>
        <w:t>最佳买点：回踩20日线止跌、MA10金叉MA20、假跌破20日线后收复。</w:t>
      </w:r>
    </w:p>
    <w:p>
      <w:pPr>
        <w:spacing w:line="360" w:lineRule="auto" w:after="80"/>
        <w:ind w:firstLine="440"/>
      </w:pPr>
      <w:r>
        <w:rPr>
          <w:rFonts w:ascii="Times New Roman" w:hAnsi="Times New Roman" w:eastAsia="宋体"/>
          <w:b w:val="0"/>
          <w:sz w:val="22"/>
        </w:rPr>
        <w:t>最佳卖点：跌破20日线、MA10死叉MA20、正乖离率过大。</w:t>
      </w:r>
    </w:p>
    <w:p>
      <w:pPr>
        <w:spacing w:before="280" w:after="160"/>
      </w:pPr>
      <w:r>
        <w:rPr>
          <w:rFonts w:ascii="Times New Roman" w:hAnsi="Times New Roman" w:eastAsia="微软雅黑"/>
          <w:b/>
          <w:color w:val="2E75B6"/>
          <w:sz w:val="26"/>
        </w:rPr>
        <w:t>11.3 中线战法（MA20/MA60）</w:t>
      </w:r>
    </w:p>
    <w:p>
      <w:pPr>
        <w:spacing w:line="360" w:lineRule="auto" w:after="80"/>
        <w:ind w:firstLine="440"/>
      </w:pPr>
      <w:r>
        <w:rPr>
          <w:rFonts w:ascii="Times New Roman" w:hAnsi="Times New Roman" w:eastAsia="宋体"/>
          <w:b w:val="0"/>
          <w:sz w:val="22"/>
        </w:rPr>
        <w:t>特点：这是波段交易者的黄金组合。信号相对可靠，每波行情可吃到主升浪的主体部分。</w:t>
      </w:r>
    </w:p>
    <w:p>
      <w:pPr>
        <w:spacing w:line="360" w:lineRule="auto" w:after="80"/>
        <w:ind w:firstLine="440"/>
      </w:pPr>
      <w:r>
        <w:rPr>
          <w:rFonts w:ascii="Times New Roman" w:hAnsi="Times New Roman" w:eastAsia="宋体"/>
          <w:b w:val="0"/>
          <w:sz w:val="22"/>
        </w:rPr>
        <w:t>关键均线：60日线是庄家线，反映主力成本。</w:t>
      </w:r>
    </w:p>
    <w:p>
      <w:pPr>
        <w:spacing w:line="360" w:lineRule="auto" w:after="80"/>
        <w:ind w:firstLine="440"/>
      </w:pPr>
      <w:r>
        <w:rPr>
          <w:rFonts w:ascii="Times New Roman" w:hAnsi="Times New Roman" w:eastAsia="宋体"/>
          <w:b w:val="0"/>
          <w:sz w:val="22"/>
        </w:rPr>
        <w:t>最佳买点：MA20金叉MA60、回踩60日线支撑成功、长期横盘后站上60日线。</w:t>
      </w:r>
    </w:p>
    <w:p>
      <w:pPr>
        <w:spacing w:line="360" w:lineRule="auto" w:after="80"/>
        <w:ind w:firstLine="440"/>
      </w:pPr>
      <w:r>
        <w:rPr>
          <w:rFonts w:ascii="Times New Roman" w:hAnsi="Times New Roman" w:eastAsia="宋体"/>
          <w:b w:val="0"/>
          <w:sz w:val="22"/>
        </w:rPr>
        <w:t>最佳卖点：跌破60日线、MA20死叉MA60、三线开花结束并开始闭合。</w:t>
      </w:r>
    </w:p>
    <w:p>
      <w:pPr>
        <w:spacing w:line="360" w:lineRule="auto" w:after="80"/>
        <w:ind w:firstLine="440"/>
      </w:pPr>
      <w:r>
        <w:rPr>
          <w:rFonts w:ascii="Times New Roman" w:hAnsi="Times New Roman" w:eastAsia="宋体"/>
          <w:b w:val="0"/>
          <w:sz w:val="22"/>
        </w:rPr>
        <w:t>预期收益：每波10%-50%。</w:t>
      </w:r>
    </w:p>
    <w:p>
      <w:pPr>
        <w:spacing w:before="280" w:after="160"/>
      </w:pPr>
      <w:r>
        <w:rPr>
          <w:rFonts w:ascii="Times New Roman" w:hAnsi="Times New Roman" w:eastAsia="微软雅黑"/>
          <w:b/>
          <w:color w:val="2E75B6"/>
          <w:sz w:val="26"/>
        </w:rPr>
        <w:t>11.4 中长线战法（MA60/MA120）</w:t>
      </w:r>
    </w:p>
    <w:p>
      <w:pPr>
        <w:spacing w:line="360" w:lineRule="auto" w:after="80"/>
        <w:ind w:firstLine="440"/>
      </w:pPr>
      <w:r>
        <w:rPr>
          <w:rFonts w:ascii="Times New Roman" w:hAnsi="Times New Roman" w:eastAsia="宋体"/>
          <w:b w:val="0"/>
          <w:sz w:val="22"/>
        </w:rPr>
        <w:t>特点：把握中等级别的趋势行情，每次行情可吃3-6个月。</w:t>
      </w:r>
    </w:p>
    <w:p>
      <w:pPr>
        <w:spacing w:line="360" w:lineRule="auto" w:after="80"/>
        <w:ind w:firstLine="440"/>
      </w:pPr>
      <w:r>
        <w:rPr>
          <w:rFonts w:ascii="Times New Roman" w:hAnsi="Times New Roman" w:eastAsia="宋体"/>
          <w:b w:val="0"/>
          <w:sz w:val="22"/>
        </w:rPr>
        <w:t>关键均线：120日线是中长期趋势分界线。</w:t>
      </w:r>
    </w:p>
    <w:p>
      <w:pPr>
        <w:spacing w:line="360" w:lineRule="auto" w:after="80"/>
        <w:ind w:firstLine="440"/>
      </w:pPr>
      <w:r>
        <w:rPr>
          <w:rFonts w:ascii="Times New Roman" w:hAnsi="Times New Roman" w:eastAsia="宋体"/>
          <w:b w:val="0"/>
          <w:sz w:val="22"/>
        </w:rPr>
        <w:t>买入策略：MA60金叉MA120是极强战略信号，可重仓建仓。</w:t>
      </w:r>
    </w:p>
    <w:p>
      <w:pPr>
        <w:spacing w:line="360" w:lineRule="auto" w:after="80"/>
        <w:ind w:firstLine="440"/>
      </w:pPr>
      <w:r>
        <w:rPr>
          <w:rFonts w:ascii="Times New Roman" w:hAnsi="Times New Roman" w:eastAsia="宋体"/>
          <w:b w:val="0"/>
          <w:sz w:val="22"/>
        </w:rPr>
        <w:t>预期收益：每波20%-100%。</w:t>
      </w:r>
    </w:p>
    <w:p>
      <w:pPr>
        <w:spacing w:before="280" w:after="160"/>
      </w:pPr>
      <w:r>
        <w:rPr>
          <w:rFonts w:ascii="Times New Roman" w:hAnsi="Times New Roman" w:eastAsia="微软雅黑"/>
          <w:b/>
          <w:color w:val="2E75B6"/>
          <w:sz w:val="26"/>
        </w:rPr>
        <w:t>11.5 长线战法（MA120/MA250）</w:t>
      </w:r>
    </w:p>
    <w:p>
      <w:pPr>
        <w:spacing w:line="360" w:lineRule="auto" w:after="80"/>
        <w:ind w:firstLine="440"/>
      </w:pPr>
      <w:r>
        <w:rPr>
          <w:rFonts w:ascii="Times New Roman" w:hAnsi="Times New Roman" w:eastAsia="宋体"/>
          <w:b w:val="0"/>
          <w:sz w:val="22"/>
        </w:rPr>
        <w:t>特点：穿越牛熊，把握大级别行情。每次行情至少持有半年以上。</w:t>
      </w:r>
    </w:p>
    <w:p>
      <w:pPr>
        <w:spacing w:line="360" w:lineRule="auto" w:after="80"/>
        <w:ind w:firstLine="440"/>
      </w:pPr>
      <w:r>
        <w:rPr>
          <w:rFonts w:ascii="Times New Roman" w:hAnsi="Times New Roman" w:eastAsia="宋体"/>
          <w:b w:val="0"/>
          <w:sz w:val="22"/>
        </w:rPr>
        <w:t>关键均线：250日线（年线）是牛熊分界。</w:t>
      </w:r>
    </w:p>
    <w:p>
      <w:pPr>
        <w:spacing w:line="360" w:lineRule="auto" w:after="80"/>
        <w:ind w:firstLine="440"/>
      </w:pPr>
      <w:r>
        <w:rPr>
          <w:rFonts w:ascii="Times New Roman" w:hAnsi="Times New Roman" w:eastAsia="宋体"/>
          <w:b w:val="0"/>
          <w:sz w:val="22"/>
        </w:rPr>
        <w:t>买入策略：年线首次支撑成功、站上年线且年线上行。</w:t>
      </w:r>
    </w:p>
    <w:p>
      <w:pPr>
        <w:spacing w:line="360" w:lineRule="auto" w:after="80"/>
        <w:ind w:firstLine="440"/>
      </w:pPr>
      <w:r>
        <w:rPr>
          <w:rFonts w:ascii="Times New Roman" w:hAnsi="Times New Roman" w:eastAsia="宋体"/>
          <w:b w:val="0"/>
          <w:sz w:val="22"/>
        </w:rPr>
        <w:t>预期收益：每波50%-300%。</w:t>
      </w:r>
    </w:p>
    <w:p>
      <w:pPr>
        <w:spacing w:before="280" w:after="160"/>
      </w:pPr>
      <w:r>
        <w:rPr>
          <w:rFonts w:ascii="Times New Roman" w:hAnsi="Times New Roman" w:eastAsia="微软雅黑"/>
          <w:b/>
          <w:color w:val="2E75B6"/>
          <w:sz w:val="26"/>
        </w:rPr>
        <w:t>11.6 超长线战法（MA250/MA850）</w:t>
      </w:r>
    </w:p>
    <w:p>
      <w:pPr>
        <w:spacing w:line="360" w:lineRule="auto" w:after="80"/>
        <w:ind w:firstLine="440"/>
      </w:pPr>
      <w:r>
        <w:rPr>
          <w:rFonts w:ascii="Times New Roman" w:hAnsi="Times New Roman" w:eastAsia="宋体"/>
          <w:b w:val="0"/>
          <w:sz w:val="22"/>
        </w:rPr>
        <w:t>特点：把握宏观经济周期转折，适合养老资金、传承资金。</w:t>
      </w:r>
    </w:p>
    <w:p>
      <w:pPr>
        <w:spacing w:line="360" w:lineRule="auto" w:after="80"/>
        <w:ind w:firstLine="440"/>
      </w:pPr>
      <w:r>
        <w:rPr>
          <w:rFonts w:ascii="Times New Roman" w:hAnsi="Times New Roman" w:eastAsia="宋体"/>
          <w:b w:val="0"/>
          <w:sz w:val="22"/>
        </w:rPr>
        <w:t>关键均线：MA850是基钦周期线。</w:t>
      </w:r>
    </w:p>
    <w:p>
      <w:pPr>
        <w:spacing w:line="360" w:lineRule="auto" w:after="80"/>
        <w:ind w:firstLine="440"/>
      </w:pPr>
      <w:r>
        <w:rPr>
          <w:rFonts w:ascii="Times New Roman" w:hAnsi="Times New Roman" w:eastAsia="宋体"/>
          <w:b w:val="0"/>
          <w:sz w:val="22"/>
        </w:rPr>
        <w:t>买入策略：股价向上突破MA850后，可长期持有3-5年甚至更久。</w:t>
      </w:r>
    </w:p>
    <w:p>
      <w:pPr>
        <w:spacing w:line="360" w:lineRule="auto" w:after="80"/>
        <w:ind w:firstLine="440"/>
      </w:pPr>
      <w:r>
        <w:rPr>
          <w:rFonts w:ascii="Times New Roman" w:hAnsi="Times New Roman" w:eastAsia="宋体"/>
          <w:b w:val="0"/>
          <w:sz w:val="22"/>
        </w:rPr>
        <w:t>预期收益：每波可能达到数倍。</w:t>
      </w:r>
    </w:p>
    <w:p>
      <w:r>
        <w:br w:type="page"/>
      </w:r>
    </w:p>
    <w:p>
      <w:pPr>
        <w:spacing w:before="400" w:after="240"/>
      </w:pPr>
      <w:r>
        <w:rPr>
          <w:rFonts w:ascii="Times New Roman" w:hAnsi="Times New Roman" w:eastAsia="微软雅黑"/>
          <w:b/>
          <w:color w:val="1F4E78"/>
          <w:sz w:val="32"/>
        </w:rPr>
        <w:t>第十二章  风险管理与仓位控制</w:t>
      </w:r>
    </w:p>
    <w:p>
      <w:pPr>
        <w:spacing w:line="360" w:lineRule="auto" w:after="80"/>
        <w:ind w:firstLine="440"/>
      </w:pPr>
      <w:r>
        <w:rPr>
          <w:rFonts w:ascii="Times New Roman" w:hAnsi="Times New Roman" w:eastAsia="宋体"/>
          <w:b w:val="0"/>
          <w:sz w:val="22"/>
        </w:rPr>
        <w:t>风险管理是均线交易能否长期生存的决定性因素。任何均线信号都存在失败概率，没有严格的风控，再好的信号也会让投资者走向破产。本章系统梳理均线交易的五大风控工具。</w:t>
      </w:r>
    </w:p>
    <w:p>
      <w:pPr>
        <w:spacing w:before="280" w:after="160"/>
      </w:pPr>
      <w:r>
        <w:rPr>
          <w:rFonts w:ascii="Times New Roman" w:hAnsi="Times New Roman" w:eastAsia="微软雅黑"/>
          <w:b/>
          <w:color w:val="2E75B6"/>
          <w:sz w:val="26"/>
        </w:rPr>
        <w:t>12.1 止损规则</w:t>
      </w:r>
    </w:p>
    <w:p>
      <w:pPr>
        <w:spacing w:before="200" w:after="120"/>
      </w:pPr>
      <w:r>
        <w:rPr>
          <w:rFonts w:ascii="Times New Roman" w:hAnsi="Times New Roman" w:eastAsia="微软雅黑"/>
          <w:b/>
          <w:color w:val="44546A"/>
          <w:sz w:val="24"/>
        </w:rPr>
        <w:t>12.1.1 固定均线止损法</w:t>
      </w:r>
    </w:p>
    <w:p>
      <w:pPr>
        <w:spacing w:line="360" w:lineRule="auto" w:after="80"/>
        <w:ind w:firstLine="440"/>
      </w:pPr>
      <w:r>
        <w:rPr>
          <w:rFonts w:ascii="Times New Roman" w:hAnsi="Times New Roman" w:eastAsia="宋体"/>
          <w:b w:val="0"/>
          <w:sz w:val="22"/>
        </w:rPr>
        <w:t>核心思想：以某条关键均线作为止损位。买入依据的均线被跌破即止损。</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1984"/>
            <w:shd w:fill="2E75B6"/>
            <w:vAlign w:val="center"/>
          </w:tcPr>
          <w:p>
            <w:pPr>
              <w:jc w:val="center"/>
            </w:pPr>
            <w:r/>
            <w:r>
              <w:rPr>
                <w:rFonts w:ascii="Times New Roman" w:hAnsi="Times New Roman" w:eastAsia="微软雅黑"/>
                <w:b/>
                <w:color w:val="FFFFFF"/>
                <w:sz w:val="20"/>
              </w:rPr>
              <w:t>买入依据</w:t>
            </w:r>
          </w:p>
        </w:tc>
        <w:tc>
          <w:tcPr>
            <w:tcW w:type="dxa" w:w="1417"/>
            <w:shd w:fill="2E75B6"/>
            <w:vAlign w:val="center"/>
          </w:tcPr>
          <w:p>
            <w:pPr>
              <w:jc w:val="center"/>
            </w:pPr>
            <w:r/>
            <w:r>
              <w:rPr>
                <w:rFonts w:ascii="Times New Roman" w:hAnsi="Times New Roman" w:eastAsia="微软雅黑"/>
                <w:b/>
                <w:color w:val="FFFFFF"/>
                <w:sz w:val="20"/>
              </w:rPr>
              <w:t>止损均线</w:t>
            </w:r>
          </w:p>
        </w:tc>
        <w:tc>
          <w:tcPr>
            <w:tcW w:type="dxa" w:w="2551"/>
            <w:shd w:fill="2E75B6"/>
            <w:vAlign w:val="center"/>
          </w:tcPr>
          <w:p>
            <w:pPr>
              <w:jc w:val="center"/>
            </w:pPr>
            <w:r/>
            <w:r>
              <w:rPr>
                <w:rFonts w:ascii="Times New Roman" w:hAnsi="Times New Roman" w:eastAsia="微软雅黑"/>
                <w:b/>
                <w:color w:val="FFFFFF"/>
                <w:sz w:val="20"/>
              </w:rPr>
              <w:t>止损触发条件</w:t>
            </w:r>
          </w:p>
        </w:tc>
        <w:tc>
          <w:tcPr>
            <w:tcW w:type="dxa" w:w="1701"/>
            <w:shd w:fill="2E75B6"/>
            <w:vAlign w:val="center"/>
          </w:tcPr>
          <w:p>
            <w:pPr>
              <w:jc w:val="center"/>
            </w:pPr>
            <w:r/>
            <w:r>
              <w:rPr>
                <w:rFonts w:ascii="Times New Roman" w:hAnsi="Times New Roman" w:eastAsia="微软雅黑"/>
                <w:b/>
                <w:color w:val="FFFFFF"/>
                <w:sz w:val="20"/>
              </w:rPr>
              <w:t>执行要求</w:t>
            </w:r>
          </w:p>
        </w:tc>
      </w:tr>
      <w:tr>
        <w:tc>
          <w:tcPr>
            <w:tcW w:type="dxa" w:w="1984"/>
            <w:vAlign w:val="center"/>
          </w:tcPr>
          <w:p>
            <w:pPr>
              <w:jc w:val="left"/>
            </w:pPr>
            <w:r/>
            <w:r>
              <w:rPr>
                <w:rFonts w:ascii="Times New Roman" w:hAnsi="Times New Roman" w:eastAsia="宋体"/>
                <w:b w:val="0"/>
                <w:sz w:val="20"/>
              </w:rPr>
              <w:t>基于MA5金叉MA10</w:t>
            </w:r>
          </w:p>
        </w:tc>
        <w:tc>
          <w:tcPr>
            <w:tcW w:type="dxa" w:w="1417"/>
            <w:vAlign w:val="center"/>
          </w:tcPr>
          <w:p>
            <w:pPr>
              <w:jc w:val="left"/>
            </w:pPr>
            <w:r/>
            <w:r>
              <w:rPr>
                <w:rFonts w:ascii="Times New Roman" w:hAnsi="Times New Roman" w:eastAsia="宋体"/>
                <w:b w:val="0"/>
                <w:sz w:val="20"/>
              </w:rPr>
              <w:t>MA10下方</w:t>
            </w:r>
          </w:p>
        </w:tc>
        <w:tc>
          <w:tcPr>
            <w:tcW w:type="dxa" w:w="2551"/>
            <w:vAlign w:val="center"/>
          </w:tcPr>
          <w:p>
            <w:pPr>
              <w:jc w:val="left"/>
            </w:pPr>
            <w:r/>
            <w:r>
              <w:rPr>
                <w:rFonts w:ascii="Times New Roman" w:hAnsi="Times New Roman" w:eastAsia="宋体"/>
                <w:b w:val="0"/>
                <w:sz w:val="20"/>
              </w:rPr>
              <w:t>连续2日收盘于MA10下方</w:t>
            </w:r>
          </w:p>
        </w:tc>
        <w:tc>
          <w:tcPr>
            <w:tcW w:type="dxa" w:w="1701"/>
            <w:vAlign w:val="center"/>
          </w:tcPr>
          <w:p>
            <w:pPr>
              <w:jc w:val="left"/>
            </w:pPr>
            <w:r/>
            <w:r>
              <w:rPr>
                <w:rFonts w:ascii="Times New Roman" w:hAnsi="Times New Roman" w:eastAsia="宋体"/>
                <w:b w:val="0"/>
                <w:sz w:val="20"/>
              </w:rPr>
              <w:t>当日收盘执行</w:t>
            </w:r>
          </w:p>
        </w:tc>
      </w:tr>
      <w:tr>
        <w:tc>
          <w:tcPr>
            <w:tcW w:type="dxa" w:w="1984"/>
            <w:vAlign w:val="center"/>
          </w:tcPr>
          <w:p>
            <w:pPr>
              <w:jc w:val="left"/>
            </w:pPr>
            <w:r/>
            <w:r>
              <w:rPr>
                <w:rFonts w:ascii="Times New Roman" w:hAnsi="Times New Roman" w:eastAsia="宋体"/>
                <w:b w:val="0"/>
                <w:sz w:val="20"/>
              </w:rPr>
              <w:t>基于MA10金叉MA20</w:t>
            </w:r>
          </w:p>
        </w:tc>
        <w:tc>
          <w:tcPr>
            <w:tcW w:type="dxa" w:w="1417"/>
            <w:vAlign w:val="center"/>
          </w:tcPr>
          <w:p>
            <w:pPr>
              <w:jc w:val="left"/>
            </w:pPr>
            <w:r/>
            <w:r>
              <w:rPr>
                <w:rFonts w:ascii="Times New Roman" w:hAnsi="Times New Roman" w:eastAsia="宋体"/>
                <w:b w:val="0"/>
                <w:sz w:val="20"/>
              </w:rPr>
              <w:t>MA20下方</w:t>
            </w:r>
          </w:p>
        </w:tc>
        <w:tc>
          <w:tcPr>
            <w:tcW w:type="dxa" w:w="2551"/>
            <w:vAlign w:val="center"/>
          </w:tcPr>
          <w:p>
            <w:pPr>
              <w:jc w:val="left"/>
            </w:pPr>
            <w:r/>
            <w:r>
              <w:rPr>
                <w:rFonts w:ascii="Times New Roman" w:hAnsi="Times New Roman" w:eastAsia="宋体"/>
                <w:b w:val="0"/>
                <w:sz w:val="20"/>
              </w:rPr>
              <w:t>连续2日收盘于MA20下方</w:t>
            </w:r>
          </w:p>
        </w:tc>
        <w:tc>
          <w:tcPr>
            <w:tcW w:type="dxa" w:w="1701"/>
            <w:vAlign w:val="center"/>
          </w:tcPr>
          <w:p>
            <w:pPr>
              <w:jc w:val="left"/>
            </w:pPr>
            <w:r/>
            <w:r>
              <w:rPr>
                <w:rFonts w:ascii="Times New Roman" w:hAnsi="Times New Roman" w:eastAsia="宋体"/>
                <w:b w:val="0"/>
                <w:sz w:val="20"/>
              </w:rPr>
              <w:t>当日收盘执行</w:t>
            </w:r>
          </w:p>
        </w:tc>
      </w:tr>
      <w:tr>
        <w:tc>
          <w:tcPr>
            <w:tcW w:type="dxa" w:w="1984"/>
            <w:vAlign w:val="center"/>
          </w:tcPr>
          <w:p>
            <w:pPr>
              <w:jc w:val="left"/>
            </w:pPr>
            <w:r/>
            <w:r>
              <w:rPr>
                <w:rFonts w:ascii="Times New Roman" w:hAnsi="Times New Roman" w:eastAsia="宋体"/>
                <w:b w:val="0"/>
                <w:sz w:val="20"/>
              </w:rPr>
              <w:t>基于MA20金叉MA60</w:t>
            </w:r>
          </w:p>
        </w:tc>
        <w:tc>
          <w:tcPr>
            <w:tcW w:type="dxa" w:w="1417"/>
            <w:vAlign w:val="center"/>
          </w:tcPr>
          <w:p>
            <w:pPr>
              <w:jc w:val="left"/>
            </w:pPr>
            <w:r/>
            <w:r>
              <w:rPr>
                <w:rFonts w:ascii="Times New Roman" w:hAnsi="Times New Roman" w:eastAsia="宋体"/>
                <w:b w:val="0"/>
                <w:sz w:val="20"/>
              </w:rPr>
              <w:t>MA60下方3%</w:t>
            </w:r>
          </w:p>
        </w:tc>
        <w:tc>
          <w:tcPr>
            <w:tcW w:type="dxa" w:w="2551"/>
            <w:vAlign w:val="center"/>
          </w:tcPr>
          <w:p>
            <w:pPr>
              <w:jc w:val="left"/>
            </w:pPr>
            <w:r/>
            <w:r>
              <w:rPr>
                <w:rFonts w:ascii="Times New Roman" w:hAnsi="Times New Roman" w:eastAsia="宋体"/>
                <w:b w:val="0"/>
                <w:sz w:val="20"/>
              </w:rPr>
              <w:t>连续3日收盘于MA60下方</w:t>
            </w:r>
          </w:p>
        </w:tc>
        <w:tc>
          <w:tcPr>
            <w:tcW w:type="dxa" w:w="1701"/>
            <w:vAlign w:val="center"/>
          </w:tcPr>
          <w:p>
            <w:pPr>
              <w:jc w:val="left"/>
            </w:pPr>
            <w:r/>
            <w:r>
              <w:rPr>
                <w:rFonts w:ascii="Times New Roman" w:hAnsi="Times New Roman" w:eastAsia="宋体"/>
                <w:b w:val="0"/>
                <w:sz w:val="20"/>
              </w:rPr>
              <w:t>次日开盘执行</w:t>
            </w:r>
          </w:p>
        </w:tc>
      </w:tr>
      <w:tr>
        <w:tc>
          <w:tcPr>
            <w:tcW w:type="dxa" w:w="1984"/>
            <w:vAlign w:val="center"/>
          </w:tcPr>
          <w:p>
            <w:pPr>
              <w:jc w:val="left"/>
            </w:pPr>
            <w:r/>
            <w:r>
              <w:rPr>
                <w:rFonts w:ascii="Times New Roman" w:hAnsi="Times New Roman" w:eastAsia="宋体"/>
                <w:b w:val="0"/>
                <w:sz w:val="20"/>
              </w:rPr>
              <w:t>基于MA60金叉MA120</w:t>
            </w:r>
          </w:p>
        </w:tc>
        <w:tc>
          <w:tcPr>
            <w:tcW w:type="dxa" w:w="1417"/>
            <w:vAlign w:val="center"/>
          </w:tcPr>
          <w:p>
            <w:pPr>
              <w:jc w:val="left"/>
            </w:pPr>
            <w:r/>
            <w:r>
              <w:rPr>
                <w:rFonts w:ascii="Times New Roman" w:hAnsi="Times New Roman" w:eastAsia="宋体"/>
                <w:b w:val="0"/>
                <w:sz w:val="20"/>
              </w:rPr>
              <w:t>MA120下方5%</w:t>
            </w:r>
          </w:p>
        </w:tc>
        <w:tc>
          <w:tcPr>
            <w:tcW w:type="dxa" w:w="2551"/>
            <w:vAlign w:val="center"/>
          </w:tcPr>
          <w:p>
            <w:pPr>
              <w:jc w:val="left"/>
            </w:pPr>
            <w:r/>
            <w:r>
              <w:rPr>
                <w:rFonts w:ascii="Times New Roman" w:hAnsi="Times New Roman" w:eastAsia="宋体"/>
                <w:b w:val="0"/>
                <w:sz w:val="20"/>
              </w:rPr>
              <w:t>连续3日收盘于MA120下方</w:t>
            </w:r>
          </w:p>
        </w:tc>
        <w:tc>
          <w:tcPr>
            <w:tcW w:type="dxa" w:w="1701"/>
            <w:vAlign w:val="center"/>
          </w:tcPr>
          <w:p>
            <w:pPr>
              <w:jc w:val="left"/>
            </w:pPr>
            <w:r/>
            <w:r>
              <w:rPr>
                <w:rFonts w:ascii="Times New Roman" w:hAnsi="Times New Roman" w:eastAsia="宋体"/>
                <w:b w:val="0"/>
                <w:sz w:val="20"/>
              </w:rPr>
              <w:t>次日开盘执行</w:t>
            </w:r>
          </w:p>
        </w:tc>
      </w:tr>
      <w:tr>
        <w:tc>
          <w:tcPr>
            <w:tcW w:type="dxa" w:w="1984"/>
            <w:vAlign w:val="center"/>
          </w:tcPr>
          <w:p>
            <w:pPr>
              <w:jc w:val="left"/>
            </w:pPr>
            <w:r/>
            <w:r>
              <w:rPr>
                <w:rFonts w:ascii="Times New Roman" w:hAnsi="Times New Roman" w:eastAsia="宋体"/>
                <w:b w:val="0"/>
                <w:sz w:val="20"/>
              </w:rPr>
              <w:t>基于MA120金叉MA250</w:t>
            </w:r>
          </w:p>
        </w:tc>
        <w:tc>
          <w:tcPr>
            <w:tcW w:type="dxa" w:w="1417"/>
            <w:vAlign w:val="center"/>
          </w:tcPr>
          <w:p>
            <w:pPr>
              <w:jc w:val="left"/>
            </w:pPr>
            <w:r/>
            <w:r>
              <w:rPr>
                <w:rFonts w:ascii="Times New Roman" w:hAnsi="Times New Roman" w:eastAsia="宋体"/>
                <w:b w:val="0"/>
                <w:sz w:val="20"/>
              </w:rPr>
              <w:t>MA250下方5%</w:t>
            </w:r>
          </w:p>
        </w:tc>
        <w:tc>
          <w:tcPr>
            <w:tcW w:type="dxa" w:w="2551"/>
            <w:vAlign w:val="center"/>
          </w:tcPr>
          <w:p>
            <w:pPr>
              <w:jc w:val="left"/>
            </w:pPr>
            <w:r/>
            <w:r>
              <w:rPr>
                <w:rFonts w:ascii="Times New Roman" w:hAnsi="Times New Roman" w:eastAsia="宋体"/>
                <w:b w:val="0"/>
                <w:sz w:val="20"/>
              </w:rPr>
              <w:t>连续3日收盘于MA250下方</w:t>
            </w:r>
          </w:p>
        </w:tc>
        <w:tc>
          <w:tcPr>
            <w:tcW w:type="dxa" w:w="1701"/>
            <w:vAlign w:val="center"/>
          </w:tcPr>
          <w:p>
            <w:pPr>
              <w:jc w:val="left"/>
            </w:pPr>
            <w:r/>
            <w:r>
              <w:rPr>
                <w:rFonts w:ascii="Times New Roman" w:hAnsi="Times New Roman" w:eastAsia="宋体"/>
                <w:b w:val="0"/>
                <w:sz w:val="20"/>
              </w:rPr>
              <w:t>分批执行</w:t>
            </w:r>
          </w:p>
        </w:tc>
      </w:tr>
    </w:tbl>
    <w:p>
      <w:pPr>
        <w:spacing w:before="200" w:after="120"/>
      </w:pPr>
      <w:r>
        <w:rPr>
          <w:rFonts w:ascii="Times New Roman" w:hAnsi="Times New Roman" w:eastAsia="微软雅黑"/>
          <w:b/>
          <w:color w:val="44546A"/>
          <w:sz w:val="24"/>
        </w:rPr>
        <w:t>12.1.2 均线排列破坏止损法</w:t>
      </w:r>
    </w:p>
    <w:p>
      <w:pPr>
        <w:spacing w:line="360" w:lineRule="auto" w:after="80"/>
        <w:ind w:firstLine="440"/>
      </w:pPr>
      <w:r>
        <w:rPr>
          <w:rFonts w:ascii="Times New Roman" w:hAnsi="Times New Roman" w:eastAsia="宋体"/>
          <w:b w:val="0"/>
          <w:sz w:val="22"/>
        </w:rPr>
        <w:t>核心思想：当多头排列开始瓦解时止损。具体规则：</w:t>
      </w:r>
    </w:p>
    <w:p>
      <w:pPr>
        <w:spacing w:line="360" w:lineRule="auto" w:after="80"/>
        <w:ind w:firstLine="440"/>
      </w:pPr>
      <w:r>
        <w:rPr>
          <w:rFonts w:ascii="Times New Roman" w:hAnsi="Times New Roman" w:eastAsia="宋体"/>
          <w:b w:val="0"/>
          <w:sz w:val="22"/>
        </w:rPr>
        <w:t>• 警告信号：MA5死叉MA10（仅观察，暂不操作）；</w:t>
      </w:r>
    </w:p>
    <w:p>
      <w:pPr>
        <w:spacing w:line="360" w:lineRule="auto" w:after="80"/>
        <w:ind w:firstLine="440"/>
      </w:pPr>
      <w:r>
        <w:rPr>
          <w:rFonts w:ascii="Times New Roman" w:hAnsi="Times New Roman" w:eastAsia="宋体"/>
          <w:b w:val="0"/>
          <w:sz w:val="22"/>
        </w:rPr>
        <w:t>• 第一止损：MA10死叉MA20（减仓50%）；</w:t>
      </w:r>
    </w:p>
    <w:p>
      <w:pPr>
        <w:spacing w:line="360" w:lineRule="auto" w:after="80"/>
        <w:ind w:firstLine="440"/>
      </w:pPr>
      <w:r>
        <w:rPr>
          <w:rFonts w:ascii="Times New Roman" w:hAnsi="Times New Roman" w:eastAsia="宋体"/>
          <w:b w:val="0"/>
          <w:sz w:val="22"/>
        </w:rPr>
        <w:t>• 第二止损：MA20死叉MA60（清仓至0-20%）；</w:t>
      </w:r>
    </w:p>
    <w:p>
      <w:pPr>
        <w:spacing w:line="360" w:lineRule="auto" w:after="80"/>
        <w:ind w:firstLine="440"/>
      </w:pPr>
      <w:r>
        <w:rPr>
          <w:rFonts w:ascii="Times New Roman" w:hAnsi="Times New Roman" w:eastAsia="宋体"/>
          <w:b w:val="0"/>
          <w:sz w:val="22"/>
        </w:rPr>
        <w:t>• 最终止损：MA60死叉MA120（绝对清仓）。</w:t>
      </w:r>
    </w:p>
    <w:p>
      <w:pPr>
        <w:spacing w:before="200" w:after="120"/>
      </w:pPr>
      <w:r>
        <w:rPr>
          <w:rFonts w:ascii="Times New Roman" w:hAnsi="Times New Roman" w:eastAsia="微软雅黑"/>
          <w:b/>
          <w:color w:val="44546A"/>
          <w:sz w:val="24"/>
        </w:rPr>
        <w:t>12.1.3 三线闭合止损法</w:t>
      </w:r>
    </w:p>
    <w:p>
      <w:pPr>
        <w:spacing w:line="360" w:lineRule="auto" w:after="80"/>
        <w:ind w:firstLine="440"/>
      </w:pPr>
      <w:r>
        <w:rPr>
          <w:rFonts w:ascii="Times New Roman" w:hAnsi="Times New Roman" w:eastAsia="宋体"/>
          <w:b w:val="0"/>
          <w:sz w:val="22"/>
        </w:rPr>
        <w:t>在1250系统中，当三线开花形态开始闭合（三线间距缩小到3%以内）时触发止损。这是三线开花系统独有的止损方式。</w:t>
      </w:r>
    </w:p>
    <w:p>
      <w:pPr>
        <w:spacing w:before="200" w:after="120"/>
      </w:pPr>
      <w:r>
        <w:rPr>
          <w:rFonts w:ascii="Times New Roman" w:hAnsi="Times New Roman" w:eastAsia="微软雅黑"/>
          <w:b/>
          <w:color w:val="44546A"/>
          <w:sz w:val="24"/>
        </w:rPr>
        <w:t>12.1.4 百分比止损法</w:t>
      </w:r>
    </w:p>
    <w:p>
      <w:pPr>
        <w:spacing w:line="360" w:lineRule="auto" w:after="80"/>
        <w:ind w:firstLine="440"/>
      </w:pPr>
      <w:r>
        <w:rPr>
          <w:rFonts w:ascii="Times New Roman" w:hAnsi="Times New Roman" w:eastAsia="宋体"/>
          <w:b w:val="0"/>
          <w:sz w:val="22"/>
        </w:rPr>
        <w:t>核心思想：预设固定百分比止损位，无论技术信号如何都强制止损。</w:t>
      </w:r>
    </w:p>
    <w:p>
      <w:pPr>
        <w:spacing w:line="360" w:lineRule="auto" w:after="80"/>
        <w:ind w:firstLine="440"/>
      </w:pPr>
      <w:r>
        <w:rPr>
          <w:rFonts w:ascii="Times New Roman" w:hAnsi="Times New Roman" w:eastAsia="宋体"/>
          <w:b w:val="0"/>
          <w:sz w:val="22"/>
        </w:rPr>
        <w:t>• 短线交易：止损5%-8%</w:t>
      </w:r>
    </w:p>
    <w:p>
      <w:pPr>
        <w:spacing w:line="360" w:lineRule="auto" w:after="80"/>
        <w:ind w:firstLine="440"/>
      </w:pPr>
      <w:r>
        <w:rPr>
          <w:rFonts w:ascii="Times New Roman" w:hAnsi="Times New Roman" w:eastAsia="宋体"/>
          <w:b w:val="0"/>
          <w:sz w:val="22"/>
        </w:rPr>
        <w:t>• 中线交易：止损10%-15%</w:t>
      </w:r>
    </w:p>
    <w:p>
      <w:pPr>
        <w:spacing w:line="360" w:lineRule="auto" w:after="80"/>
        <w:ind w:firstLine="440"/>
      </w:pPr>
      <w:r>
        <w:rPr>
          <w:rFonts w:ascii="Times New Roman" w:hAnsi="Times New Roman" w:eastAsia="宋体"/>
          <w:b w:val="0"/>
          <w:sz w:val="22"/>
        </w:rPr>
        <w:t>• 长线交易：止损15%-25%</w:t>
      </w:r>
    </w:p>
    <w:p>
      <w:pPr>
        <w:spacing w:before="200" w:after="120"/>
      </w:pPr>
      <w:r>
        <w:rPr>
          <w:rFonts w:ascii="Times New Roman" w:hAnsi="Times New Roman" w:eastAsia="微软雅黑"/>
          <w:b/>
          <w:color w:val="44546A"/>
          <w:sz w:val="24"/>
        </w:rPr>
        <w:t>12.1.5 时间止损法</w:t>
      </w:r>
    </w:p>
    <w:p>
      <w:pPr>
        <w:spacing w:line="360" w:lineRule="auto" w:after="80"/>
        <w:ind w:firstLine="440"/>
      </w:pPr>
      <w:r>
        <w:rPr>
          <w:rFonts w:ascii="Times New Roman" w:hAnsi="Times New Roman" w:eastAsia="宋体"/>
          <w:b w:val="0"/>
          <w:sz w:val="22"/>
        </w:rPr>
        <w:t>核心思想：如果买入后在预定时间内未达预期涨幅，即使未触及价格止损位也强制止损。这避免了资金被无效占用。</w:t>
      </w:r>
    </w:p>
    <w:p>
      <w:pPr>
        <w:spacing w:line="360" w:lineRule="auto" w:after="80"/>
        <w:ind w:firstLine="440"/>
      </w:pPr>
      <w:r>
        <w:rPr>
          <w:rFonts w:ascii="Times New Roman" w:hAnsi="Times New Roman" w:eastAsia="宋体"/>
          <w:b w:val="0"/>
          <w:sz w:val="22"/>
        </w:rPr>
        <w:t>• 短线：买入后5个交易日内未盈利则止损；</w:t>
      </w:r>
    </w:p>
    <w:p>
      <w:pPr>
        <w:spacing w:line="360" w:lineRule="auto" w:after="80"/>
        <w:ind w:firstLine="440"/>
      </w:pPr>
      <w:r>
        <w:rPr>
          <w:rFonts w:ascii="Times New Roman" w:hAnsi="Times New Roman" w:eastAsia="宋体"/>
          <w:b w:val="0"/>
          <w:sz w:val="22"/>
        </w:rPr>
        <w:t>• 中线：买入后1个月内未盈利则止损；</w:t>
      </w:r>
    </w:p>
    <w:p>
      <w:pPr>
        <w:spacing w:line="360" w:lineRule="auto" w:after="80"/>
        <w:ind w:firstLine="440"/>
      </w:pPr>
      <w:r>
        <w:rPr>
          <w:rFonts w:ascii="Times New Roman" w:hAnsi="Times New Roman" w:eastAsia="宋体"/>
          <w:b w:val="0"/>
          <w:sz w:val="22"/>
        </w:rPr>
        <w:t>• 长线：买入后3个月内未盈利则止损。</w:t>
      </w:r>
    </w:p>
    <w:p>
      <w:pPr>
        <w:spacing w:before="280" w:after="160"/>
      </w:pPr>
      <w:r>
        <w:rPr>
          <w:rFonts w:ascii="Times New Roman" w:hAnsi="Times New Roman" w:eastAsia="微软雅黑"/>
          <w:b/>
          <w:color w:val="2E75B6"/>
          <w:sz w:val="26"/>
        </w:rPr>
        <w:t>12.2 仓位管理规则</w:t>
      </w:r>
    </w:p>
    <w:p>
      <w:pPr>
        <w:spacing w:before="200" w:after="120"/>
      </w:pPr>
      <w:r>
        <w:rPr>
          <w:rFonts w:ascii="Times New Roman" w:hAnsi="Times New Roman" w:eastAsia="微软雅黑"/>
          <w:b/>
          <w:color w:val="44546A"/>
          <w:sz w:val="24"/>
        </w:rPr>
        <w:t>12.2.1 基于均线排列的仓位管理</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1701"/>
            <w:shd w:fill="2E75B6"/>
            <w:vAlign w:val="center"/>
          </w:tcPr>
          <w:p>
            <w:pPr>
              <w:jc w:val="center"/>
            </w:pPr>
            <w:r/>
            <w:r>
              <w:rPr>
                <w:rFonts w:ascii="Times New Roman" w:hAnsi="Times New Roman" w:eastAsia="微软雅黑"/>
                <w:b/>
                <w:color w:val="FFFFFF"/>
                <w:sz w:val="20"/>
              </w:rPr>
              <w:t>均线排列状态</w:t>
            </w:r>
          </w:p>
        </w:tc>
        <w:tc>
          <w:tcPr>
            <w:tcW w:type="dxa" w:w="1701"/>
            <w:shd w:fill="2E75B6"/>
            <w:vAlign w:val="center"/>
          </w:tcPr>
          <w:p>
            <w:pPr>
              <w:jc w:val="center"/>
            </w:pPr>
            <w:r/>
            <w:r>
              <w:rPr>
                <w:rFonts w:ascii="Times New Roman" w:hAnsi="Times New Roman" w:eastAsia="微软雅黑"/>
                <w:b/>
                <w:color w:val="FFFFFF"/>
                <w:sz w:val="20"/>
              </w:rPr>
              <w:t>建议仓位</w:t>
            </w:r>
          </w:p>
        </w:tc>
        <w:tc>
          <w:tcPr>
            <w:tcW w:type="dxa" w:w="1984"/>
            <w:shd w:fill="2E75B6"/>
            <w:vAlign w:val="center"/>
          </w:tcPr>
          <w:p>
            <w:pPr>
              <w:jc w:val="center"/>
            </w:pPr>
            <w:r/>
            <w:r>
              <w:rPr>
                <w:rFonts w:ascii="Times New Roman" w:hAnsi="Times New Roman" w:eastAsia="微软雅黑"/>
                <w:b/>
                <w:color w:val="FFFFFF"/>
                <w:sz w:val="20"/>
              </w:rPr>
              <w:t>加仓条件</w:t>
            </w:r>
          </w:p>
        </w:tc>
        <w:tc>
          <w:tcPr>
            <w:tcW w:type="dxa" w:w="2268"/>
            <w:shd w:fill="2E75B6"/>
            <w:vAlign w:val="center"/>
          </w:tcPr>
          <w:p>
            <w:pPr>
              <w:jc w:val="center"/>
            </w:pPr>
            <w:r/>
            <w:r>
              <w:rPr>
                <w:rFonts w:ascii="Times New Roman" w:hAnsi="Times New Roman" w:eastAsia="微软雅黑"/>
                <w:b/>
                <w:color w:val="FFFFFF"/>
                <w:sz w:val="20"/>
              </w:rPr>
              <w:t>减仓条件</w:t>
            </w:r>
          </w:p>
        </w:tc>
      </w:tr>
      <w:tr>
        <w:tc>
          <w:tcPr>
            <w:tcW w:type="dxa" w:w="1701"/>
            <w:vAlign w:val="center"/>
          </w:tcPr>
          <w:p>
            <w:pPr>
              <w:jc w:val="left"/>
            </w:pPr>
            <w:r/>
            <w:r>
              <w:rPr>
                <w:rFonts w:ascii="Times New Roman" w:hAnsi="Times New Roman" w:eastAsia="宋体"/>
                <w:b w:val="0"/>
                <w:sz w:val="20"/>
              </w:rPr>
              <w:t>纯多头排列</w:t>
            </w:r>
          </w:p>
        </w:tc>
        <w:tc>
          <w:tcPr>
            <w:tcW w:type="dxa" w:w="1701"/>
            <w:vAlign w:val="center"/>
          </w:tcPr>
          <w:p>
            <w:pPr>
              <w:jc w:val="left"/>
            </w:pPr>
            <w:r/>
            <w:r>
              <w:rPr>
                <w:rFonts w:ascii="Times New Roman" w:hAnsi="Times New Roman" w:eastAsia="宋体"/>
                <w:b w:val="0"/>
                <w:sz w:val="20"/>
              </w:rPr>
              <w:t>80%-100%</w:t>
            </w:r>
          </w:p>
        </w:tc>
        <w:tc>
          <w:tcPr>
            <w:tcW w:type="dxa" w:w="1984"/>
            <w:vAlign w:val="center"/>
          </w:tcPr>
          <w:p>
            <w:pPr>
              <w:jc w:val="left"/>
            </w:pPr>
            <w:r/>
            <w:r>
              <w:rPr>
                <w:rFonts w:ascii="Times New Roman" w:hAnsi="Times New Roman" w:eastAsia="宋体"/>
                <w:b w:val="0"/>
                <w:sz w:val="20"/>
              </w:rPr>
              <w:t>回踩MA20加仓</w:t>
            </w:r>
          </w:p>
        </w:tc>
        <w:tc>
          <w:tcPr>
            <w:tcW w:type="dxa" w:w="2268"/>
            <w:vAlign w:val="center"/>
          </w:tcPr>
          <w:p>
            <w:pPr>
              <w:jc w:val="left"/>
            </w:pPr>
            <w:r/>
            <w:r>
              <w:rPr>
                <w:rFonts w:ascii="Times New Roman" w:hAnsi="Times New Roman" w:eastAsia="宋体"/>
                <w:b w:val="0"/>
                <w:sz w:val="20"/>
              </w:rPr>
              <w:t>跌破MA20减仓20%</w:t>
            </w:r>
          </w:p>
        </w:tc>
      </w:tr>
      <w:tr>
        <w:tc>
          <w:tcPr>
            <w:tcW w:type="dxa" w:w="1701"/>
            <w:vAlign w:val="center"/>
          </w:tcPr>
          <w:p>
            <w:pPr>
              <w:jc w:val="left"/>
            </w:pPr>
            <w:r/>
            <w:r>
              <w:rPr>
                <w:rFonts w:ascii="Times New Roman" w:hAnsi="Times New Roman" w:eastAsia="宋体"/>
                <w:b w:val="0"/>
                <w:sz w:val="20"/>
              </w:rPr>
              <w:t>标准多头排列</w:t>
            </w:r>
          </w:p>
        </w:tc>
        <w:tc>
          <w:tcPr>
            <w:tcW w:type="dxa" w:w="1701"/>
            <w:vAlign w:val="center"/>
          </w:tcPr>
          <w:p>
            <w:pPr>
              <w:jc w:val="left"/>
            </w:pPr>
            <w:r/>
            <w:r>
              <w:rPr>
                <w:rFonts w:ascii="Times New Roman" w:hAnsi="Times New Roman" w:eastAsia="宋体"/>
                <w:b w:val="0"/>
                <w:sz w:val="20"/>
              </w:rPr>
              <w:t>60%-80%</w:t>
            </w:r>
          </w:p>
        </w:tc>
        <w:tc>
          <w:tcPr>
            <w:tcW w:type="dxa" w:w="1984"/>
            <w:vAlign w:val="center"/>
          </w:tcPr>
          <w:p>
            <w:pPr>
              <w:jc w:val="left"/>
            </w:pPr>
            <w:r/>
            <w:r>
              <w:rPr>
                <w:rFonts w:ascii="Times New Roman" w:hAnsi="Times New Roman" w:eastAsia="宋体"/>
                <w:b w:val="0"/>
                <w:sz w:val="20"/>
              </w:rPr>
              <w:t>回踩MA60加仓</w:t>
            </w:r>
          </w:p>
        </w:tc>
        <w:tc>
          <w:tcPr>
            <w:tcW w:type="dxa" w:w="2268"/>
            <w:vAlign w:val="center"/>
          </w:tcPr>
          <w:p>
            <w:pPr>
              <w:jc w:val="left"/>
            </w:pPr>
            <w:r/>
            <w:r>
              <w:rPr>
                <w:rFonts w:ascii="Times New Roman" w:hAnsi="Times New Roman" w:eastAsia="宋体"/>
                <w:b w:val="0"/>
                <w:sz w:val="20"/>
              </w:rPr>
              <w:t>跌破MA60减仓50%</w:t>
            </w:r>
          </w:p>
        </w:tc>
      </w:tr>
      <w:tr>
        <w:tc>
          <w:tcPr>
            <w:tcW w:type="dxa" w:w="1701"/>
            <w:vAlign w:val="center"/>
          </w:tcPr>
          <w:p>
            <w:pPr>
              <w:jc w:val="left"/>
            </w:pPr>
            <w:r/>
            <w:r>
              <w:rPr>
                <w:rFonts w:ascii="Times New Roman" w:hAnsi="Times New Roman" w:eastAsia="宋体"/>
                <w:b w:val="0"/>
                <w:sz w:val="20"/>
              </w:rPr>
              <w:t>弱多头排列</w:t>
            </w:r>
          </w:p>
        </w:tc>
        <w:tc>
          <w:tcPr>
            <w:tcW w:type="dxa" w:w="1701"/>
            <w:vAlign w:val="center"/>
          </w:tcPr>
          <w:p>
            <w:pPr>
              <w:jc w:val="left"/>
            </w:pPr>
            <w:r/>
            <w:r>
              <w:rPr>
                <w:rFonts w:ascii="Times New Roman" w:hAnsi="Times New Roman" w:eastAsia="宋体"/>
                <w:b w:val="0"/>
                <w:sz w:val="20"/>
              </w:rPr>
              <w:t>30%-50%</w:t>
            </w:r>
          </w:p>
        </w:tc>
        <w:tc>
          <w:tcPr>
            <w:tcW w:type="dxa" w:w="1984"/>
            <w:vAlign w:val="center"/>
          </w:tcPr>
          <w:p>
            <w:pPr>
              <w:jc w:val="left"/>
            </w:pPr>
            <w:r/>
            <w:r>
              <w:rPr>
                <w:rFonts w:ascii="Times New Roman" w:hAnsi="Times New Roman" w:eastAsia="宋体"/>
                <w:b w:val="0"/>
                <w:sz w:val="20"/>
              </w:rPr>
              <w:t>不加仓</w:t>
            </w:r>
          </w:p>
        </w:tc>
        <w:tc>
          <w:tcPr>
            <w:tcW w:type="dxa" w:w="2268"/>
            <w:vAlign w:val="center"/>
          </w:tcPr>
          <w:p>
            <w:pPr>
              <w:jc w:val="left"/>
            </w:pPr>
            <w:r/>
            <w:r>
              <w:rPr>
                <w:rFonts w:ascii="Times New Roman" w:hAnsi="Times New Roman" w:eastAsia="宋体"/>
                <w:b w:val="0"/>
                <w:sz w:val="20"/>
              </w:rPr>
              <w:t>MA20下穿MA60清仓</w:t>
            </w:r>
          </w:p>
        </w:tc>
      </w:tr>
      <w:tr>
        <w:tc>
          <w:tcPr>
            <w:tcW w:type="dxa" w:w="1701"/>
            <w:vAlign w:val="center"/>
          </w:tcPr>
          <w:p>
            <w:pPr>
              <w:jc w:val="left"/>
            </w:pPr>
            <w:r/>
            <w:r>
              <w:rPr>
                <w:rFonts w:ascii="Times New Roman" w:hAnsi="Times New Roman" w:eastAsia="宋体"/>
                <w:b w:val="0"/>
                <w:sz w:val="20"/>
              </w:rPr>
              <w:t>混沌排列</w:t>
            </w:r>
          </w:p>
        </w:tc>
        <w:tc>
          <w:tcPr>
            <w:tcW w:type="dxa" w:w="1701"/>
            <w:vAlign w:val="center"/>
          </w:tcPr>
          <w:p>
            <w:pPr>
              <w:jc w:val="left"/>
            </w:pPr>
            <w:r/>
            <w:r>
              <w:rPr>
                <w:rFonts w:ascii="Times New Roman" w:hAnsi="Times New Roman" w:eastAsia="宋体"/>
                <w:b w:val="0"/>
                <w:sz w:val="20"/>
              </w:rPr>
              <w:t>0%-20%</w:t>
            </w:r>
          </w:p>
        </w:tc>
        <w:tc>
          <w:tcPr>
            <w:tcW w:type="dxa" w:w="1984"/>
            <w:vAlign w:val="center"/>
          </w:tcPr>
          <w:p>
            <w:pPr>
              <w:jc w:val="left"/>
            </w:pPr>
            <w:r/>
            <w:r>
              <w:rPr>
                <w:rFonts w:ascii="Times New Roman" w:hAnsi="Times New Roman" w:eastAsia="宋体"/>
                <w:b w:val="0"/>
                <w:sz w:val="20"/>
              </w:rPr>
              <w:t>不加仓</w:t>
            </w:r>
          </w:p>
        </w:tc>
        <w:tc>
          <w:tcPr>
            <w:tcW w:type="dxa" w:w="2268"/>
            <w:vAlign w:val="center"/>
          </w:tcPr>
          <w:p>
            <w:pPr>
              <w:jc w:val="left"/>
            </w:pPr>
            <w:r/>
            <w:r>
              <w:rPr>
                <w:rFonts w:ascii="Times New Roman" w:hAnsi="Times New Roman" w:eastAsia="宋体"/>
                <w:b w:val="0"/>
                <w:sz w:val="20"/>
              </w:rPr>
              <w:t>出现下跌信号清仓</w:t>
            </w:r>
          </w:p>
        </w:tc>
      </w:tr>
      <w:tr>
        <w:tc>
          <w:tcPr>
            <w:tcW w:type="dxa" w:w="1701"/>
            <w:vAlign w:val="center"/>
          </w:tcPr>
          <w:p>
            <w:pPr>
              <w:jc w:val="left"/>
            </w:pPr>
            <w:r/>
            <w:r>
              <w:rPr>
                <w:rFonts w:ascii="Times New Roman" w:hAnsi="Times New Roman" w:eastAsia="宋体"/>
                <w:b w:val="0"/>
                <w:sz w:val="20"/>
              </w:rPr>
              <w:t>空头排列</w:t>
            </w:r>
          </w:p>
        </w:tc>
        <w:tc>
          <w:tcPr>
            <w:tcW w:type="dxa" w:w="1701"/>
            <w:vAlign w:val="center"/>
          </w:tcPr>
          <w:p>
            <w:pPr>
              <w:jc w:val="left"/>
            </w:pPr>
            <w:r/>
            <w:r>
              <w:rPr>
                <w:rFonts w:ascii="Times New Roman" w:hAnsi="Times New Roman" w:eastAsia="宋体"/>
                <w:b w:val="0"/>
                <w:sz w:val="20"/>
              </w:rPr>
              <w:t>0%</w:t>
            </w:r>
          </w:p>
        </w:tc>
        <w:tc>
          <w:tcPr>
            <w:tcW w:type="dxa" w:w="1984"/>
            <w:vAlign w:val="center"/>
          </w:tcPr>
          <w:p>
            <w:pPr>
              <w:jc w:val="left"/>
            </w:pPr>
            <w:r/>
            <w:r>
              <w:rPr>
                <w:rFonts w:ascii="Times New Roman" w:hAnsi="Times New Roman" w:eastAsia="宋体"/>
                <w:b w:val="0"/>
                <w:sz w:val="20"/>
              </w:rPr>
              <w:t>不做多</w:t>
            </w:r>
          </w:p>
        </w:tc>
        <w:tc>
          <w:tcPr>
            <w:tcW w:type="dxa" w:w="2268"/>
            <w:vAlign w:val="center"/>
          </w:tcPr>
          <w:p>
            <w:pPr>
              <w:jc w:val="left"/>
            </w:pPr>
            <w:r/>
            <w:r>
              <w:rPr>
                <w:rFonts w:ascii="Times New Roman" w:hAnsi="Times New Roman" w:eastAsia="宋体"/>
                <w:b w:val="0"/>
                <w:sz w:val="20"/>
              </w:rPr>
              <w:t>—</w:t>
            </w:r>
          </w:p>
        </w:tc>
      </w:tr>
    </w:tbl>
    <w:p>
      <w:pPr>
        <w:spacing w:before="200" w:after="120"/>
      </w:pPr>
      <w:r>
        <w:rPr>
          <w:rFonts w:ascii="Times New Roman" w:hAnsi="Times New Roman" w:eastAsia="微软雅黑"/>
          <w:b/>
          <w:color w:val="44546A"/>
          <w:sz w:val="24"/>
        </w:rPr>
        <w:t>12.2.2 金字塔加仓法</w:t>
      </w:r>
    </w:p>
    <w:p>
      <w:pPr>
        <w:spacing w:line="360" w:lineRule="auto" w:after="80"/>
        <w:ind w:firstLine="440"/>
      </w:pPr>
      <w:r>
        <w:rPr>
          <w:rFonts w:ascii="Times New Roman" w:hAnsi="Times New Roman" w:eastAsia="宋体"/>
          <w:b w:val="0"/>
          <w:sz w:val="22"/>
        </w:rPr>
        <w:t>核心思想：从小仓位开始，随着趋势确立逐步加仓。</w:t>
      </w:r>
    </w:p>
    <w:p>
      <w:pPr>
        <w:spacing w:line="360" w:lineRule="auto" w:after="80"/>
        <w:ind w:firstLine="440"/>
      </w:pPr>
      <w:r>
        <w:rPr>
          <w:rFonts w:ascii="Times New Roman" w:hAnsi="Times New Roman" w:eastAsia="宋体"/>
          <w:b w:val="0"/>
          <w:sz w:val="22"/>
        </w:rPr>
        <w:t>• 首仓：3成（在确认买入信号时）；</w:t>
      </w:r>
    </w:p>
    <w:p>
      <w:pPr>
        <w:spacing w:line="360" w:lineRule="auto" w:after="80"/>
        <w:ind w:firstLine="440"/>
      </w:pPr>
      <w:r>
        <w:rPr>
          <w:rFonts w:ascii="Times New Roman" w:hAnsi="Times New Roman" w:eastAsia="宋体"/>
          <w:b w:val="0"/>
          <w:sz w:val="22"/>
        </w:rPr>
        <w:t>• 加仓一：2成（回踩MA20不破时）；</w:t>
      </w:r>
    </w:p>
    <w:p>
      <w:pPr>
        <w:spacing w:line="360" w:lineRule="auto" w:after="80"/>
        <w:ind w:firstLine="440"/>
      </w:pPr>
      <w:r>
        <w:rPr>
          <w:rFonts w:ascii="Times New Roman" w:hAnsi="Times New Roman" w:eastAsia="宋体"/>
          <w:b w:val="0"/>
          <w:sz w:val="22"/>
        </w:rPr>
        <w:t>• 加仓二：2成（突破前期高点时）；</w:t>
      </w:r>
    </w:p>
    <w:p>
      <w:pPr>
        <w:spacing w:line="360" w:lineRule="auto" w:after="80"/>
        <w:ind w:firstLine="440"/>
      </w:pPr>
      <w:r>
        <w:rPr>
          <w:rFonts w:ascii="Times New Roman" w:hAnsi="Times New Roman" w:eastAsia="宋体"/>
          <w:b w:val="0"/>
          <w:sz w:val="22"/>
        </w:rPr>
        <w:t>• 保留：3成（作为应急储备或应对更好机会）。</w:t>
      </w:r>
    </w:p>
    <w:p>
      <w:pPr>
        <w:spacing w:line="360" w:lineRule="auto" w:after="80"/>
        <w:ind w:firstLine="440"/>
      </w:pPr>
      <w:r>
        <w:rPr>
          <w:rFonts w:ascii="Times New Roman" w:hAnsi="Times New Roman" w:eastAsia="宋体"/>
          <w:b w:val="0"/>
          <w:sz w:val="22"/>
        </w:rPr>
        <w:t>优势：风险逐步释放，收益逐步扩大。适合稳健型交易者。</w:t>
      </w:r>
    </w:p>
    <w:p>
      <w:pPr>
        <w:spacing w:before="200" w:after="120"/>
      </w:pPr>
      <w:r>
        <w:rPr>
          <w:rFonts w:ascii="Times New Roman" w:hAnsi="Times New Roman" w:eastAsia="微软雅黑"/>
          <w:b/>
          <w:color w:val="44546A"/>
          <w:sz w:val="24"/>
        </w:rPr>
        <w:t>12.2.3 倒金字塔减仓法</w:t>
      </w:r>
    </w:p>
    <w:p>
      <w:pPr>
        <w:spacing w:line="360" w:lineRule="auto" w:after="80"/>
        <w:ind w:firstLine="440"/>
      </w:pPr>
      <w:r>
        <w:rPr>
          <w:rFonts w:ascii="Times New Roman" w:hAnsi="Times New Roman" w:eastAsia="宋体"/>
          <w:b w:val="0"/>
          <w:sz w:val="22"/>
        </w:rPr>
        <w:t>核心思想：在顶部区域逐步减仓，锁定利润。</w:t>
      </w:r>
    </w:p>
    <w:p>
      <w:pPr>
        <w:spacing w:line="360" w:lineRule="auto" w:after="80"/>
        <w:ind w:firstLine="440"/>
      </w:pPr>
      <w:r>
        <w:rPr>
          <w:rFonts w:ascii="Times New Roman" w:hAnsi="Times New Roman" w:eastAsia="宋体"/>
          <w:b w:val="0"/>
          <w:sz w:val="22"/>
        </w:rPr>
        <w:t>• 首减：5成（达到目标价或出现警告信号时）；</w:t>
      </w:r>
    </w:p>
    <w:p>
      <w:pPr>
        <w:spacing w:line="360" w:lineRule="auto" w:after="80"/>
        <w:ind w:firstLine="440"/>
      </w:pPr>
      <w:r>
        <w:rPr>
          <w:rFonts w:ascii="Times New Roman" w:hAnsi="Times New Roman" w:eastAsia="宋体"/>
          <w:b w:val="0"/>
          <w:sz w:val="22"/>
        </w:rPr>
        <w:t>• 再减：3成（反弹后出现第二次卖出信号时）；</w:t>
      </w:r>
    </w:p>
    <w:p>
      <w:pPr>
        <w:spacing w:line="360" w:lineRule="auto" w:after="80"/>
        <w:ind w:firstLine="440"/>
      </w:pPr>
      <w:r>
        <w:rPr>
          <w:rFonts w:ascii="Times New Roman" w:hAnsi="Times New Roman" w:eastAsia="宋体"/>
          <w:b w:val="0"/>
          <w:sz w:val="22"/>
        </w:rPr>
        <w:t>• 清仓：2成（跌破关键均线支撑时）。</w:t>
      </w:r>
    </w:p>
    <w:p>
      <w:pPr>
        <w:spacing w:before="280" w:after="160"/>
      </w:pPr>
      <w:r>
        <w:rPr>
          <w:rFonts w:ascii="Times New Roman" w:hAnsi="Times New Roman" w:eastAsia="微软雅黑"/>
          <w:b/>
          <w:color w:val="2E75B6"/>
          <w:sz w:val="26"/>
        </w:rPr>
        <w:t>12.3 顺势操作原则</w:t>
      </w:r>
    </w:p>
    <w:p>
      <w:pPr>
        <w:spacing w:line="360" w:lineRule="auto" w:after="80"/>
        <w:ind w:firstLine="440"/>
      </w:pPr>
      <w:r>
        <w:rPr>
          <w:rFonts w:ascii="Times New Roman" w:hAnsi="Times New Roman" w:eastAsia="宋体"/>
          <w:b w:val="0"/>
          <w:sz w:val="22"/>
        </w:rPr>
        <w:t>• 在多头排列中只做多、不做空，每次回踩都是潜在的买入机会；</w:t>
      </w:r>
    </w:p>
    <w:p>
      <w:pPr>
        <w:spacing w:line="360" w:lineRule="auto" w:after="80"/>
        <w:ind w:firstLine="440"/>
      </w:pPr>
      <w:r>
        <w:rPr>
          <w:rFonts w:ascii="Times New Roman" w:hAnsi="Times New Roman" w:eastAsia="宋体"/>
          <w:b w:val="0"/>
          <w:sz w:val="22"/>
        </w:rPr>
        <w:t>• 在空头排列中只观望或做空，每次反弹都是潜在的卖出或减仓机会；</w:t>
      </w:r>
    </w:p>
    <w:p>
      <w:pPr>
        <w:spacing w:line="360" w:lineRule="auto" w:after="80"/>
        <w:ind w:firstLine="440"/>
      </w:pPr>
      <w:r>
        <w:rPr>
          <w:rFonts w:ascii="Times New Roman" w:hAnsi="Times New Roman" w:eastAsia="宋体"/>
          <w:b w:val="0"/>
          <w:sz w:val="22"/>
        </w:rPr>
        <w:t>• 在均线粘合混沌状态中保持观望，等待方向明确后再行动。</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顺势原则的核心精神：『趋势是你的朋友，不要与趋势为敌』。逆势操作哪怕偶尔成功，长期看必然亏损。成熟交易者宁可错过，不可做错。</w:t>
            </w:r>
          </w:p>
        </w:tc>
      </w:tr>
    </w:tbl>
    <w:p>
      <w:r>
        <w:br w:type="page"/>
      </w:r>
    </w:p>
    <w:p>
      <w:pPr>
        <w:spacing w:before="400" w:after="240"/>
      </w:pPr>
      <w:r>
        <w:rPr>
          <w:rFonts w:ascii="Times New Roman" w:hAnsi="Times New Roman" w:eastAsia="微软雅黑"/>
          <w:b/>
          <w:color w:val="1F4E78"/>
          <w:sz w:val="32"/>
        </w:rPr>
        <w:t>第十三章  均线交易常见误区与修正</w:t>
      </w:r>
    </w:p>
    <w:p>
      <w:pPr>
        <w:spacing w:before="280" w:after="160"/>
      </w:pPr>
      <w:r>
        <w:rPr>
          <w:rFonts w:ascii="Times New Roman" w:hAnsi="Times New Roman" w:eastAsia="微软雅黑"/>
          <w:b/>
          <w:color w:val="2E75B6"/>
          <w:sz w:val="26"/>
        </w:rPr>
        <w:t>13.1 误区一：单纯依赖金叉/死叉</w:t>
      </w:r>
    </w:p>
    <w:p>
      <w:pPr>
        <w:spacing w:line="360" w:lineRule="auto" w:after="80"/>
        <w:ind w:firstLine="440"/>
      </w:pPr>
      <w:r>
        <w:rPr>
          <w:rFonts w:ascii="Times New Roman" w:hAnsi="Times New Roman" w:eastAsia="宋体"/>
          <w:b w:val="0"/>
          <w:sz w:val="22"/>
        </w:rPr>
        <w:t>错误做法：许多投资者机械地认为『金叉就买、死叉就卖』，形成了条件反射式的操作习惯。</w:t>
      </w:r>
    </w:p>
    <w:p>
      <w:pPr>
        <w:spacing w:line="360" w:lineRule="auto" w:after="80"/>
        <w:ind w:firstLine="440"/>
      </w:pPr>
      <w:r>
        <w:rPr>
          <w:rFonts w:ascii="Times New Roman" w:hAnsi="Times New Roman" w:eastAsia="宋体"/>
          <w:b w:val="0"/>
          <w:sz w:val="22"/>
        </w:rPr>
        <w:t>危害：在震荡市中金叉和死叉会频繁出现，导致反复止损亏损。特别是短期金叉/死叉，假信号率可达50%以上。</w:t>
      </w:r>
    </w:p>
    <w:p>
      <w:pPr>
        <w:spacing w:line="360" w:lineRule="auto" w:after="80"/>
        <w:ind w:firstLine="440"/>
      </w:pPr>
      <w:r>
        <w:rPr>
          <w:rFonts w:ascii="Times New Roman" w:hAnsi="Times New Roman" w:eastAsia="宋体"/>
          <w:b w:val="0"/>
          <w:sz w:val="22"/>
        </w:rPr>
        <w:t>正确做法：将金叉/死叉与均线排列、成交量、乖离率等多个因素综合判断。优先使用较长周期均线的交叉信号（如MA20金叉MA60比MA5金叉MA10可靠得多）。金叉需要放量配合，死叉需要方向配合。</w:t>
      </w:r>
    </w:p>
    <w:p>
      <w:pPr>
        <w:spacing w:before="280" w:after="160"/>
      </w:pPr>
      <w:r>
        <w:rPr>
          <w:rFonts w:ascii="Times New Roman" w:hAnsi="Times New Roman" w:eastAsia="微软雅黑"/>
          <w:b/>
          <w:color w:val="2E75B6"/>
          <w:sz w:val="26"/>
        </w:rPr>
        <w:t>13.2 误区二：忽视均线的滞后性</w:t>
      </w:r>
    </w:p>
    <w:p>
      <w:pPr>
        <w:spacing w:line="360" w:lineRule="auto" w:after="80"/>
        <w:ind w:firstLine="440"/>
      </w:pPr>
      <w:r>
        <w:rPr>
          <w:rFonts w:ascii="Times New Roman" w:hAnsi="Times New Roman" w:eastAsia="宋体"/>
          <w:b w:val="0"/>
          <w:sz w:val="22"/>
        </w:rPr>
        <w:t>错误做法：等均线信号完全确认时才行动，错过最佳入场点。</w:t>
      </w:r>
    </w:p>
    <w:p>
      <w:pPr>
        <w:spacing w:line="360" w:lineRule="auto" w:after="80"/>
        <w:ind w:firstLine="440"/>
      </w:pPr>
      <w:r>
        <w:rPr>
          <w:rFonts w:ascii="Times New Roman" w:hAnsi="Times New Roman" w:eastAsia="宋体"/>
          <w:b w:val="0"/>
          <w:sz w:val="22"/>
        </w:rPr>
        <w:t>危害：由于均线的滞后性，等确认信号出现时股价往往已上涨10%-20%，风险收益比大幅下降。</w:t>
      </w:r>
    </w:p>
    <w:p>
      <w:pPr>
        <w:spacing w:line="360" w:lineRule="auto" w:after="80"/>
        <w:ind w:firstLine="440"/>
      </w:pPr>
      <w:r>
        <w:rPr>
          <w:rFonts w:ascii="Times New Roman" w:hAnsi="Times New Roman" w:eastAsia="宋体"/>
          <w:b w:val="0"/>
          <w:sz w:val="22"/>
        </w:rPr>
        <w:t>正确做法：</w:t>
      </w:r>
    </w:p>
    <w:p>
      <w:pPr>
        <w:spacing w:line="360" w:lineRule="auto" w:after="80"/>
        <w:ind w:firstLine="440"/>
      </w:pPr>
      <w:r>
        <w:rPr>
          <w:rFonts w:ascii="Times New Roman" w:hAnsi="Times New Roman" w:eastAsia="宋体"/>
          <w:b w:val="0"/>
          <w:sz w:val="22"/>
        </w:rPr>
        <w:t>• 学会『预判交叉』：在均线间距持续缩小时提前预判可能的交叉方向；</w:t>
      </w:r>
    </w:p>
    <w:p>
      <w:pPr>
        <w:spacing w:line="360" w:lineRule="auto" w:after="80"/>
        <w:ind w:firstLine="440"/>
      </w:pPr>
      <w:r>
        <w:rPr>
          <w:rFonts w:ascii="Times New Roman" w:hAnsi="Times New Roman" w:eastAsia="宋体"/>
          <w:b w:val="0"/>
          <w:sz w:val="22"/>
        </w:rPr>
        <w:t>• 结合领先指标：K线形态、成交量突破、MACD柱状图先行等；</w:t>
      </w:r>
    </w:p>
    <w:p>
      <w:pPr>
        <w:spacing w:line="360" w:lineRule="auto" w:after="80"/>
        <w:ind w:firstLine="440"/>
      </w:pPr>
      <w:r>
        <w:rPr>
          <w:rFonts w:ascii="Times New Roman" w:hAnsi="Times New Roman" w:eastAsia="宋体"/>
          <w:b w:val="0"/>
          <w:sz w:val="22"/>
        </w:rPr>
        <w:t>• 分批建仓：在确认信号前用小仓位试探，在确认后加仓。</w:t>
      </w:r>
    </w:p>
    <w:p>
      <w:pPr>
        <w:spacing w:before="280" w:after="160"/>
      </w:pPr>
      <w:r>
        <w:rPr>
          <w:rFonts w:ascii="Times New Roman" w:hAnsi="Times New Roman" w:eastAsia="微软雅黑"/>
          <w:b/>
          <w:color w:val="2E75B6"/>
          <w:sz w:val="26"/>
        </w:rPr>
        <w:t>13.3 误区三：忽视成交量</w:t>
      </w:r>
    </w:p>
    <w:p>
      <w:pPr>
        <w:spacing w:line="360" w:lineRule="auto" w:after="80"/>
        <w:ind w:firstLine="440"/>
      </w:pPr>
      <w:r>
        <w:rPr>
          <w:rFonts w:ascii="Times New Roman" w:hAnsi="Times New Roman" w:eastAsia="宋体"/>
          <w:b w:val="0"/>
          <w:sz w:val="22"/>
        </w:rPr>
        <w:t>错误做法：只看价格和均线而不看成交量。</w:t>
      </w:r>
    </w:p>
    <w:p>
      <w:pPr>
        <w:spacing w:line="360" w:lineRule="auto" w:after="80"/>
        <w:ind w:firstLine="440"/>
      </w:pPr>
      <w:r>
        <w:rPr>
          <w:rFonts w:ascii="Times New Roman" w:hAnsi="Times New Roman" w:eastAsia="宋体"/>
          <w:b w:val="0"/>
          <w:sz w:val="22"/>
        </w:rPr>
        <w:t>危害：没有量的配合，任何均线突破或跌破都可能是假信号。无量金叉、无量突破、无量上涨，持续性都很差。</w:t>
      </w:r>
    </w:p>
    <w:p>
      <w:pPr>
        <w:spacing w:line="360" w:lineRule="auto" w:after="80"/>
        <w:ind w:firstLine="440"/>
      </w:pPr>
      <w:r>
        <w:rPr>
          <w:rFonts w:ascii="Times New Roman" w:hAnsi="Times New Roman" w:eastAsia="宋体"/>
          <w:b w:val="0"/>
          <w:sz w:val="22"/>
        </w:rPr>
        <w:t>正确做法：将成交量作为均线信号的『确认开关』——有量才确认，无量则存疑。具体量价配合规则见第九章。</w:t>
      </w:r>
    </w:p>
    <w:p>
      <w:pPr>
        <w:spacing w:before="280" w:after="160"/>
      </w:pPr>
      <w:r>
        <w:rPr>
          <w:rFonts w:ascii="Times New Roman" w:hAnsi="Times New Roman" w:eastAsia="微软雅黑"/>
          <w:b/>
          <w:color w:val="2E75B6"/>
          <w:sz w:val="26"/>
        </w:rPr>
        <w:t>13.4 误区四：在空头排列中抄底</w:t>
      </w:r>
    </w:p>
    <w:p>
      <w:pPr>
        <w:spacing w:line="360" w:lineRule="auto" w:after="80"/>
        <w:ind w:firstLine="440"/>
      </w:pPr>
      <w:r>
        <w:rPr>
          <w:rFonts w:ascii="Times New Roman" w:hAnsi="Times New Roman" w:eastAsia="宋体"/>
          <w:b w:val="0"/>
          <w:sz w:val="22"/>
        </w:rPr>
        <w:t>错误做法：许多投资者在空头排列明显时试图抄底，认为『跌得够多了』、『便宜』。</w:t>
      </w:r>
    </w:p>
    <w:p>
      <w:pPr>
        <w:spacing w:line="360" w:lineRule="auto" w:after="80"/>
        <w:ind w:firstLine="440"/>
      </w:pPr>
      <w:r>
        <w:rPr>
          <w:rFonts w:ascii="Times New Roman" w:hAnsi="Times New Roman" w:eastAsia="宋体"/>
          <w:b w:val="0"/>
          <w:sz w:val="22"/>
        </w:rPr>
        <w:t>危害：空头趋势中的下跌可能远超预期，『便宜还有更便宜』是常态。</w:t>
      </w:r>
    </w:p>
    <w:p>
      <w:pPr>
        <w:spacing w:line="360" w:lineRule="auto" w:after="80"/>
        <w:ind w:firstLine="440"/>
      </w:pPr>
      <w:r>
        <w:rPr>
          <w:rFonts w:ascii="Times New Roman" w:hAnsi="Times New Roman" w:eastAsia="宋体"/>
          <w:b w:val="0"/>
          <w:sz w:val="22"/>
        </w:rPr>
        <w:t>正确做法：等待均线系统出现实质性的转变信号（如粘合后向上突破、长期均线开始走平、形成金山谷等），而不是在空头趋势仍在延续时盲目抄底。</w:t>
      </w:r>
    </w:p>
    <w:p>
      <w:pPr>
        <w:spacing w:line="360" w:lineRule="auto" w:after="80"/>
        <w:ind w:firstLine="440"/>
      </w:pPr>
      <w:r>
        <w:rPr>
          <w:rFonts w:ascii="Times New Roman" w:hAnsi="Times New Roman" w:eastAsia="宋体"/>
          <w:b w:val="0"/>
          <w:sz w:val="22"/>
        </w:rPr>
        <w:t>格言：『不接飞刀，让子弹飞一会儿』。等底部确认比抢底部赔率好得多。</w:t>
      </w:r>
    </w:p>
    <w:p>
      <w:pPr>
        <w:spacing w:before="280" w:after="160"/>
      </w:pPr>
      <w:r>
        <w:rPr>
          <w:rFonts w:ascii="Times New Roman" w:hAnsi="Times New Roman" w:eastAsia="微软雅黑"/>
          <w:b/>
          <w:color w:val="2E75B6"/>
          <w:sz w:val="26"/>
        </w:rPr>
        <w:t>13.5 误区五：频繁更换均线参数</w:t>
      </w:r>
    </w:p>
    <w:p>
      <w:pPr>
        <w:spacing w:line="360" w:lineRule="auto" w:after="80"/>
        <w:ind w:firstLine="440"/>
      </w:pPr>
      <w:r>
        <w:rPr>
          <w:rFonts w:ascii="Times New Roman" w:hAnsi="Times New Roman" w:eastAsia="宋体"/>
          <w:b w:val="0"/>
          <w:sz w:val="22"/>
        </w:rPr>
        <w:t>错误做法：有些投资者在均线信号不准时就更换参数，试图找到『完美参数』。</w:t>
      </w:r>
    </w:p>
    <w:p>
      <w:pPr>
        <w:spacing w:line="360" w:lineRule="auto" w:after="80"/>
        <w:ind w:firstLine="440"/>
      </w:pPr>
      <w:r>
        <w:rPr>
          <w:rFonts w:ascii="Times New Roman" w:hAnsi="Times New Roman" w:eastAsia="宋体"/>
          <w:b w:val="0"/>
          <w:sz w:val="22"/>
        </w:rPr>
        <w:t>危害：实际上不存在万能的参数设置。频繁更换参数会导致交易系统失去一致性，无法形成有效的经验积累。</w:t>
      </w:r>
    </w:p>
    <w:p>
      <w:pPr>
        <w:spacing w:line="360" w:lineRule="auto" w:after="80"/>
        <w:ind w:firstLine="440"/>
      </w:pPr>
      <w:r>
        <w:rPr>
          <w:rFonts w:ascii="Times New Roman" w:hAnsi="Times New Roman" w:eastAsia="宋体"/>
          <w:b w:val="0"/>
          <w:sz w:val="22"/>
        </w:rPr>
        <w:t>正确做法：选定一套均线系统后坚持使用（至少6个月），通过优化操作策略（仓位管理、止损规则）来适应不同市场环境，而不是频繁改参数。</w:t>
      </w:r>
    </w:p>
    <w:p>
      <w:pPr>
        <w:spacing w:before="280" w:after="160"/>
      </w:pPr>
      <w:r>
        <w:rPr>
          <w:rFonts w:ascii="Times New Roman" w:hAnsi="Times New Roman" w:eastAsia="微软雅黑"/>
          <w:b/>
          <w:color w:val="2E75B6"/>
          <w:sz w:val="26"/>
        </w:rPr>
        <w:t>13.6 误区六：不同周期信号矛盾时的处理</w:t>
      </w:r>
    </w:p>
    <w:p>
      <w:pPr>
        <w:spacing w:line="360" w:lineRule="auto" w:after="80"/>
        <w:ind w:firstLine="440"/>
      </w:pPr>
      <w:r>
        <w:rPr>
          <w:rFonts w:ascii="Times New Roman" w:hAnsi="Times New Roman" w:eastAsia="宋体"/>
          <w:b w:val="0"/>
          <w:sz w:val="22"/>
        </w:rPr>
        <w:t>错误做法：当短期均线显示多头、长期均线显示空头时，许多投资者不知所措，要么盲目操作、要么错失机会。</w:t>
      </w:r>
    </w:p>
    <w:p>
      <w:pPr>
        <w:spacing w:line="360" w:lineRule="auto" w:after="80"/>
        <w:ind w:firstLine="440"/>
      </w:pPr>
      <w:r>
        <w:rPr>
          <w:rFonts w:ascii="Times New Roman" w:hAnsi="Times New Roman" w:eastAsia="宋体"/>
          <w:b w:val="0"/>
          <w:sz w:val="22"/>
        </w:rPr>
        <w:t>危害：跨周期矛盾是最容易让投资者陷入犹豫和亏损的情形。</w:t>
      </w:r>
    </w:p>
    <w:p>
      <w:pPr>
        <w:spacing w:line="360" w:lineRule="auto" w:after="80"/>
        <w:ind w:firstLine="440"/>
      </w:pPr>
      <w:r>
        <w:rPr>
          <w:rFonts w:ascii="Times New Roman" w:hAnsi="Times New Roman" w:eastAsia="宋体"/>
          <w:b w:val="0"/>
          <w:sz w:val="22"/>
        </w:rPr>
        <w:t>正确做法：『长期服从、短期验证』——以长期均线方向为主导判断趋势方向，短期均线信号仅用于确定具体的操作时机。当长短期信号矛盾时，宁可观望也不冒进。</w:t>
      </w:r>
    </w:p>
    <w:p>
      <w:r>
        <w:br w:type="page"/>
      </w:r>
    </w:p>
    <w:p>
      <w:pPr>
        <w:spacing w:before="400" w:after="240"/>
      </w:pPr>
      <w:r>
        <w:rPr>
          <w:rFonts w:ascii="Times New Roman" w:hAnsi="Times New Roman" w:eastAsia="微软雅黑"/>
          <w:b/>
          <w:color w:val="1F4E78"/>
          <w:sz w:val="32"/>
        </w:rPr>
        <w:t>第十四章  核心法则总结</w:t>
      </w:r>
    </w:p>
    <w:p>
      <w:pPr>
        <w:spacing w:line="360" w:lineRule="auto" w:after="80"/>
        <w:ind w:firstLine="440"/>
      </w:pPr>
      <w:r>
        <w:rPr>
          <w:rFonts w:ascii="Times New Roman" w:hAnsi="Times New Roman" w:eastAsia="宋体"/>
          <w:b w:val="0"/>
          <w:sz w:val="22"/>
        </w:rPr>
        <w:t>经过前十三章的系统梳理，均线交易的精髓可以凝练为五大核心法则。这五大法则相互关联、层层递进，是所有成熟均线交易者的共识。</w:t>
      </w:r>
    </w:p>
    <w:p>
      <w:pPr>
        <w:spacing w:before="280" w:after="160"/>
      </w:pPr>
      <w:r>
        <w:rPr>
          <w:rFonts w:ascii="Times New Roman" w:hAnsi="Times New Roman" w:eastAsia="微软雅黑"/>
          <w:b/>
          <w:color w:val="2E75B6"/>
          <w:sz w:val="26"/>
        </w:rPr>
        <w:t>14.1 法则一：排列优于交叉</w:t>
      </w:r>
    </w:p>
    <w:p>
      <w:pPr>
        <w:spacing w:line="360" w:lineRule="auto" w:after="80"/>
        <w:ind w:firstLine="440"/>
      </w:pPr>
      <w:r>
        <w:rPr>
          <w:rFonts w:ascii="Times New Roman" w:hAnsi="Times New Roman" w:eastAsia="宋体"/>
          <w:b w:val="0"/>
          <w:sz w:val="22"/>
        </w:rPr>
        <w:t>均线的排列状态比单个金叉/死叉更重要。完整的多头排列中出现一个短期死叉不必恐慌，完整的空头排列中出现一个短期金叉也不应盲目乐观。</w:t>
      </w:r>
    </w:p>
    <w:p>
      <w:pPr>
        <w:spacing w:line="360" w:lineRule="auto" w:after="80"/>
        <w:ind w:firstLine="440"/>
      </w:pPr>
      <w:r>
        <w:rPr>
          <w:rFonts w:ascii="Times New Roman" w:hAnsi="Times New Roman" w:eastAsia="宋体"/>
          <w:b w:val="0"/>
          <w:sz w:val="22"/>
        </w:rPr>
        <w:t>实战应用：判断市场先看排列，再看交叉。排列决定大方向，交叉决定小买卖。</w:t>
      </w:r>
    </w:p>
    <w:p>
      <w:pPr>
        <w:spacing w:before="280" w:after="160"/>
      </w:pPr>
      <w:r>
        <w:rPr>
          <w:rFonts w:ascii="Times New Roman" w:hAnsi="Times New Roman" w:eastAsia="微软雅黑"/>
          <w:b/>
          <w:color w:val="2E75B6"/>
          <w:sz w:val="26"/>
        </w:rPr>
        <w:t>14.2 法则二：长期优于短期</w:t>
      </w:r>
    </w:p>
    <w:p>
      <w:pPr>
        <w:spacing w:line="360" w:lineRule="auto" w:after="80"/>
        <w:ind w:firstLine="440"/>
      </w:pPr>
      <w:r>
        <w:rPr>
          <w:rFonts w:ascii="Times New Roman" w:hAnsi="Times New Roman" w:eastAsia="宋体"/>
          <w:b w:val="0"/>
          <w:sz w:val="22"/>
        </w:rPr>
        <w:t>长期均线的信号比短期均线更可靠。MA120的支撑远比MA10的支撑可靠，MA250的趋势方向远比MA5的方向重要。</w:t>
      </w:r>
    </w:p>
    <w:p>
      <w:pPr>
        <w:spacing w:line="360" w:lineRule="auto" w:after="80"/>
        <w:ind w:firstLine="440"/>
      </w:pPr>
      <w:r>
        <w:rPr>
          <w:rFonts w:ascii="Times New Roman" w:hAnsi="Times New Roman" w:eastAsia="宋体"/>
          <w:b w:val="0"/>
          <w:sz w:val="22"/>
        </w:rPr>
        <w:t>实战应用：长期均线定大方向，短期均线找小时机。长期多头时，短期回调都是机会；长期空头时，短期反弹都是风险。</w:t>
      </w:r>
    </w:p>
    <w:p>
      <w:pPr>
        <w:spacing w:before="280" w:after="160"/>
      </w:pPr>
      <w:r>
        <w:rPr>
          <w:rFonts w:ascii="Times New Roman" w:hAnsi="Times New Roman" w:eastAsia="微软雅黑"/>
          <w:b/>
          <w:color w:val="2E75B6"/>
          <w:sz w:val="26"/>
        </w:rPr>
        <w:t>14.3 法则三：趋势优于反转</w:t>
      </w:r>
    </w:p>
    <w:p>
      <w:pPr>
        <w:spacing w:line="360" w:lineRule="auto" w:after="80"/>
        <w:ind w:firstLine="440"/>
      </w:pPr>
      <w:r>
        <w:rPr>
          <w:rFonts w:ascii="Times New Roman" w:hAnsi="Times New Roman" w:eastAsia="宋体"/>
          <w:b w:val="0"/>
          <w:sz w:val="22"/>
        </w:rPr>
        <w:t>顺应已确立的趋势操作，成功率远高于逆势抄底或逃顶。均线技术的核心理念就是『顺势而为』——顺势则生，逆势则亡。</w:t>
      </w:r>
    </w:p>
    <w:p>
      <w:pPr>
        <w:spacing w:line="360" w:lineRule="auto" w:after="80"/>
        <w:ind w:firstLine="440"/>
      </w:pPr>
      <w:r>
        <w:rPr>
          <w:rFonts w:ascii="Times New Roman" w:hAnsi="Times New Roman" w:eastAsia="宋体"/>
          <w:b w:val="0"/>
          <w:sz w:val="22"/>
        </w:rPr>
        <w:t>实战应用：不要试图预测顶底。让均线告诉你趋势，然后顺着趋势走。宁可少赚，不可做错。</w:t>
      </w:r>
    </w:p>
    <w:p>
      <w:pPr>
        <w:spacing w:before="280" w:after="160"/>
      </w:pPr>
      <w:r>
        <w:rPr>
          <w:rFonts w:ascii="Times New Roman" w:hAnsi="Times New Roman" w:eastAsia="微软雅黑"/>
          <w:b/>
          <w:color w:val="2E75B6"/>
          <w:sz w:val="26"/>
        </w:rPr>
        <w:t>14.4 法则四：多重确认优于单一信号</w:t>
      </w:r>
    </w:p>
    <w:p>
      <w:pPr>
        <w:spacing w:line="360" w:lineRule="auto" w:after="80"/>
        <w:ind w:firstLine="440"/>
      </w:pPr>
      <w:r>
        <w:rPr>
          <w:rFonts w:ascii="Times New Roman" w:hAnsi="Times New Roman" w:eastAsia="宋体"/>
          <w:b w:val="0"/>
          <w:sz w:val="22"/>
        </w:rPr>
        <w:t>综合均线排列、交叉信号、成交量、乖离率等多个维度确认，比单一依赖某个信号可靠得多。多信号共振才是最强的信号。</w:t>
      </w:r>
    </w:p>
    <w:p>
      <w:pPr>
        <w:spacing w:line="360" w:lineRule="auto" w:after="80"/>
        <w:ind w:firstLine="440"/>
      </w:pPr>
      <w:r>
        <w:rPr>
          <w:rFonts w:ascii="Times New Roman" w:hAnsi="Times New Roman" w:eastAsia="宋体"/>
          <w:b w:val="0"/>
          <w:sz w:val="22"/>
        </w:rPr>
        <w:t>实战应用：要求至少2-3个指标共同确认才交易。宁可错过，不可做错。</w:t>
      </w:r>
    </w:p>
    <w:p>
      <w:pPr>
        <w:spacing w:before="280" w:after="160"/>
      </w:pPr>
      <w:r>
        <w:rPr>
          <w:rFonts w:ascii="Times New Roman" w:hAnsi="Times New Roman" w:eastAsia="微软雅黑"/>
          <w:b/>
          <w:color w:val="2E75B6"/>
          <w:sz w:val="26"/>
        </w:rPr>
        <w:t>14.5 法则五：风险控制优于获利追求</w:t>
      </w:r>
    </w:p>
    <w:p>
      <w:pPr>
        <w:spacing w:line="360" w:lineRule="auto" w:after="80"/>
        <w:ind w:firstLine="440"/>
      </w:pPr>
      <w:r>
        <w:rPr>
          <w:rFonts w:ascii="Times New Roman" w:hAnsi="Times New Roman" w:eastAsia="宋体"/>
          <w:b w:val="0"/>
          <w:sz w:val="22"/>
        </w:rPr>
        <w:t>任何均线信号都可能失败，预设好止损并严格执行是长期生存的根本保障。风险控制永远是第一位的，获利追求永远是第二位的。</w:t>
      </w:r>
    </w:p>
    <w:p>
      <w:pPr>
        <w:spacing w:line="360" w:lineRule="auto" w:after="80"/>
        <w:ind w:firstLine="440"/>
      </w:pPr>
      <w:r>
        <w:rPr>
          <w:rFonts w:ascii="Times New Roman" w:hAnsi="Times New Roman" w:eastAsia="宋体"/>
          <w:b w:val="0"/>
          <w:sz w:val="22"/>
        </w:rPr>
        <w:t>实战应用：每笔交易必须在进场前预设止损位和止损纪律；单笔亏损不超过总资金的2%；保护本金比追求收益更重要。</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五大法则的内在逻辑：排列（法则一）反映的是趋势状态；长期（法则二）反映的是趋势级别；趋势（法则三）反映的是操作方向；多重确认（法则四）反映的是信号质量；风险控制（法则五）反映的是生存哲学。五者层层递进、缺一不可。</w:t>
            </w:r>
          </w:p>
        </w:tc>
      </w:tr>
    </w:tbl>
    <w:p>
      <w:r>
        <w:br w:type="page"/>
      </w:r>
    </w:p>
    <w:p>
      <w:pPr>
        <w:spacing w:before="400" w:after="240"/>
      </w:pPr>
      <w:r>
        <w:rPr>
          <w:rFonts w:ascii="Times New Roman" w:hAnsi="Times New Roman" w:eastAsia="微软雅黑"/>
          <w:b/>
          <w:color w:val="1F4E78"/>
          <w:sz w:val="32"/>
        </w:rPr>
        <w:t>附录：35本均线专著简介索引</w:t>
      </w:r>
    </w:p>
    <w:p>
      <w:pPr>
        <w:spacing w:line="360" w:lineRule="auto" w:after="80"/>
        <w:ind w:firstLine="440"/>
      </w:pPr>
      <w:r>
        <w:rPr>
          <w:rFonts w:ascii="Times New Roman" w:hAnsi="Times New Roman" w:eastAsia="宋体"/>
          <w:b w:val="0"/>
          <w:sz w:val="22"/>
        </w:rPr>
        <w:t>以下索引列出本手册参考的35本均线技术分析专著，按主题分类排列。读者可根据自己的学习阶段和兴趣方向选择阅读。</w:t>
      </w:r>
    </w:p>
    <w:p>
      <w:pPr>
        <w:spacing w:before="280" w:after="160"/>
      </w:pPr>
      <w:r>
        <w:rPr>
          <w:rFonts w:ascii="Times New Roman" w:hAnsi="Times New Roman" w:eastAsia="微软雅黑"/>
          <w:b/>
          <w:color w:val="2E75B6"/>
          <w:sz w:val="26"/>
        </w:rPr>
        <w:t>A.1 入门教材（适合零基础）</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850"/>
            <w:shd w:fill="2E75B6"/>
            <w:vAlign w:val="center"/>
          </w:tcPr>
          <w:p>
            <w:pPr>
              <w:jc w:val="center"/>
            </w:pPr>
            <w:r/>
            <w:r>
              <w:rPr>
                <w:rFonts w:ascii="Times New Roman" w:hAnsi="Times New Roman" w:eastAsia="微软雅黑"/>
                <w:b/>
                <w:color w:val="FFFFFF"/>
                <w:sz w:val="20"/>
              </w:rPr>
              <w:t>序号</w:t>
            </w:r>
          </w:p>
        </w:tc>
        <w:tc>
          <w:tcPr>
            <w:tcW w:type="dxa" w:w="3402"/>
            <w:shd w:fill="2E75B6"/>
            <w:vAlign w:val="center"/>
          </w:tcPr>
          <w:p>
            <w:pPr>
              <w:jc w:val="center"/>
            </w:pPr>
            <w:r/>
            <w:r>
              <w:rPr>
                <w:rFonts w:ascii="Times New Roman" w:hAnsi="Times New Roman" w:eastAsia="微软雅黑"/>
                <w:b/>
                <w:color w:val="FFFFFF"/>
                <w:sz w:val="20"/>
              </w:rPr>
              <w:t>书名</w:t>
            </w:r>
          </w:p>
        </w:tc>
        <w:tc>
          <w:tcPr>
            <w:tcW w:type="dxa" w:w="2551"/>
            <w:shd w:fill="2E75B6"/>
            <w:vAlign w:val="center"/>
          </w:tcPr>
          <w:p>
            <w:pPr>
              <w:jc w:val="center"/>
            </w:pPr>
            <w:r/>
            <w:r>
              <w:rPr>
                <w:rFonts w:ascii="Times New Roman" w:hAnsi="Times New Roman" w:eastAsia="微软雅黑"/>
                <w:b/>
                <w:color w:val="FFFFFF"/>
                <w:sz w:val="20"/>
              </w:rPr>
              <w:t>主要内容</w:t>
            </w:r>
          </w:p>
        </w:tc>
        <w:tc>
          <w:tcPr>
            <w:tcW w:type="dxa" w:w="1984"/>
            <w:shd w:fill="2E75B6"/>
            <w:vAlign w:val="center"/>
          </w:tcPr>
          <w:p>
            <w:pPr>
              <w:jc w:val="center"/>
            </w:pPr>
            <w:r/>
            <w:r>
              <w:rPr>
                <w:rFonts w:ascii="Times New Roman" w:hAnsi="Times New Roman" w:eastAsia="微软雅黑"/>
                <w:b/>
                <w:color w:val="FFFFFF"/>
                <w:sz w:val="20"/>
              </w:rPr>
              <w:t>特点</w:t>
            </w:r>
          </w:p>
        </w:tc>
      </w:tr>
      <w:tr>
        <w:tc>
          <w:tcPr>
            <w:tcW w:type="dxa" w:w="850"/>
            <w:vAlign w:val="center"/>
          </w:tcPr>
          <w:p>
            <w:pPr>
              <w:jc w:val="left"/>
            </w:pPr>
            <w:r/>
            <w:r>
              <w:rPr>
                <w:rFonts w:ascii="Times New Roman" w:hAnsi="Times New Roman" w:eastAsia="宋体"/>
                <w:b w:val="0"/>
                <w:sz w:val="20"/>
              </w:rPr>
              <w:t>1</w:t>
            </w:r>
          </w:p>
        </w:tc>
        <w:tc>
          <w:tcPr>
            <w:tcW w:type="dxa" w:w="3402"/>
            <w:vAlign w:val="center"/>
          </w:tcPr>
          <w:p>
            <w:pPr>
              <w:jc w:val="left"/>
            </w:pPr>
            <w:r/>
            <w:r>
              <w:rPr>
                <w:rFonts w:ascii="Times New Roman" w:hAnsi="Times New Roman" w:eastAsia="宋体"/>
                <w:b w:val="0"/>
                <w:sz w:val="20"/>
              </w:rPr>
              <w:t>《从零开始学均线（第2版）》</w:t>
            </w:r>
          </w:p>
        </w:tc>
        <w:tc>
          <w:tcPr>
            <w:tcW w:type="dxa" w:w="2551"/>
            <w:vAlign w:val="center"/>
          </w:tcPr>
          <w:p>
            <w:pPr>
              <w:jc w:val="left"/>
            </w:pPr>
            <w:r/>
            <w:r>
              <w:rPr>
                <w:rFonts w:ascii="Times New Roman" w:hAnsi="Times New Roman" w:eastAsia="宋体"/>
                <w:b w:val="0"/>
                <w:sz w:val="20"/>
              </w:rPr>
              <w:t>均线基础到实战</w:t>
            </w:r>
          </w:p>
        </w:tc>
        <w:tc>
          <w:tcPr>
            <w:tcW w:type="dxa" w:w="1984"/>
            <w:vAlign w:val="center"/>
          </w:tcPr>
          <w:p>
            <w:pPr>
              <w:jc w:val="left"/>
            </w:pPr>
            <w:r/>
            <w:r>
              <w:rPr>
                <w:rFonts w:ascii="Times New Roman" w:hAnsi="Times New Roman" w:eastAsia="宋体"/>
                <w:b w:val="0"/>
                <w:sz w:val="20"/>
              </w:rPr>
              <w:t>最全面的入门教材</w:t>
            </w:r>
          </w:p>
        </w:tc>
      </w:tr>
      <w:tr>
        <w:tc>
          <w:tcPr>
            <w:tcW w:type="dxa" w:w="850"/>
            <w:vAlign w:val="center"/>
          </w:tcPr>
          <w:p>
            <w:pPr>
              <w:jc w:val="left"/>
            </w:pPr>
            <w:r/>
            <w:r>
              <w:rPr>
                <w:rFonts w:ascii="Times New Roman" w:hAnsi="Times New Roman" w:eastAsia="宋体"/>
                <w:b w:val="0"/>
                <w:sz w:val="20"/>
              </w:rPr>
              <w:t>2</w:t>
            </w:r>
          </w:p>
        </w:tc>
        <w:tc>
          <w:tcPr>
            <w:tcW w:type="dxa" w:w="3402"/>
            <w:vAlign w:val="center"/>
          </w:tcPr>
          <w:p>
            <w:pPr>
              <w:jc w:val="left"/>
            </w:pPr>
            <w:r/>
            <w:r>
              <w:rPr>
                <w:rFonts w:ascii="Times New Roman" w:hAnsi="Times New Roman" w:eastAsia="宋体"/>
                <w:b w:val="0"/>
                <w:sz w:val="20"/>
              </w:rPr>
              <w:t>《从零开始学均线》</w:t>
            </w:r>
          </w:p>
        </w:tc>
        <w:tc>
          <w:tcPr>
            <w:tcW w:type="dxa" w:w="2551"/>
            <w:vAlign w:val="center"/>
          </w:tcPr>
          <w:p>
            <w:pPr>
              <w:jc w:val="left"/>
            </w:pPr>
            <w:r/>
            <w:r>
              <w:rPr>
                <w:rFonts w:ascii="Times New Roman" w:hAnsi="Times New Roman" w:eastAsia="宋体"/>
                <w:b w:val="0"/>
                <w:sz w:val="20"/>
              </w:rPr>
              <w:t>均线入门教程</w:t>
            </w:r>
          </w:p>
        </w:tc>
        <w:tc>
          <w:tcPr>
            <w:tcW w:type="dxa" w:w="1984"/>
            <w:vAlign w:val="center"/>
          </w:tcPr>
          <w:p>
            <w:pPr>
              <w:jc w:val="left"/>
            </w:pPr>
            <w:r/>
            <w:r>
              <w:rPr>
                <w:rFonts w:ascii="Times New Roman" w:hAnsi="Times New Roman" w:eastAsia="宋体"/>
                <w:b w:val="0"/>
                <w:sz w:val="20"/>
              </w:rPr>
              <w:t>初版，基础扎实</w:t>
            </w:r>
          </w:p>
        </w:tc>
      </w:tr>
      <w:tr>
        <w:tc>
          <w:tcPr>
            <w:tcW w:type="dxa" w:w="850"/>
            <w:vAlign w:val="center"/>
          </w:tcPr>
          <w:p>
            <w:pPr>
              <w:jc w:val="left"/>
            </w:pPr>
            <w:r/>
            <w:r>
              <w:rPr>
                <w:rFonts w:ascii="Times New Roman" w:hAnsi="Times New Roman" w:eastAsia="宋体"/>
                <w:b w:val="0"/>
                <w:sz w:val="20"/>
              </w:rPr>
              <w:t>3</w:t>
            </w:r>
          </w:p>
        </w:tc>
        <w:tc>
          <w:tcPr>
            <w:tcW w:type="dxa" w:w="3402"/>
            <w:vAlign w:val="center"/>
          </w:tcPr>
          <w:p>
            <w:pPr>
              <w:jc w:val="left"/>
            </w:pPr>
            <w:r/>
            <w:r>
              <w:rPr>
                <w:rFonts w:ascii="Times New Roman" w:hAnsi="Times New Roman" w:eastAsia="宋体"/>
                <w:b w:val="0"/>
                <w:sz w:val="20"/>
              </w:rPr>
              <w:t>《看均线学炒股》</w:t>
            </w:r>
          </w:p>
        </w:tc>
        <w:tc>
          <w:tcPr>
            <w:tcW w:type="dxa" w:w="2551"/>
            <w:vAlign w:val="center"/>
          </w:tcPr>
          <w:p>
            <w:pPr>
              <w:jc w:val="left"/>
            </w:pPr>
            <w:r/>
            <w:r>
              <w:rPr>
                <w:rFonts w:ascii="Times New Roman" w:hAnsi="Times New Roman" w:eastAsia="宋体"/>
                <w:b w:val="0"/>
                <w:sz w:val="20"/>
              </w:rPr>
              <w:t>图解式均线操作</w:t>
            </w:r>
          </w:p>
        </w:tc>
        <w:tc>
          <w:tcPr>
            <w:tcW w:type="dxa" w:w="1984"/>
            <w:vAlign w:val="center"/>
          </w:tcPr>
          <w:p>
            <w:pPr>
              <w:jc w:val="left"/>
            </w:pPr>
            <w:r/>
            <w:r>
              <w:rPr>
                <w:rFonts w:ascii="Times New Roman" w:hAnsi="Times New Roman" w:eastAsia="宋体"/>
                <w:b w:val="0"/>
                <w:sz w:val="20"/>
              </w:rPr>
              <w:t>视觉化教学</w:t>
            </w:r>
          </w:p>
        </w:tc>
      </w:tr>
      <w:tr>
        <w:tc>
          <w:tcPr>
            <w:tcW w:type="dxa" w:w="850"/>
            <w:vAlign w:val="center"/>
          </w:tcPr>
          <w:p>
            <w:pPr>
              <w:jc w:val="left"/>
            </w:pPr>
            <w:r/>
            <w:r>
              <w:rPr>
                <w:rFonts w:ascii="Times New Roman" w:hAnsi="Times New Roman" w:eastAsia="宋体"/>
                <w:b w:val="0"/>
                <w:sz w:val="20"/>
              </w:rPr>
              <w:t>4</w:t>
            </w:r>
          </w:p>
        </w:tc>
        <w:tc>
          <w:tcPr>
            <w:tcW w:type="dxa" w:w="3402"/>
            <w:vAlign w:val="center"/>
          </w:tcPr>
          <w:p>
            <w:pPr>
              <w:jc w:val="left"/>
            </w:pPr>
            <w:r/>
            <w:r>
              <w:rPr>
                <w:rFonts w:ascii="Times New Roman" w:hAnsi="Times New Roman" w:eastAsia="宋体"/>
                <w:b w:val="0"/>
                <w:sz w:val="20"/>
              </w:rPr>
              <w:t>《均线实战入门》</w:t>
            </w:r>
          </w:p>
        </w:tc>
        <w:tc>
          <w:tcPr>
            <w:tcW w:type="dxa" w:w="2551"/>
            <w:vAlign w:val="center"/>
          </w:tcPr>
          <w:p>
            <w:pPr>
              <w:jc w:val="left"/>
            </w:pPr>
            <w:r/>
            <w:r>
              <w:rPr>
                <w:rFonts w:ascii="Times New Roman" w:hAnsi="Times New Roman" w:eastAsia="宋体"/>
                <w:b w:val="0"/>
                <w:sz w:val="20"/>
              </w:rPr>
              <w:t>基础实战技法</w:t>
            </w:r>
          </w:p>
        </w:tc>
        <w:tc>
          <w:tcPr>
            <w:tcW w:type="dxa" w:w="1984"/>
            <w:vAlign w:val="center"/>
          </w:tcPr>
          <w:p>
            <w:pPr>
              <w:jc w:val="left"/>
            </w:pPr>
            <w:r/>
            <w:r>
              <w:rPr>
                <w:rFonts w:ascii="Times New Roman" w:hAnsi="Times New Roman" w:eastAsia="宋体"/>
                <w:b w:val="0"/>
                <w:sz w:val="20"/>
              </w:rPr>
              <w:t>入门实战导向</w:t>
            </w:r>
          </w:p>
        </w:tc>
      </w:tr>
      <w:tr>
        <w:tc>
          <w:tcPr>
            <w:tcW w:type="dxa" w:w="850"/>
            <w:vAlign w:val="center"/>
          </w:tcPr>
          <w:p>
            <w:pPr>
              <w:jc w:val="left"/>
            </w:pPr>
            <w:r/>
            <w:r>
              <w:rPr>
                <w:rFonts w:ascii="Times New Roman" w:hAnsi="Times New Roman" w:eastAsia="宋体"/>
                <w:b w:val="0"/>
                <w:sz w:val="20"/>
              </w:rPr>
              <w:t>5</w:t>
            </w:r>
          </w:p>
        </w:tc>
        <w:tc>
          <w:tcPr>
            <w:tcW w:type="dxa" w:w="3402"/>
            <w:vAlign w:val="center"/>
          </w:tcPr>
          <w:p>
            <w:pPr>
              <w:jc w:val="left"/>
            </w:pPr>
            <w:r/>
            <w:r>
              <w:rPr>
                <w:rFonts w:ascii="Times New Roman" w:hAnsi="Times New Roman" w:eastAsia="宋体"/>
                <w:b w:val="0"/>
                <w:sz w:val="20"/>
              </w:rPr>
              <w:t>《移动平均线一看就会》</w:t>
            </w:r>
          </w:p>
        </w:tc>
        <w:tc>
          <w:tcPr>
            <w:tcW w:type="dxa" w:w="2551"/>
            <w:vAlign w:val="center"/>
          </w:tcPr>
          <w:p>
            <w:pPr>
              <w:jc w:val="left"/>
            </w:pPr>
            <w:r/>
            <w:r>
              <w:rPr>
                <w:rFonts w:ascii="Times New Roman" w:hAnsi="Times New Roman" w:eastAsia="宋体"/>
                <w:b w:val="0"/>
                <w:sz w:val="20"/>
              </w:rPr>
              <w:t>通俗化均线教程</w:t>
            </w:r>
          </w:p>
        </w:tc>
        <w:tc>
          <w:tcPr>
            <w:tcW w:type="dxa" w:w="1984"/>
            <w:vAlign w:val="center"/>
          </w:tcPr>
          <w:p>
            <w:pPr>
              <w:jc w:val="left"/>
            </w:pPr>
            <w:r/>
            <w:r>
              <w:rPr>
                <w:rFonts w:ascii="Times New Roman" w:hAnsi="Times New Roman" w:eastAsia="宋体"/>
                <w:b w:val="0"/>
                <w:sz w:val="20"/>
              </w:rPr>
              <w:t>语言浅显易懂</w:t>
            </w:r>
          </w:p>
        </w:tc>
      </w:tr>
      <w:tr>
        <w:tc>
          <w:tcPr>
            <w:tcW w:type="dxa" w:w="850"/>
            <w:vAlign w:val="center"/>
          </w:tcPr>
          <w:p>
            <w:pPr>
              <w:jc w:val="left"/>
            </w:pPr>
            <w:r/>
            <w:r>
              <w:rPr>
                <w:rFonts w:ascii="Times New Roman" w:hAnsi="Times New Roman" w:eastAsia="宋体"/>
                <w:b w:val="0"/>
                <w:sz w:val="20"/>
              </w:rPr>
              <w:t>6</w:t>
            </w:r>
          </w:p>
        </w:tc>
        <w:tc>
          <w:tcPr>
            <w:tcW w:type="dxa" w:w="3402"/>
            <w:vAlign w:val="center"/>
          </w:tcPr>
          <w:p>
            <w:pPr>
              <w:jc w:val="left"/>
            </w:pPr>
            <w:r/>
            <w:r>
              <w:rPr>
                <w:rFonts w:ascii="Times New Roman" w:hAnsi="Times New Roman" w:eastAsia="宋体"/>
                <w:b w:val="0"/>
                <w:sz w:val="20"/>
              </w:rPr>
              <w:t>《炒股就这几招2：均线赢利实战技法》</w:t>
            </w:r>
          </w:p>
        </w:tc>
        <w:tc>
          <w:tcPr>
            <w:tcW w:type="dxa" w:w="2551"/>
            <w:vAlign w:val="center"/>
          </w:tcPr>
          <w:p>
            <w:pPr>
              <w:jc w:val="left"/>
            </w:pPr>
            <w:r/>
            <w:r>
              <w:rPr>
                <w:rFonts w:ascii="Times New Roman" w:hAnsi="Times New Roman" w:eastAsia="宋体"/>
                <w:b w:val="0"/>
                <w:sz w:val="20"/>
              </w:rPr>
              <w:t>可复制的赢利模式</w:t>
            </w:r>
          </w:p>
        </w:tc>
        <w:tc>
          <w:tcPr>
            <w:tcW w:type="dxa" w:w="1984"/>
            <w:vAlign w:val="center"/>
          </w:tcPr>
          <w:p>
            <w:pPr>
              <w:jc w:val="left"/>
            </w:pPr>
            <w:r/>
            <w:r>
              <w:rPr>
                <w:rFonts w:ascii="Times New Roman" w:hAnsi="Times New Roman" w:eastAsia="宋体"/>
                <w:b w:val="0"/>
                <w:sz w:val="20"/>
              </w:rPr>
              <w:t>招式清晰</w:t>
            </w:r>
          </w:p>
        </w:tc>
      </w:tr>
    </w:tbl>
    <w:p>
      <w:pPr>
        <w:spacing w:before="280" w:after="160"/>
      </w:pPr>
      <w:r>
        <w:rPr>
          <w:rFonts w:ascii="Times New Roman" w:hAnsi="Times New Roman" w:eastAsia="微软雅黑"/>
          <w:b/>
          <w:color w:val="2E75B6"/>
          <w:sz w:val="26"/>
        </w:rPr>
        <w:t>A.2 系统理论与深度实战（适合进阶）</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850"/>
            <w:shd w:fill="2E75B6"/>
            <w:vAlign w:val="center"/>
          </w:tcPr>
          <w:p>
            <w:pPr>
              <w:jc w:val="center"/>
            </w:pPr>
            <w:r/>
            <w:r>
              <w:rPr>
                <w:rFonts w:ascii="Times New Roman" w:hAnsi="Times New Roman" w:eastAsia="微软雅黑"/>
                <w:b/>
                <w:color w:val="FFFFFF"/>
                <w:sz w:val="20"/>
              </w:rPr>
              <w:t>序号</w:t>
            </w:r>
          </w:p>
        </w:tc>
        <w:tc>
          <w:tcPr>
            <w:tcW w:type="dxa" w:w="3402"/>
            <w:shd w:fill="2E75B6"/>
            <w:vAlign w:val="center"/>
          </w:tcPr>
          <w:p>
            <w:pPr>
              <w:jc w:val="center"/>
            </w:pPr>
            <w:r/>
            <w:r>
              <w:rPr>
                <w:rFonts w:ascii="Times New Roman" w:hAnsi="Times New Roman" w:eastAsia="微软雅黑"/>
                <w:b/>
                <w:color w:val="FFFFFF"/>
                <w:sz w:val="20"/>
              </w:rPr>
              <w:t>书名</w:t>
            </w:r>
          </w:p>
        </w:tc>
        <w:tc>
          <w:tcPr>
            <w:tcW w:type="dxa" w:w="2551"/>
            <w:shd w:fill="2E75B6"/>
            <w:vAlign w:val="center"/>
          </w:tcPr>
          <w:p>
            <w:pPr>
              <w:jc w:val="center"/>
            </w:pPr>
            <w:r/>
            <w:r>
              <w:rPr>
                <w:rFonts w:ascii="Times New Roman" w:hAnsi="Times New Roman" w:eastAsia="微软雅黑"/>
                <w:b/>
                <w:color w:val="FFFFFF"/>
                <w:sz w:val="20"/>
              </w:rPr>
              <w:t>主要内容</w:t>
            </w:r>
          </w:p>
        </w:tc>
        <w:tc>
          <w:tcPr>
            <w:tcW w:type="dxa" w:w="1984"/>
            <w:shd w:fill="2E75B6"/>
            <w:vAlign w:val="center"/>
          </w:tcPr>
          <w:p>
            <w:pPr>
              <w:jc w:val="center"/>
            </w:pPr>
            <w:r/>
            <w:r>
              <w:rPr>
                <w:rFonts w:ascii="Times New Roman" w:hAnsi="Times New Roman" w:eastAsia="微软雅黑"/>
                <w:b/>
                <w:color w:val="FFFFFF"/>
                <w:sz w:val="20"/>
              </w:rPr>
              <w:t>特点</w:t>
            </w:r>
          </w:p>
        </w:tc>
      </w:tr>
      <w:tr>
        <w:tc>
          <w:tcPr>
            <w:tcW w:type="dxa" w:w="850"/>
            <w:vAlign w:val="center"/>
          </w:tcPr>
          <w:p>
            <w:pPr>
              <w:jc w:val="left"/>
            </w:pPr>
            <w:r/>
            <w:r>
              <w:rPr>
                <w:rFonts w:ascii="Times New Roman" w:hAnsi="Times New Roman" w:eastAsia="宋体"/>
                <w:b w:val="0"/>
                <w:sz w:val="20"/>
              </w:rPr>
              <w:t>7</w:t>
            </w:r>
          </w:p>
        </w:tc>
        <w:tc>
          <w:tcPr>
            <w:tcW w:type="dxa" w:w="3402"/>
            <w:vAlign w:val="center"/>
          </w:tcPr>
          <w:p>
            <w:pPr>
              <w:jc w:val="left"/>
            </w:pPr>
            <w:r/>
            <w:r>
              <w:rPr>
                <w:rFonts w:ascii="Times New Roman" w:hAnsi="Times New Roman" w:eastAsia="宋体"/>
                <w:b w:val="0"/>
                <w:sz w:val="20"/>
              </w:rPr>
              <w:t>《均线技术分析》</w:t>
            </w:r>
          </w:p>
        </w:tc>
        <w:tc>
          <w:tcPr>
            <w:tcW w:type="dxa" w:w="2551"/>
            <w:vAlign w:val="center"/>
          </w:tcPr>
          <w:p>
            <w:pPr>
              <w:jc w:val="left"/>
            </w:pPr>
            <w:r/>
            <w:r>
              <w:rPr>
                <w:rFonts w:ascii="Times New Roman" w:hAnsi="Times New Roman" w:eastAsia="宋体"/>
                <w:b w:val="0"/>
                <w:sz w:val="20"/>
              </w:rPr>
              <w:t>均线完整理论体系</w:t>
            </w:r>
          </w:p>
        </w:tc>
        <w:tc>
          <w:tcPr>
            <w:tcW w:type="dxa" w:w="1984"/>
            <w:vAlign w:val="center"/>
          </w:tcPr>
          <w:p>
            <w:pPr>
              <w:jc w:val="left"/>
            </w:pPr>
            <w:r/>
            <w:r>
              <w:rPr>
                <w:rFonts w:ascii="Times New Roman" w:hAnsi="Times New Roman" w:eastAsia="宋体"/>
                <w:b w:val="0"/>
                <w:sz w:val="20"/>
              </w:rPr>
              <w:t>教科书级，系统最全</w:t>
            </w:r>
          </w:p>
        </w:tc>
      </w:tr>
      <w:tr>
        <w:tc>
          <w:tcPr>
            <w:tcW w:type="dxa" w:w="850"/>
            <w:vAlign w:val="center"/>
          </w:tcPr>
          <w:p>
            <w:pPr>
              <w:jc w:val="left"/>
            </w:pPr>
            <w:r/>
            <w:r>
              <w:rPr>
                <w:rFonts w:ascii="Times New Roman" w:hAnsi="Times New Roman" w:eastAsia="宋体"/>
                <w:b w:val="0"/>
                <w:sz w:val="20"/>
              </w:rPr>
              <w:t>8</w:t>
            </w:r>
          </w:p>
        </w:tc>
        <w:tc>
          <w:tcPr>
            <w:tcW w:type="dxa" w:w="3402"/>
            <w:vAlign w:val="center"/>
          </w:tcPr>
          <w:p>
            <w:pPr>
              <w:jc w:val="left"/>
            </w:pPr>
            <w:r/>
            <w:r>
              <w:rPr>
                <w:rFonts w:ascii="Times New Roman" w:hAnsi="Times New Roman" w:eastAsia="宋体"/>
                <w:b w:val="0"/>
                <w:sz w:val="20"/>
              </w:rPr>
              <w:t>《均线之歌 股市均线技术》</w:t>
            </w:r>
          </w:p>
        </w:tc>
        <w:tc>
          <w:tcPr>
            <w:tcW w:type="dxa" w:w="2551"/>
            <w:vAlign w:val="center"/>
          </w:tcPr>
          <w:p>
            <w:pPr>
              <w:jc w:val="left"/>
            </w:pPr>
            <w:r/>
            <w:r>
              <w:rPr>
                <w:rFonts w:ascii="Times New Roman" w:hAnsi="Times New Roman" w:eastAsia="宋体"/>
                <w:b w:val="0"/>
                <w:sz w:val="20"/>
              </w:rPr>
              <w:t>均线哲学与实战</w:t>
            </w:r>
          </w:p>
        </w:tc>
        <w:tc>
          <w:tcPr>
            <w:tcW w:type="dxa" w:w="1984"/>
            <w:vAlign w:val="center"/>
          </w:tcPr>
          <w:p>
            <w:pPr>
              <w:jc w:val="left"/>
            </w:pPr>
            <w:r/>
            <w:r>
              <w:rPr>
                <w:rFonts w:ascii="Times New Roman" w:hAnsi="Times New Roman" w:eastAsia="宋体"/>
                <w:b w:val="0"/>
                <w:sz w:val="20"/>
              </w:rPr>
              <w:t>战略思维高度</w:t>
            </w:r>
          </w:p>
        </w:tc>
      </w:tr>
      <w:tr>
        <w:tc>
          <w:tcPr>
            <w:tcW w:type="dxa" w:w="850"/>
            <w:vAlign w:val="center"/>
          </w:tcPr>
          <w:p>
            <w:pPr>
              <w:jc w:val="left"/>
            </w:pPr>
            <w:r/>
            <w:r>
              <w:rPr>
                <w:rFonts w:ascii="Times New Roman" w:hAnsi="Times New Roman" w:eastAsia="宋体"/>
                <w:b w:val="0"/>
                <w:sz w:val="20"/>
              </w:rPr>
              <w:t>9</w:t>
            </w:r>
          </w:p>
        </w:tc>
        <w:tc>
          <w:tcPr>
            <w:tcW w:type="dxa" w:w="3402"/>
            <w:vAlign w:val="center"/>
          </w:tcPr>
          <w:p>
            <w:pPr>
              <w:jc w:val="left"/>
            </w:pPr>
            <w:r/>
            <w:r>
              <w:rPr>
                <w:rFonts w:ascii="Times New Roman" w:hAnsi="Times New Roman" w:eastAsia="宋体"/>
                <w:b w:val="0"/>
                <w:sz w:val="20"/>
              </w:rPr>
              <w:t>《均线技法》</w:t>
            </w:r>
          </w:p>
        </w:tc>
        <w:tc>
          <w:tcPr>
            <w:tcW w:type="dxa" w:w="2551"/>
            <w:vAlign w:val="center"/>
          </w:tcPr>
          <w:p>
            <w:pPr>
              <w:jc w:val="left"/>
            </w:pPr>
            <w:r/>
            <w:r>
              <w:rPr>
                <w:rFonts w:ascii="Times New Roman" w:hAnsi="Times New Roman" w:eastAsia="宋体"/>
                <w:b w:val="0"/>
                <w:sz w:val="20"/>
              </w:rPr>
              <w:t>各类均线技法归纳</w:t>
            </w:r>
          </w:p>
        </w:tc>
        <w:tc>
          <w:tcPr>
            <w:tcW w:type="dxa" w:w="1984"/>
            <w:vAlign w:val="center"/>
          </w:tcPr>
          <w:p>
            <w:pPr>
              <w:jc w:val="left"/>
            </w:pPr>
            <w:r/>
            <w:r>
              <w:rPr>
                <w:rFonts w:ascii="Times New Roman" w:hAnsi="Times New Roman" w:eastAsia="宋体"/>
                <w:b w:val="0"/>
                <w:sz w:val="20"/>
              </w:rPr>
              <w:t>技法大全</w:t>
            </w:r>
          </w:p>
        </w:tc>
      </w:tr>
      <w:tr>
        <w:tc>
          <w:tcPr>
            <w:tcW w:type="dxa" w:w="850"/>
            <w:vAlign w:val="center"/>
          </w:tcPr>
          <w:p>
            <w:pPr>
              <w:jc w:val="left"/>
            </w:pPr>
            <w:r/>
            <w:r>
              <w:rPr>
                <w:rFonts w:ascii="Times New Roman" w:hAnsi="Times New Roman" w:eastAsia="宋体"/>
                <w:b w:val="0"/>
                <w:sz w:val="20"/>
              </w:rPr>
              <w:t>10</w:t>
            </w:r>
          </w:p>
        </w:tc>
        <w:tc>
          <w:tcPr>
            <w:tcW w:type="dxa" w:w="3402"/>
            <w:vAlign w:val="center"/>
          </w:tcPr>
          <w:p>
            <w:pPr>
              <w:jc w:val="left"/>
            </w:pPr>
            <w:r/>
            <w:r>
              <w:rPr>
                <w:rFonts w:ascii="Times New Roman" w:hAnsi="Times New Roman" w:eastAsia="宋体"/>
                <w:b w:val="0"/>
                <w:sz w:val="20"/>
              </w:rPr>
              <w:t>《均线精讲：从入门到精通》</w:t>
            </w:r>
          </w:p>
        </w:tc>
        <w:tc>
          <w:tcPr>
            <w:tcW w:type="dxa" w:w="2551"/>
            <w:vAlign w:val="center"/>
          </w:tcPr>
          <w:p>
            <w:pPr>
              <w:jc w:val="left"/>
            </w:pPr>
            <w:r/>
            <w:r>
              <w:rPr>
                <w:rFonts w:ascii="Times New Roman" w:hAnsi="Times New Roman" w:eastAsia="宋体"/>
                <w:b w:val="0"/>
                <w:sz w:val="20"/>
              </w:rPr>
              <w:t>循序渐进式教程</w:t>
            </w:r>
          </w:p>
        </w:tc>
        <w:tc>
          <w:tcPr>
            <w:tcW w:type="dxa" w:w="1984"/>
            <w:vAlign w:val="center"/>
          </w:tcPr>
          <w:p>
            <w:pPr>
              <w:jc w:val="left"/>
            </w:pPr>
            <w:r/>
            <w:r>
              <w:rPr>
                <w:rFonts w:ascii="Times New Roman" w:hAnsi="Times New Roman" w:eastAsia="宋体"/>
                <w:b w:val="0"/>
                <w:sz w:val="20"/>
              </w:rPr>
              <w:t>系统讲解</w:t>
            </w:r>
          </w:p>
        </w:tc>
      </w:tr>
      <w:tr>
        <w:tc>
          <w:tcPr>
            <w:tcW w:type="dxa" w:w="850"/>
            <w:vAlign w:val="center"/>
          </w:tcPr>
          <w:p>
            <w:pPr>
              <w:jc w:val="left"/>
            </w:pPr>
            <w:r/>
            <w:r>
              <w:rPr>
                <w:rFonts w:ascii="Times New Roman" w:hAnsi="Times New Roman" w:eastAsia="宋体"/>
                <w:b w:val="0"/>
                <w:sz w:val="20"/>
              </w:rPr>
              <w:t>11</w:t>
            </w:r>
          </w:p>
        </w:tc>
        <w:tc>
          <w:tcPr>
            <w:tcW w:type="dxa" w:w="3402"/>
            <w:vAlign w:val="center"/>
          </w:tcPr>
          <w:p>
            <w:pPr>
              <w:jc w:val="left"/>
            </w:pPr>
            <w:r/>
            <w:r>
              <w:rPr>
                <w:rFonts w:ascii="Times New Roman" w:hAnsi="Times New Roman" w:eastAsia="宋体"/>
                <w:b w:val="0"/>
                <w:sz w:val="20"/>
              </w:rPr>
              <w:t>《实战图解均线技术》</w:t>
            </w:r>
          </w:p>
        </w:tc>
        <w:tc>
          <w:tcPr>
            <w:tcW w:type="dxa" w:w="2551"/>
            <w:vAlign w:val="center"/>
          </w:tcPr>
          <w:p>
            <w:pPr>
              <w:jc w:val="left"/>
            </w:pPr>
            <w:r/>
            <w:r>
              <w:rPr>
                <w:rFonts w:ascii="Times New Roman" w:hAnsi="Times New Roman" w:eastAsia="宋体"/>
                <w:b w:val="0"/>
                <w:sz w:val="20"/>
              </w:rPr>
              <w:t>案例丰富的图解教程</w:t>
            </w:r>
          </w:p>
        </w:tc>
        <w:tc>
          <w:tcPr>
            <w:tcW w:type="dxa" w:w="1984"/>
            <w:vAlign w:val="center"/>
          </w:tcPr>
          <w:p>
            <w:pPr>
              <w:jc w:val="left"/>
            </w:pPr>
            <w:r/>
            <w:r>
              <w:rPr>
                <w:rFonts w:ascii="Times New Roman" w:hAnsi="Times New Roman" w:eastAsia="宋体"/>
                <w:b w:val="0"/>
                <w:sz w:val="20"/>
              </w:rPr>
              <w:t>图解实战</w:t>
            </w:r>
          </w:p>
        </w:tc>
      </w:tr>
      <w:tr>
        <w:tc>
          <w:tcPr>
            <w:tcW w:type="dxa" w:w="850"/>
            <w:vAlign w:val="center"/>
          </w:tcPr>
          <w:p>
            <w:pPr>
              <w:jc w:val="left"/>
            </w:pPr>
            <w:r/>
            <w:r>
              <w:rPr>
                <w:rFonts w:ascii="Times New Roman" w:hAnsi="Times New Roman" w:eastAsia="宋体"/>
                <w:b w:val="0"/>
                <w:sz w:val="20"/>
              </w:rPr>
              <w:t>12</w:t>
            </w:r>
          </w:p>
        </w:tc>
        <w:tc>
          <w:tcPr>
            <w:tcW w:type="dxa" w:w="3402"/>
            <w:vAlign w:val="center"/>
          </w:tcPr>
          <w:p>
            <w:pPr>
              <w:jc w:val="left"/>
            </w:pPr>
            <w:r/>
            <w:r>
              <w:rPr>
                <w:rFonts w:ascii="Times New Roman" w:hAnsi="Times New Roman" w:eastAsia="宋体"/>
                <w:b w:val="0"/>
                <w:sz w:val="20"/>
              </w:rPr>
              <w:t>《均线其实很简单 25种均线形态孕育的买卖机会》</w:t>
            </w:r>
          </w:p>
        </w:tc>
        <w:tc>
          <w:tcPr>
            <w:tcW w:type="dxa" w:w="2551"/>
            <w:vAlign w:val="center"/>
          </w:tcPr>
          <w:p>
            <w:pPr>
              <w:jc w:val="left"/>
            </w:pPr>
            <w:r/>
            <w:r>
              <w:rPr>
                <w:rFonts w:ascii="Times New Roman" w:hAnsi="Times New Roman" w:eastAsia="宋体"/>
                <w:b w:val="0"/>
                <w:sz w:val="20"/>
              </w:rPr>
              <w:t>25种经典均线形态汇总</w:t>
            </w:r>
          </w:p>
        </w:tc>
        <w:tc>
          <w:tcPr>
            <w:tcW w:type="dxa" w:w="1984"/>
            <w:vAlign w:val="center"/>
          </w:tcPr>
          <w:p>
            <w:pPr>
              <w:jc w:val="left"/>
            </w:pPr>
            <w:r/>
            <w:r>
              <w:rPr>
                <w:rFonts w:ascii="Times New Roman" w:hAnsi="Times New Roman" w:eastAsia="宋体"/>
                <w:b w:val="0"/>
                <w:sz w:val="20"/>
              </w:rPr>
              <w:t>形态专著</w:t>
            </w:r>
          </w:p>
        </w:tc>
      </w:tr>
      <w:tr>
        <w:tc>
          <w:tcPr>
            <w:tcW w:type="dxa" w:w="850"/>
            <w:vAlign w:val="center"/>
          </w:tcPr>
          <w:p>
            <w:pPr>
              <w:jc w:val="left"/>
            </w:pPr>
            <w:r/>
            <w:r>
              <w:rPr>
                <w:rFonts w:ascii="Times New Roman" w:hAnsi="Times New Roman" w:eastAsia="宋体"/>
                <w:b w:val="0"/>
                <w:sz w:val="20"/>
              </w:rPr>
              <w:t>13</w:t>
            </w:r>
          </w:p>
        </w:tc>
        <w:tc>
          <w:tcPr>
            <w:tcW w:type="dxa" w:w="3402"/>
            <w:vAlign w:val="center"/>
          </w:tcPr>
          <w:p>
            <w:pPr>
              <w:jc w:val="left"/>
            </w:pPr>
            <w:r/>
            <w:r>
              <w:rPr>
                <w:rFonts w:ascii="Times New Roman" w:hAnsi="Times New Roman" w:eastAsia="宋体"/>
                <w:b w:val="0"/>
                <w:sz w:val="20"/>
              </w:rPr>
              <w:t>《两根均线定涨点》</w:t>
            </w:r>
          </w:p>
        </w:tc>
        <w:tc>
          <w:tcPr>
            <w:tcW w:type="dxa" w:w="2551"/>
            <w:vAlign w:val="center"/>
          </w:tcPr>
          <w:p>
            <w:pPr>
              <w:jc w:val="left"/>
            </w:pPr>
            <w:r/>
            <w:r>
              <w:rPr>
                <w:rFonts w:ascii="Times New Roman" w:hAnsi="Times New Roman" w:eastAsia="宋体"/>
                <w:b w:val="0"/>
                <w:sz w:val="20"/>
              </w:rPr>
              <w:t>双均线组合策略</w:t>
            </w:r>
          </w:p>
        </w:tc>
        <w:tc>
          <w:tcPr>
            <w:tcW w:type="dxa" w:w="1984"/>
            <w:vAlign w:val="center"/>
          </w:tcPr>
          <w:p>
            <w:pPr>
              <w:jc w:val="left"/>
            </w:pPr>
            <w:r/>
            <w:r>
              <w:rPr>
                <w:rFonts w:ascii="Times New Roman" w:hAnsi="Times New Roman" w:eastAsia="宋体"/>
                <w:b w:val="0"/>
                <w:sz w:val="20"/>
              </w:rPr>
              <w:t>简约有效</w:t>
            </w:r>
          </w:p>
        </w:tc>
      </w:tr>
      <w:tr>
        <w:tc>
          <w:tcPr>
            <w:tcW w:type="dxa" w:w="850"/>
            <w:vAlign w:val="center"/>
          </w:tcPr>
          <w:p>
            <w:pPr>
              <w:jc w:val="left"/>
            </w:pPr>
            <w:r/>
            <w:r>
              <w:rPr>
                <w:rFonts w:ascii="Times New Roman" w:hAnsi="Times New Roman" w:eastAsia="宋体"/>
                <w:b w:val="0"/>
                <w:sz w:val="20"/>
              </w:rPr>
              <w:t>14</w:t>
            </w:r>
          </w:p>
        </w:tc>
        <w:tc>
          <w:tcPr>
            <w:tcW w:type="dxa" w:w="3402"/>
            <w:vAlign w:val="center"/>
          </w:tcPr>
          <w:p>
            <w:pPr>
              <w:jc w:val="left"/>
            </w:pPr>
            <w:r/>
            <w:r>
              <w:rPr>
                <w:rFonts w:ascii="Times New Roman" w:hAnsi="Times New Roman" w:eastAsia="宋体"/>
                <w:b w:val="0"/>
                <w:sz w:val="20"/>
              </w:rPr>
              <w:t>《一眼看破均线天机》</w:t>
            </w:r>
          </w:p>
        </w:tc>
        <w:tc>
          <w:tcPr>
            <w:tcW w:type="dxa" w:w="2551"/>
            <w:vAlign w:val="center"/>
          </w:tcPr>
          <w:p>
            <w:pPr>
              <w:jc w:val="left"/>
            </w:pPr>
            <w:r/>
            <w:r>
              <w:rPr>
                <w:rFonts w:ascii="Times New Roman" w:hAnsi="Times New Roman" w:eastAsia="宋体"/>
                <w:b w:val="0"/>
                <w:sz w:val="20"/>
              </w:rPr>
              <w:t>均线本质快速读懂</w:t>
            </w:r>
          </w:p>
        </w:tc>
        <w:tc>
          <w:tcPr>
            <w:tcW w:type="dxa" w:w="1984"/>
            <w:vAlign w:val="center"/>
          </w:tcPr>
          <w:p>
            <w:pPr>
              <w:jc w:val="left"/>
            </w:pPr>
            <w:r/>
            <w:r>
              <w:rPr>
                <w:rFonts w:ascii="Times New Roman" w:hAnsi="Times New Roman" w:eastAsia="宋体"/>
                <w:b w:val="0"/>
                <w:sz w:val="20"/>
              </w:rPr>
              <w:t>洞察本质</w:t>
            </w:r>
          </w:p>
        </w:tc>
      </w:tr>
      <w:tr>
        <w:tc>
          <w:tcPr>
            <w:tcW w:type="dxa" w:w="850"/>
            <w:vAlign w:val="center"/>
          </w:tcPr>
          <w:p>
            <w:pPr>
              <w:jc w:val="left"/>
            </w:pPr>
            <w:r/>
            <w:r>
              <w:rPr>
                <w:rFonts w:ascii="Times New Roman" w:hAnsi="Times New Roman" w:eastAsia="宋体"/>
                <w:b w:val="0"/>
                <w:sz w:val="20"/>
              </w:rPr>
              <w:t>15</w:t>
            </w:r>
          </w:p>
        </w:tc>
        <w:tc>
          <w:tcPr>
            <w:tcW w:type="dxa" w:w="3402"/>
            <w:vAlign w:val="center"/>
          </w:tcPr>
          <w:p>
            <w:pPr>
              <w:jc w:val="left"/>
            </w:pPr>
            <w:r/>
            <w:r>
              <w:rPr>
                <w:rFonts w:ascii="Times New Roman" w:hAnsi="Times New Roman" w:eastAsia="宋体"/>
                <w:b w:val="0"/>
                <w:sz w:val="20"/>
              </w:rPr>
              <w:t>《揭开均线系统的神秘面纱》</w:t>
            </w:r>
          </w:p>
        </w:tc>
        <w:tc>
          <w:tcPr>
            <w:tcW w:type="dxa" w:w="2551"/>
            <w:vAlign w:val="center"/>
          </w:tcPr>
          <w:p>
            <w:pPr>
              <w:jc w:val="left"/>
            </w:pPr>
            <w:r/>
            <w:r>
              <w:rPr>
                <w:rFonts w:ascii="Times New Roman" w:hAnsi="Times New Roman" w:eastAsia="宋体"/>
                <w:b w:val="0"/>
                <w:sz w:val="20"/>
              </w:rPr>
              <w:t>均线系统深层原理</w:t>
            </w:r>
          </w:p>
        </w:tc>
        <w:tc>
          <w:tcPr>
            <w:tcW w:type="dxa" w:w="1984"/>
            <w:vAlign w:val="center"/>
          </w:tcPr>
          <w:p>
            <w:pPr>
              <w:jc w:val="left"/>
            </w:pPr>
            <w:r/>
            <w:r>
              <w:rPr>
                <w:rFonts w:ascii="Times New Roman" w:hAnsi="Times New Roman" w:eastAsia="宋体"/>
                <w:b w:val="0"/>
                <w:sz w:val="20"/>
              </w:rPr>
              <w:t>深度解析</w:t>
            </w:r>
          </w:p>
        </w:tc>
      </w:tr>
      <w:tr>
        <w:tc>
          <w:tcPr>
            <w:tcW w:type="dxa" w:w="850"/>
            <w:vAlign w:val="center"/>
          </w:tcPr>
          <w:p>
            <w:pPr>
              <w:jc w:val="left"/>
            </w:pPr>
            <w:r/>
            <w:r>
              <w:rPr>
                <w:rFonts w:ascii="Times New Roman" w:hAnsi="Times New Roman" w:eastAsia="宋体"/>
                <w:b w:val="0"/>
                <w:sz w:val="20"/>
              </w:rPr>
              <w:t>16</w:t>
            </w:r>
          </w:p>
        </w:tc>
        <w:tc>
          <w:tcPr>
            <w:tcW w:type="dxa" w:w="3402"/>
            <w:vAlign w:val="center"/>
          </w:tcPr>
          <w:p>
            <w:pPr>
              <w:jc w:val="left"/>
            </w:pPr>
            <w:r/>
            <w:r>
              <w:rPr>
                <w:rFonts w:ascii="Times New Roman" w:hAnsi="Times New Roman" w:eastAsia="宋体"/>
                <w:b w:val="0"/>
                <w:sz w:val="20"/>
              </w:rPr>
              <w:t>《移动平均线操作大全》</w:t>
            </w:r>
          </w:p>
        </w:tc>
        <w:tc>
          <w:tcPr>
            <w:tcW w:type="dxa" w:w="2551"/>
            <w:vAlign w:val="center"/>
          </w:tcPr>
          <w:p>
            <w:pPr>
              <w:jc w:val="left"/>
            </w:pPr>
            <w:r/>
            <w:r>
              <w:rPr>
                <w:rFonts w:ascii="Times New Roman" w:hAnsi="Times New Roman" w:eastAsia="宋体"/>
                <w:b w:val="0"/>
                <w:sz w:val="20"/>
              </w:rPr>
              <w:t>全方位操作指南</w:t>
            </w:r>
          </w:p>
        </w:tc>
        <w:tc>
          <w:tcPr>
            <w:tcW w:type="dxa" w:w="1984"/>
            <w:vAlign w:val="center"/>
          </w:tcPr>
          <w:p>
            <w:pPr>
              <w:jc w:val="left"/>
            </w:pPr>
            <w:r/>
            <w:r>
              <w:rPr>
                <w:rFonts w:ascii="Times New Roman" w:hAnsi="Times New Roman" w:eastAsia="宋体"/>
                <w:b w:val="0"/>
                <w:sz w:val="20"/>
              </w:rPr>
              <w:t>操作手册</w:t>
            </w:r>
          </w:p>
        </w:tc>
      </w:tr>
      <w:tr>
        <w:tc>
          <w:tcPr>
            <w:tcW w:type="dxa" w:w="850"/>
            <w:vAlign w:val="center"/>
          </w:tcPr>
          <w:p>
            <w:pPr>
              <w:jc w:val="left"/>
            </w:pPr>
            <w:r/>
            <w:r>
              <w:rPr>
                <w:rFonts w:ascii="Times New Roman" w:hAnsi="Times New Roman" w:eastAsia="宋体"/>
                <w:b w:val="0"/>
                <w:sz w:val="20"/>
              </w:rPr>
              <w:t>17</w:t>
            </w:r>
          </w:p>
        </w:tc>
        <w:tc>
          <w:tcPr>
            <w:tcW w:type="dxa" w:w="3402"/>
            <w:vAlign w:val="center"/>
          </w:tcPr>
          <w:p>
            <w:pPr>
              <w:jc w:val="left"/>
            </w:pPr>
            <w:r/>
            <w:r>
              <w:rPr>
                <w:rFonts w:ascii="Times New Roman" w:hAnsi="Times New Roman" w:eastAsia="宋体"/>
                <w:b w:val="0"/>
                <w:sz w:val="20"/>
              </w:rPr>
              <w:t>《移动平均线细节 破解股价运行轨迹》</w:t>
            </w:r>
          </w:p>
        </w:tc>
        <w:tc>
          <w:tcPr>
            <w:tcW w:type="dxa" w:w="2551"/>
            <w:vAlign w:val="center"/>
          </w:tcPr>
          <w:p>
            <w:pPr>
              <w:jc w:val="left"/>
            </w:pPr>
            <w:r/>
            <w:r>
              <w:rPr>
                <w:rFonts w:ascii="Times New Roman" w:hAnsi="Times New Roman" w:eastAsia="宋体"/>
                <w:b w:val="0"/>
                <w:sz w:val="20"/>
              </w:rPr>
              <w:t>均线使用的细节技巧</w:t>
            </w:r>
          </w:p>
        </w:tc>
        <w:tc>
          <w:tcPr>
            <w:tcW w:type="dxa" w:w="1984"/>
            <w:vAlign w:val="center"/>
          </w:tcPr>
          <w:p>
            <w:pPr>
              <w:jc w:val="left"/>
            </w:pPr>
            <w:r/>
            <w:r>
              <w:rPr>
                <w:rFonts w:ascii="Times New Roman" w:hAnsi="Times New Roman" w:eastAsia="宋体"/>
                <w:b w:val="0"/>
                <w:sz w:val="20"/>
              </w:rPr>
              <w:t>细节大师</w:t>
            </w:r>
          </w:p>
        </w:tc>
      </w:tr>
    </w:tbl>
    <w:p>
      <w:pPr>
        <w:spacing w:before="280" w:after="160"/>
      </w:pPr>
      <w:r>
        <w:rPr>
          <w:rFonts w:ascii="Times New Roman" w:hAnsi="Times New Roman" w:eastAsia="微软雅黑"/>
          <w:b/>
          <w:color w:val="2E75B6"/>
          <w:sz w:val="26"/>
        </w:rPr>
        <w:t>A.3 专题与创新体系（适合高级）</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850"/>
            <w:shd w:fill="2E75B6"/>
            <w:vAlign w:val="center"/>
          </w:tcPr>
          <w:p>
            <w:pPr>
              <w:jc w:val="center"/>
            </w:pPr>
            <w:r/>
            <w:r>
              <w:rPr>
                <w:rFonts w:ascii="Times New Roman" w:hAnsi="Times New Roman" w:eastAsia="微软雅黑"/>
                <w:b/>
                <w:color w:val="FFFFFF"/>
                <w:sz w:val="20"/>
              </w:rPr>
              <w:t>序号</w:t>
            </w:r>
          </w:p>
        </w:tc>
        <w:tc>
          <w:tcPr>
            <w:tcW w:type="dxa" w:w="3402"/>
            <w:shd w:fill="2E75B6"/>
            <w:vAlign w:val="center"/>
          </w:tcPr>
          <w:p>
            <w:pPr>
              <w:jc w:val="center"/>
            </w:pPr>
            <w:r/>
            <w:r>
              <w:rPr>
                <w:rFonts w:ascii="Times New Roman" w:hAnsi="Times New Roman" w:eastAsia="微软雅黑"/>
                <w:b/>
                <w:color w:val="FFFFFF"/>
                <w:sz w:val="20"/>
              </w:rPr>
              <w:t>书名</w:t>
            </w:r>
          </w:p>
        </w:tc>
        <w:tc>
          <w:tcPr>
            <w:tcW w:type="dxa" w:w="2551"/>
            <w:shd w:fill="2E75B6"/>
            <w:vAlign w:val="center"/>
          </w:tcPr>
          <w:p>
            <w:pPr>
              <w:jc w:val="center"/>
            </w:pPr>
            <w:r/>
            <w:r>
              <w:rPr>
                <w:rFonts w:ascii="Times New Roman" w:hAnsi="Times New Roman" w:eastAsia="微软雅黑"/>
                <w:b/>
                <w:color w:val="FFFFFF"/>
                <w:sz w:val="20"/>
              </w:rPr>
              <w:t>主要内容</w:t>
            </w:r>
          </w:p>
        </w:tc>
        <w:tc>
          <w:tcPr>
            <w:tcW w:type="dxa" w:w="1984"/>
            <w:shd w:fill="2E75B6"/>
            <w:vAlign w:val="center"/>
          </w:tcPr>
          <w:p>
            <w:pPr>
              <w:jc w:val="center"/>
            </w:pPr>
            <w:r/>
            <w:r>
              <w:rPr>
                <w:rFonts w:ascii="Times New Roman" w:hAnsi="Times New Roman" w:eastAsia="微软雅黑"/>
                <w:b/>
                <w:color w:val="FFFFFF"/>
                <w:sz w:val="20"/>
              </w:rPr>
              <w:t>特点</w:t>
            </w:r>
          </w:p>
        </w:tc>
      </w:tr>
      <w:tr>
        <w:tc>
          <w:tcPr>
            <w:tcW w:type="dxa" w:w="850"/>
            <w:vAlign w:val="center"/>
          </w:tcPr>
          <w:p>
            <w:pPr>
              <w:jc w:val="left"/>
            </w:pPr>
            <w:r/>
            <w:r>
              <w:rPr>
                <w:rFonts w:ascii="Times New Roman" w:hAnsi="Times New Roman" w:eastAsia="宋体"/>
                <w:b w:val="0"/>
                <w:sz w:val="20"/>
              </w:rPr>
              <w:t>18</w:t>
            </w:r>
          </w:p>
        </w:tc>
        <w:tc>
          <w:tcPr>
            <w:tcW w:type="dxa" w:w="3402"/>
            <w:vAlign w:val="center"/>
          </w:tcPr>
          <w:p>
            <w:pPr>
              <w:jc w:val="left"/>
            </w:pPr>
            <w:r/>
            <w:r>
              <w:rPr>
                <w:rFonts w:ascii="Times New Roman" w:hAnsi="Times New Roman" w:eastAsia="宋体"/>
                <w:b w:val="0"/>
                <w:sz w:val="20"/>
              </w:rPr>
              <w:t>《主控战略移动平均线》</w:t>
            </w:r>
          </w:p>
        </w:tc>
        <w:tc>
          <w:tcPr>
            <w:tcW w:type="dxa" w:w="2551"/>
            <w:vAlign w:val="center"/>
          </w:tcPr>
          <w:p>
            <w:pPr>
              <w:jc w:val="left"/>
            </w:pPr>
            <w:r/>
            <w:r>
              <w:rPr>
                <w:rFonts w:ascii="Times New Roman" w:hAnsi="Times New Roman" w:eastAsia="宋体"/>
                <w:b w:val="0"/>
                <w:sz w:val="20"/>
              </w:rPr>
              <w:t>庄家视角的均线战法</w:t>
            </w:r>
          </w:p>
        </w:tc>
        <w:tc>
          <w:tcPr>
            <w:tcW w:type="dxa" w:w="1984"/>
            <w:vAlign w:val="center"/>
          </w:tcPr>
          <w:p>
            <w:pPr>
              <w:jc w:val="left"/>
            </w:pPr>
            <w:r/>
            <w:r>
              <w:rPr>
                <w:rFonts w:ascii="Times New Roman" w:hAnsi="Times New Roman" w:eastAsia="宋体"/>
                <w:b w:val="0"/>
                <w:sz w:val="20"/>
              </w:rPr>
              <w:t>主控战法密笈</w:t>
            </w:r>
          </w:p>
        </w:tc>
      </w:tr>
      <w:tr>
        <w:tc>
          <w:tcPr>
            <w:tcW w:type="dxa" w:w="850"/>
            <w:vAlign w:val="center"/>
          </w:tcPr>
          <w:p>
            <w:pPr>
              <w:jc w:val="left"/>
            </w:pPr>
            <w:r/>
            <w:r>
              <w:rPr>
                <w:rFonts w:ascii="Times New Roman" w:hAnsi="Times New Roman" w:eastAsia="宋体"/>
                <w:b w:val="0"/>
                <w:sz w:val="20"/>
              </w:rPr>
              <w:t>19</w:t>
            </w:r>
          </w:p>
        </w:tc>
        <w:tc>
          <w:tcPr>
            <w:tcW w:type="dxa" w:w="3402"/>
            <w:vAlign w:val="center"/>
          </w:tcPr>
          <w:p>
            <w:pPr>
              <w:jc w:val="left"/>
            </w:pPr>
            <w:r/>
            <w:r>
              <w:rPr>
                <w:rFonts w:ascii="Times New Roman" w:hAnsi="Times New Roman" w:eastAsia="宋体"/>
                <w:b w:val="0"/>
                <w:sz w:val="20"/>
              </w:rPr>
              <w:t>《1250均线系统法则：三线开花》</w:t>
            </w:r>
          </w:p>
        </w:tc>
        <w:tc>
          <w:tcPr>
            <w:tcW w:type="dxa" w:w="2551"/>
            <w:vAlign w:val="center"/>
          </w:tcPr>
          <w:p>
            <w:pPr>
              <w:jc w:val="left"/>
            </w:pPr>
            <w:r/>
            <w:r>
              <w:rPr>
                <w:rFonts w:ascii="Times New Roman" w:hAnsi="Times New Roman" w:eastAsia="宋体"/>
                <w:b w:val="0"/>
                <w:sz w:val="20"/>
              </w:rPr>
              <w:t>三线开花系统创始</w:t>
            </w:r>
          </w:p>
        </w:tc>
        <w:tc>
          <w:tcPr>
            <w:tcW w:type="dxa" w:w="1984"/>
            <w:vAlign w:val="center"/>
          </w:tcPr>
          <w:p>
            <w:pPr>
              <w:jc w:val="left"/>
            </w:pPr>
            <w:r/>
            <w:r>
              <w:rPr>
                <w:rFonts w:ascii="Times New Roman" w:hAnsi="Times New Roman" w:eastAsia="宋体"/>
                <w:b w:val="0"/>
                <w:sz w:val="20"/>
              </w:rPr>
              <w:t>创新体系</w:t>
            </w:r>
          </w:p>
        </w:tc>
      </w:tr>
      <w:tr>
        <w:tc>
          <w:tcPr>
            <w:tcW w:type="dxa" w:w="850"/>
            <w:vAlign w:val="center"/>
          </w:tcPr>
          <w:p>
            <w:pPr>
              <w:jc w:val="left"/>
            </w:pPr>
            <w:r/>
            <w:r>
              <w:rPr>
                <w:rFonts w:ascii="Times New Roman" w:hAnsi="Times New Roman" w:eastAsia="宋体"/>
                <w:b w:val="0"/>
                <w:sz w:val="20"/>
              </w:rPr>
              <w:t>20</w:t>
            </w:r>
          </w:p>
        </w:tc>
        <w:tc>
          <w:tcPr>
            <w:tcW w:type="dxa" w:w="3402"/>
            <w:vAlign w:val="center"/>
          </w:tcPr>
          <w:p>
            <w:pPr>
              <w:jc w:val="left"/>
            </w:pPr>
            <w:r/>
            <w:r>
              <w:rPr>
                <w:rFonts w:ascii="Times New Roman" w:hAnsi="Times New Roman" w:eastAsia="宋体"/>
                <w:b w:val="0"/>
                <w:sz w:val="20"/>
              </w:rPr>
              <w:t>《1250均线系统法则辅助工具：三线开花之二》</w:t>
            </w:r>
          </w:p>
        </w:tc>
        <w:tc>
          <w:tcPr>
            <w:tcW w:type="dxa" w:w="2551"/>
            <w:vAlign w:val="center"/>
          </w:tcPr>
          <w:p>
            <w:pPr>
              <w:jc w:val="left"/>
            </w:pPr>
            <w:r/>
            <w:r>
              <w:rPr>
                <w:rFonts w:ascii="Times New Roman" w:hAnsi="Times New Roman" w:eastAsia="宋体"/>
                <w:b w:val="0"/>
                <w:sz w:val="20"/>
              </w:rPr>
              <w:t>三线开花进阶</w:t>
            </w:r>
          </w:p>
        </w:tc>
        <w:tc>
          <w:tcPr>
            <w:tcW w:type="dxa" w:w="1984"/>
            <w:vAlign w:val="center"/>
          </w:tcPr>
          <w:p>
            <w:pPr>
              <w:jc w:val="left"/>
            </w:pPr>
            <w:r/>
            <w:r>
              <w:rPr>
                <w:rFonts w:ascii="Times New Roman" w:hAnsi="Times New Roman" w:eastAsia="宋体"/>
                <w:b w:val="0"/>
                <w:sz w:val="20"/>
              </w:rPr>
              <w:t>配套工具</w:t>
            </w:r>
          </w:p>
        </w:tc>
      </w:tr>
      <w:tr>
        <w:tc>
          <w:tcPr>
            <w:tcW w:type="dxa" w:w="850"/>
            <w:vAlign w:val="center"/>
          </w:tcPr>
          <w:p>
            <w:pPr>
              <w:jc w:val="left"/>
            </w:pPr>
            <w:r/>
            <w:r>
              <w:rPr>
                <w:rFonts w:ascii="Times New Roman" w:hAnsi="Times New Roman" w:eastAsia="宋体"/>
                <w:b w:val="0"/>
                <w:sz w:val="20"/>
              </w:rPr>
              <w:t>21</w:t>
            </w:r>
          </w:p>
        </w:tc>
        <w:tc>
          <w:tcPr>
            <w:tcW w:type="dxa" w:w="3402"/>
            <w:vAlign w:val="center"/>
          </w:tcPr>
          <w:p>
            <w:pPr>
              <w:jc w:val="left"/>
            </w:pPr>
            <w:r/>
            <w:r>
              <w:rPr>
                <w:rFonts w:ascii="Times New Roman" w:hAnsi="Times New Roman" w:eastAsia="宋体"/>
                <w:b w:val="0"/>
                <w:sz w:val="20"/>
              </w:rPr>
              <w:t>《神奇的大均线：大均线原理及应用》</w:t>
            </w:r>
          </w:p>
        </w:tc>
        <w:tc>
          <w:tcPr>
            <w:tcW w:type="dxa" w:w="2551"/>
            <w:vAlign w:val="center"/>
          </w:tcPr>
          <w:p>
            <w:pPr>
              <w:jc w:val="left"/>
            </w:pPr>
            <w:r/>
            <w:r>
              <w:rPr>
                <w:rFonts w:ascii="Times New Roman" w:hAnsi="Times New Roman" w:eastAsia="宋体"/>
                <w:b w:val="0"/>
                <w:sz w:val="20"/>
              </w:rPr>
              <w:t>长周期均线原理与应用</w:t>
            </w:r>
          </w:p>
        </w:tc>
        <w:tc>
          <w:tcPr>
            <w:tcW w:type="dxa" w:w="1984"/>
            <w:vAlign w:val="center"/>
          </w:tcPr>
          <w:p>
            <w:pPr>
              <w:jc w:val="left"/>
            </w:pPr>
            <w:r/>
            <w:r>
              <w:rPr>
                <w:rFonts w:ascii="Times New Roman" w:hAnsi="Times New Roman" w:eastAsia="宋体"/>
                <w:b w:val="0"/>
                <w:sz w:val="20"/>
              </w:rPr>
              <w:t>大均线专著</w:t>
            </w:r>
          </w:p>
        </w:tc>
      </w:tr>
      <w:tr>
        <w:tc>
          <w:tcPr>
            <w:tcW w:type="dxa" w:w="850"/>
            <w:vAlign w:val="center"/>
          </w:tcPr>
          <w:p>
            <w:pPr>
              <w:jc w:val="left"/>
            </w:pPr>
            <w:r/>
            <w:r>
              <w:rPr>
                <w:rFonts w:ascii="Times New Roman" w:hAnsi="Times New Roman" w:eastAsia="宋体"/>
                <w:b w:val="0"/>
                <w:sz w:val="20"/>
              </w:rPr>
              <w:t>22</w:t>
            </w:r>
          </w:p>
        </w:tc>
        <w:tc>
          <w:tcPr>
            <w:tcW w:type="dxa" w:w="3402"/>
            <w:vAlign w:val="center"/>
          </w:tcPr>
          <w:p>
            <w:pPr>
              <w:jc w:val="left"/>
            </w:pPr>
            <w:r/>
            <w:r>
              <w:rPr>
                <w:rFonts w:ascii="Times New Roman" w:hAnsi="Times New Roman" w:eastAsia="宋体"/>
                <w:b w:val="0"/>
                <w:sz w:val="20"/>
              </w:rPr>
              <w:t>《神秘均线 股市动感地带》</w:t>
            </w:r>
          </w:p>
        </w:tc>
        <w:tc>
          <w:tcPr>
            <w:tcW w:type="dxa" w:w="2551"/>
            <w:vAlign w:val="center"/>
          </w:tcPr>
          <w:p>
            <w:pPr>
              <w:jc w:val="left"/>
            </w:pPr>
            <w:r/>
            <w:r>
              <w:rPr>
                <w:rFonts w:ascii="Times New Roman" w:hAnsi="Times New Roman" w:eastAsia="宋体"/>
                <w:b w:val="0"/>
                <w:sz w:val="20"/>
              </w:rPr>
              <w:t>均线的动态特征</w:t>
            </w:r>
          </w:p>
        </w:tc>
        <w:tc>
          <w:tcPr>
            <w:tcW w:type="dxa" w:w="1984"/>
            <w:vAlign w:val="center"/>
          </w:tcPr>
          <w:p>
            <w:pPr>
              <w:jc w:val="left"/>
            </w:pPr>
            <w:r/>
            <w:r>
              <w:rPr>
                <w:rFonts w:ascii="Times New Roman" w:hAnsi="Times New Roman" w:eastAsia="宋体"/>
                <w:b w:val="0"/>
                <w:sz w:val="20"/>
              </w:rPr>
              <w:t>动感均线</w:t>
            </w:r>
          </w:p>
        </w:tc>
      </w:tr>
      <w:tr>
        <w:tc>
          <w:tcPr>
            <w:tcW w:type="dxa" w:w="850"/>
            <w:vAlign w:val="center"/>
          </w:tcPr>
          <w:p>
            <w:pPr>
              <w:jc w:val="left"/>
            </w:pPr>
            <w:r/>
            <w:r>
              <w:rPr>
                <w:rFonts w:ascii="Times New Roman" w:hAnsi="Times New Roman" w:eastAsia="宋体"/>
                <w:b w:val="0"/>
                <w:sz w:val="20"/>
              </w:rPr>
              <w:t>23</w:t>
            </w:r>
          </w:p>
        </w:tc>
        <w:tc>
          <w:tcPr>
            <w:tcW w:type="dxa" w:w="3402"/>
            <w:vAlign w:val="center"/>
          </w:tcPr>
          <w:p>
            <w:pPr>
              <w:jc w:val="left"/>
            </w:pPr>
            <w:r/>
            <w:r>
              <w:rPr>
                <w:rFonts w:ascii="Times New Roman" w:hAnsi="Times New Roman" w:eastAsia="宋体"/>
                <w:b w:val="0"/>
                <w:sz w:val="20"/>
              </w:rPr>
              <w:t>《魔法股市 均线实战技巧详解》</w:t>
            </w:r>
          </w:p>
        </w:tc>
        <w:tc>
          <w:tcPr>
            <w:tcW w:type="dxa" w:w="2551"/>
            <w:vAlign w:val="center"/>
          </w:tcPr>
          <w:p>
            <w:pPr>
              <w:jc w:val="left"/>
            </w:pPr>
            <w:r/>
            <w:r>
              <w:rPr>
                <w:rFonts w:ascii="Times New Roman" w:hAnsi="Times New Roman" w:eastAsia="宋体"/>
                <w:b w:val="0"/>
                <w:sz w:val="20"/>
              </w:rPr>
              <w:t>实战技巧汇编</w:t>
            </w:r>
          </w:p>
        </w:tc>
        <w:tc>
          <w:tcPr>
            <w:tcW w:type="dxa" w:w="1984"/>
            <w:vAlign w:val="center"/>
          </w:tcPr>
          <w:p>
            <w:pPr>
              <w:jc w:val="left"/>
            </w:pPr>
            <w:r/>
            <w:r>
              <w:rPr>
                <w:rFonts w:ascii="Times New Roman" w:hAnsi="Times New Roman" w:eastAsia="宋体"/>
                <w:b w:val="0"/>
                <w:sz w:val="20"/>
              </w:rPr>
              <w:t>技巧大全</w:t>
            </w:r>
          </w:p>
        </w:tc>
      </w:tr>
      <w:tr>
        <w:tc>
          <w:tcPr>
            <w:tcW w:type="dxa" w:w="850"/>
            <w:vAlign w:val="center"/>
          </w:tcPr>
          <w:p>
            <w:pPr>
              <w:jc w:val="left"/>
            </w:pPr>
            <w:r/>
            <w:r>
              <w:rPr>
                <w:rFonts w:ascii="Times New Roman" w:hAnsi="Times New Roman" w:eastAsia="宋体"/>
                <w:b w:val="0"/>
                <w:sz w:val="20"/>
              </w:rPr>
              <w:t>24</w:t>
            </w:r>
          </w:p>
        </w:tc>
        <w:tc>
          <w:tcPr>
            <w:tcW w:type="dxa" w:w="3402"/>
            <w:vAlign w:val="center"/>
          </w:tcPr>
          <w:p>
            <w:pPr>
              <w:jc w:val="left"/>
            </w:pPr>
            <w:r/>
            <w:r>
              <w:rPr>
                <w:rFonts w:ascii="Times New Roman" w:hAnsi="Times New Roman" w:eastAsia="宋体"/>
                <w:b w:val="0"/>
                <w:sz w:val="20"/>
              </w:rPr>
              <w:t>《多条移动平均线组合运动基本原理》</w:t>
            </w:r>
          </w:p>
        </w:tc>
        <w:tc>
          <w:tcPr>
            <w:tcW w:type="dxa" w:w="2551"/>
            <w:vAlign w:val="center"/>
          </w:tcPr>
          <w:p>
            <w:pPr>
              <w:jc w:val="left"/>
            </w:pPr>
            <w:r/>
            <w:r>
              <w:rPr>
                <w:rFonts w:ascii="Times New Roman" w:hAnsi="Times New Roman" w:eastAsia="宋体"/>
                <w:b w:val="0"/>
                <w:sz w:val="20"/>
              </w:rPr>
              <w:t>多均线组合运动的理论基础</w:t>
            </w:r>
          </w:p>
        </w:tc>
        <w:tc>
          <w:tcPr>
            <w:tcW w:type="dxa" w:w="1984"/>
            <w:vAlign w:val="center"/>
          </w:tcPr>
          <w:p>
            <w:pPr>
              <w:jc w:val="left"/>
            </w:pPr>
            <w:r/>
            <w:r>
              <w:rPr>
                <w:rFonts w:ascii="Times New Roman" w:hAnsi="Times New Roman" w:eastAsia="宋体"/>
                <w:b w:val="0"/>
                <w:sz w:val="20"/>
              </w:rPr>
              <w:t>沈云来著，理论创新</w:t>
            </w:r>
          </w:p>
        </w:tc>
      </w:tr>
      <w:tr>
        <w:tc>
          <w:tcPr>
            <w:tcW w:type="dxa" w:w="850"/>
            <w:vAlign w:val="center"/>
          </w:tcPr>
          <w:p>
            <w:pPr>
              <w:jc w:val="left"/>
            </w:pPr>
            <w:r/>
            <w:r>
              <w:rPr>
                <w:rFonts w:ascii="Times New Roman" w:hAnsi="Times New Roman" w:eastAsia="宋体"/>
                <w:b w:val="0"/>
                <w:sz w:val="20"/>
              </w:rPr>
              <w:t>25</w:t>
            </w:r>
          </w:p>
        </w:tc>
        <w:tc>
          <w:tcPr>
            <w:tcW w:type="dxa" w:w="3402"/>
            <w:vAlign w:val="center"/>
          </w:tcPr>
          <w:p>
            <w:pPr>
              <w:jc w:val="left"/>
            </w:pPr>
            <w:r/>
            <w:r>
              <w:rPr>
                <w:rFonts w:ascii="Times New Roman" w:hAnsi="Times New Roman" w:eastAsia="宋体"/>
                <w:b w:val="0"/>
                <w:sz w:val="20"/>
              </w:rPr>
              <w:t>《卧底大牛股 均线捕捉主升浪》</w:t>
            </w:r>
          </w:p>
        </w:tc>
        <w:tc>
          <w:tcPr>
            <w:tcW w:type="dxa" w:w="2551"/>
            <w:vAlign w:val="center"/>
          </w:tcPr>
          <w:p>
            <w:pPr>
              <w:jc w:val="left"/>
            </w:pPr>
            <w:r/>
            <w:r>
              <w:rPr>
                <w:rFonts w:ascii="Times New Roman" w:hAnsi="Times New Roman" w:eastAsia="宋体"/>
                <w:b w:val="0"/>
                <w:sz w:val="20"/>
              </w:rPr>
              <w:t>主升浪识别与捕捉</w:t>
            </w:r>
          </w:p>
        </w:tc>
        <w:tc>
          <w:tcPr>
            <w:tcW w:type="dxa" w:w="1984"/>
            <w:vAlign w:val="center"/>
          </w:tcPr>
          <w:p>
            <w:pPr>
              <w:jc w:val="left"/>
            </w:pPr>
            <w:r/>
            <w:r>
              <w:rPr>
                <w:rFonts w:ascii="Times New Roman" w:hAnsi="Times New Roman" w:eastAsia="宋体"/>
                <w:b w:val="0"/>
                <w:sz w:val="20"/>
              </w:rPr>
              <w:t>大牛股专题</w:t>
            </w:r>
          </w:p>
        </w:tc>
      </w:tr>
      <w:tr>
        <w:tc>
          <w:tcPr>
            <w:tcW w:type="dxa" w:w="850"/>
            <w:vAlign w:val="center"/>
          </w:tcPr>
          <w:p>
            <w:pPr>
              <w:jc w:val="left"/>
            </w:pPr>
            <w:r/>
            <w:r>
              <w:rPr>
                <w:rFonts w:ascii="Times New Roman" w:hAnsi="Times New Roman" w:eastAsia="宋体"/>
                <w:b w:val="0"/>
                <w:sz w:val="20"/>
              </w:rPr>
              <w:t>26</w:t>
            </w:r>
          </w:p>
        </w:tc>
        <w:tc>
          <w:tcPr>
            <w:tcW w:type="dxa" w:w="3402"/>
            <w:vAlign w:val="center"/>
          </w:tcPr>
          <w:p>
            <w:pPr>
              <w:jc w:val="left"/>
            </w:pPr>
            <w:r/>
            <w:r>
              <w:rPr>
                <w:rFonts w:ascii="Times New Roman" w:hAnsi="Times New Roman" w:eastAsia="宋体"/>
                <w:b w:val="0"/>
                <w:sz w:val="20"/>
              </w:rPr>
              <w:t>《均线选牛股 看图操盘轻松赚钱》</w:t>
            </w:r>
          </w:p>
        </w:tc>
        <w:tc>
          <w:tcPr>
            <w:tcW w:type="dxa" w:w="2551"/>
            <w:vAlign w:val="center"/>
          </w:tcPr>
          <w:p>
            <w:pPr>
              <w:jc w:val="left"/>
            </w:pPr>
            <w:r/>
            <w:r>
              <w:rPr>
                <w:rFonts w:ascii="Times New Roman" w:hAnsi="Times New Roman" w:eastAsia="宋体"/>
                <w:b w:val="0"/>
                <w:sz w:val="20"/>
              </w:rPr>
              <w:t>均线选股方法</w:t>
            </w:r>
          </w:p>
        </w:tc>
        <w:tc>
          <w:tcPr>
            <w:tcW w:type="dxa" w:w="1984"/>
            <w:vAlign w:val="center"/>
          </w:tcPr>
          <w:p>
            <w:pPr>
              <w:jc w:val="left"/>
            </w:pPr>
            <w:r/>
            <w:r>
              <w:rPr>
                <w:rFonts w:ascii="Times New Roman" w:hAnsi="Times New Roman" w:eastAsia="宋体"/>
                <w:b w:val="0"/>
                <w:sz w:val="20"/>
              </w:rPr>
              <w:t>选股实战</w:t>
            </w:r>
          </w:p>
        </w:tc>
      </w:tr>
      <w:tr>
        <w:tc>
          <w:tcPr>
            <w:tcW w:type="dxa" w:w="850"/>
            <w:vAlign w:val="center"/>
          </w:tcPr>
          <w:p>
            <w:pPr>
              <w:jc w:val="left"/>
            </w:pPr>
            <w:r/>
            <w:r>
              <w:rPr>
                <w:rFonts w:ascii="Times New Roman" w:hAnsi="Times New Roman" w:eastAsia="宋体"/>
                <w:b w:val="0"/>
                <w:sz w:val="20"/>
              </w:rPr>
              <w:t>27</w:t>
            </w:r>
          </w:p>
        </w:tc>
        <w:tc>
          <w:tcPr>
            <w:tcW w:type="dxa" w:w="3402"/>
            <w:vAlign w:val="center"/>
          </w:tcPr>
          <w:p>
            <w:pPr>
              <w:jc w:val="left"/>
            </w:pPr>
            <w:r/>
            <w:r>
              <w:rPr>
                <w:rFonts w:ascii="Times New Roman" w:hAnsi="Times New Roman" w:eastAsia="宋体"/>
                <w:b w:val="0"/>
                <w:sz w:val="20"/>
              </w:rPr>
              <w:t>《新股民必备操盘技术大全1：均线绝招猎杀牛股》</w:t>
            </w:r>
          </w:p>
        </w:tc>
        <w:tc>
          <w:tcPr>
            <w:tcW w:type="dxa" w:w="2551"/>
            <w:vAlign w:val="center"/>
          </w:tcPr>
          <w:p>
            <w:pPr>
              <w:jc w:val="left"/>
            </w:pPr>
            <w:r/>
            <w:r>
              <w:rPr>
                <w:rFonts w:ascii="Times New Roman" w:hAnsi="Times New Roman" w:eastAsia="宋体"/>
                <w:b w:val="0"/>
                <w:sz w:val="20"/>
              </w:rPr>
              <w:t>新股民实战指南</w:t>
            </w:r>
          </w:p>
        </w:tc>
        <w:tc>
          <w:tcPr>
            <w:tcW w:type="dxa" w:w="1984"/>
            <w:vAlign w:val="center"/>
          </w:tcPr>
          <w:p>
            <w:pPr>
              <w:jc w:val="left"/>
            </w:pPr>
            <w:r/>
            <w:r>
              <w:rPr>
                <w:rFonts w:ascii="Times New Roman" w:hAnsi="Times New Roman" w:eastAsia="宋体"/>
                <w:b w:val="0"/>
                <w:sz w:val="20"/>
              </w:rPr>
              <w:t>系列丛书</w:t>
            </w:r>
          </w:p>
        </w:tc>
      </w:tr>
      <w:tr>
        <w:tc>
          <w:tcPr>
            <w:tcW w:type="dxa" w:w="850"/>
            <w:vAlign w:val="center"/>
          </w:tcPr>
          <w:p>
            <w:pPr>
              <w:jc w:val="left"/>
            </w:pPr>
            <w:r/>
            <w:r>
              <w:rPr>
                <w:rFonts w:ascii="Times New Roman" w:hAnsi="Times New Roman" w:eastAsia="宋体"/>
                <w:b w:val="0"/>
                <w:sz w:val="20"/>
              </w:rPr>
              <w:t>28</w:t>
            </w:r>
          </w:p>
        </w:tc>
        <w:tc>
          <w:tcPr>
            <w:tcW w:type="dxa" w:w="3402"/>
            <w:vAlign w:val="center"/>
          </w:tcPr>
          <w:p>
            <w:pPr>
              <w:jc w:val="left"/>
            </w:pPr>
            <w:r/>
            <w:r>
              <w:rPr>
                <w:rFonts w:ascii="Times New Roman" w:hAnsi="Times New Roman" w:eastAsia="宋体"/>
                <w:b w:val="0"/>
                <w:sz w:val="20"/>
              </w:rPr>
              <w:t>《黑马在线 均线实战利器》</w:t>
            </w:r>
          </w:p>
        </w:tc>
        <w:tc>
          <w:tcPr>
            <w:tcW w:type="dxa" w:w="2551"/>
            <w:vAlign w:val="center"/>
          </w:tcPr>
          <w:p>
            <w:pPr>
              <w:jc w:val="left"/>
            </w:pPr>
            <w:r/>
            <w:r>
              <w:rPr>
                <w:rFonts w:ascii="Times New Roman" w:hAnsi="Times New Roman" w:eastAsia="宋体"/>
                <w:b w:val="0"/>
                <w:sz w:val="20"/>
              </w:rPr>
              <w:t>均线挖掘黑马股方法</w:t>
            </w:r>
          </w:p>
        </w:tc>
        <w:tc>
          <w:tcPr>
            <w:tcW w:type="dxa" w:w="1984"/>
            <w:vAlign w:val="center"/>
          </w:tcPr>
          <w:p>
            <w:pPr>
              <w:jc w:val="left"/>
            </w:pPr>
            <w:r/>
            <w:r>
              <w:rPr>
                <w:rFonts w:ascii="Times New Roman" w:hAnsi="Times New Roman" w:eastAsia="宋体"/>
                <w:b w:val="0"/>
                <w:sz w:val="20"/>
              </w:rPr>
              <w:t>黑马专题</w:t>
            </w:r>
          </w:p>
        </w:tc>
      </w:tr>
      <w:tr>
        <w:tc>
          <w:tcPr>
            <w:tcW w:type="dxa" w:w="850"/>
            <w:vAlign w:val="center"/>
          </w:tcPr>
          <w:p>
            <w:pPr>
              <w:jc w:val="left"/>
            </w:pPr>
            <w:r/>
            <w:r>
              <w:rPr>
                <w:rFonts w:ascii="Times New Roman" w:hAnsi="Times New Roman" w:eastAsia="宋体"/>
                <w:b w:val="0"/>
                <w:sz w:val="20"/>
              </w:rPr>
              <w:t>29</w:t>
            </w:r>
          </w:p>
        </w:tc>
        <w:tc>
          <w:tcPr>
            <w:tcW w:type="dxa" w:w="3402"/>
            <w:vAlign w:val="center"/>
          </w:tcPr>
          <w:p>
            <w:pPr>
              <w:jc w:val="left"/>
            </w:pPr>
            <w:r/>
            <w:r>
              <w:rPr>
                <w:rFonts w:ascii="Times New Roman" w:hAnsi="Times New Roman" w:eastAsia="宋体"/>
                <w:b w:val="0"/>
                <w:sz w:val="20"/>
              </w:rPr>
              <w:t>《量能与均线》</w:t>
            </w:r>
          </w:p>
        </w:tc>
        <w:tc>
          <w:tcPr>
            <w:tcW w:type="dxa" w:w="2551"/>
            <w:vAlign w:val="center"/>
          </w:tcPr>
          <w:p>
            <w:pPr>
              <w:jc w:val="left"/>
            </w:pPr>
            <w:r/>
            <w:r>
              <w:rPr>
                <w:rFonts w:ascii="Times New Roman" w:hAnsi="Times New Roman" w:eastAsia="宋体"/>
                <w:b w:val="0"/>
                <w:sz w:val="20"/>
              </w:rPr>
              <w:t>量与均线的综合运用</w:t>
            </w:r>
          </w:p>
        </w:tc>
        <w:tc>
          <w:tcPr>
            <w:tcW w:type="dxa" w:w="1984"/>
            <w:vAlign w:val="center"/>
          </w:tcPr>
          <w:p>
            <w:pPr>
              <w:jc w:val="left"/>
            </w:pPr>
            <w:r/>
            <w:r>
              <w:rPr>
                <w:rFonts w:ascii="Times New Roman" w:hAnsi="Times New Roman" w:eastAsia="宋体"/>
                <w:b w:val="0"/>
                <w:sz w:val="20"/>
              </w:rPr>
              <w:t>量价专题</w:t>
            </w:r>
          </w:p>
        </w:tc>
      </w:tr>
      <w:tr>
        <w:tc>
          <w:tcPr>
            <w:tcW w:type="dxa" w:w="850"/>
            <w:vAlign w:val="center"/>
          </w:tcPr>
          <w:p>
            <w:pPr>
              <w:jc w:val="left"/>
            </w:pPr>
            <w:r/>
            <w:r>
              <w:rPr>
                <w:rFonts w:ascii="Times New Roman" w:hAnsi="Times New Roman" w:eastAsia="宋体"/>
                <w:b w:val="0"/>
                <w:sz w:val="20"/>
              </w:rPr>
              <w:t>30</w:t>
            </w:r>
          </w:p>
        </w:tc>
        <w:tc>
          <w:tcPr>
            <w:tcW w:type="dxa" w:w="3402"/>
            <w:vAlign w:val="center"/>
          </w:tcPr>
          <w:p>
            <w:pPr>
              <w:jc w:val="left"/>
            </w:pPr>
            <w:r/>
            <w:r>
              <w:rPr>
                <w:rFonts w:ascii="Times New Roman" w:hAnsi="Times New Roman" w:eastAsia="宋体"/>
                <w:b w:val="0"/>
                <w:sz w:val="20"/>
              </w:rPr>
              <w:t>《均线系统与误区修正》</w:t>
            </w:r>
          </w:p>
        </w:tc>
        <w:tc>
          <w:tcPr>
            <w:tcW w:type="dxa" w:w="2551"/>
            <w:vAlign w:val="center"/>
          </w:tcPr>
          <w:p>
            <w:pPr>
              <w:jc w:val="left"/>
            </w:pPr>
            <w:r/>
            <w:r>
              <w:rPr>
                <w:rFonts w:ascii="Times New Roman" w:hAnsi="Times New Roman" w:eastAsia="宋体"/>
                <w:b w:val="0"/>
                <w:sz w:val="20"/>
              </w:rPr>
              <w:t>常见错误的纠正</w:t>
            </w:r>
          </w:p>
        </w:tc>
        <w:tc>
          <w:tcPr>
            <w:tcW w:type="dxa" w:w="1984"/>
            <w:vAlign w:val="center"/>
          </w:tcPr>
          <w:p>
            <w:pPr>
              <w:jc w:val="left"/>
            </w:pPr>
            <w:r/>
            <w:r>
              <w:rPr>
                <w:rFonts w:ascii="Times New Roman" w:hAnsi="Times New Roman" w:eastAsia="宋体"/>
                <w:b w:val="0"/>
                <w:sz w:val="20"/>
              </w:rPr>
              <w:t>纠错专著</w:t>
            </w:r>
          </w:p>
        </w:tc>
      </w:tr>
      <w:tr>
        <w:tc>
          <w:tcPr>
            <w:tcW w:type="dxa" w:w="850"/>
            <w:vAlign w:val="center"/>
          </w:tcPr>
          <w:p>
            <w:pPr>
              <w:jc w:val="left"/>
            </w:pPr>
            <w:r/>
            <w:r>
              <w:rPr>
                <w:rFonts w:ascii="Times New Roman" w:hAnsi="Times New Roman" w:eastAsia="宋体"/>
                <w:b w:val="0"/>
                <w:sz w:val="20"/>
              </w:rPr>
              <w:t>31</w:t>
            </w:r>
          </w:p>
        </w:tc>
        <w:tc>
          <w:tcPr>
            <w:tcW w:type="dxa" w:w="3402"/>
            <w:vAlign w:val="center"/>
          </w:tcPr>
          <w:p>
            <w:pPr>
              <w:jc w:val="left"/>
            </w:pPr>
            <w:r/>
            <w:r>
              <w:rPr>
                <w:rFonts w:ascii="Times New Roman" w:hAnsi="Times New Roman" w:eastAsia="宋体"/>
                <w:b w:val="0"/>
                <w:sz w:val="20"/>
              </w:rPr>
              <w:t>《移动平均线技术：揭示期货、股票、外汇市场中形与势的核心秘密》</w:t>
            </w:r>
          </w:p>
        </w:tc>
        <w:tc>
          <w:tcPr>
            <w:tcW w:type="dxa" w:w="2551"/>
            <w:vAlign w:val="center"/>
          </w:tcPr>
          <w:p>
            <w:pPr>
              <w:jc w:val="left"/>
            </w:pPr>
            <w:r/>
            <w:r>
              <w:rPr>
                <w:rFonts w:ascii="Times New Roman" w:hAnsi="Times New Roman" w:eastAsia="宋体"/>
                <w:b w:val="0"/>
                <w:sz w:val="20"/>
              </w:rPr>
              <w:t>跨市场均线应用</w:t>
            </w:r>
          </w:p>
        </w:tc>
        <w:tc>
          <w:tcPr>
            <w:tcW w:type="dxa" w:w="1984"/>
            <w:vAlign w:val="center"/>
          </w:tcPr>
          <w:p>
            <w:pPr>
              <w:jc w:val="left"/>
            </w:pPr>
            <w:r/>
            <w:r>
              <w:rPr>
                <w:rFonts w:ascii="Times New Roman" w:hAnsi="Times New Roman" w:eastAsia="宋体"/>
                <w:b w:val="0"/>
                <w:sz w:val="20"/>
              </w:rPr>
              <w:t>多市场应用</w:t>
            </w:r>
          </w:p>
        </w:tc>
      </w:tr>
    </w:tbl>
    <w:p>
      <w:pPr>
        <w:spacing w:before="280" w:after="160"/>
      </w:pPr>
      <w:r>
        <w:rPr>
          <w:rFonts w:ascii="Times New Roman" w:hAnsi="Times New Roman" w:eastAsia="微软雅黑"/>
          <w:b/>
          <w:color w:val="2E75B6"/>
          <w:sz w:val="26"/>
        </w:rPr>
        <w:t>A.4 专业研究（适合专业人士）</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850"/>
            <w:shd w:fill="2E75B6"/>
            <w:vAlign w:val="center"/>
          </w:tcPr>
          <w:p>
            <w:pPr>
              <w:jc w:val="center"/>
            </w:pPr>
            <w:r/>
            <w:r>
              <w:rPr>
                <w:rFonts w:ascii="Times New Roman" w:hAnsi="Times New Roman" w:eastAsia="微软雅黑"/>
                <w:b/>
                <w:color w:val="FFFFFF"/>
                <w:sz w:val="20"/>
              </w:rPr>
              <w:t>序号</w:t>
            </w:r>
          </w:p>
        </w:tc>
        <w:tc>
          <w:tcPr>
            <w:tcW w:type="dxa" w:w="3402"/>
            <w:shd w:fill="2E75B6"/>
            <w:vAlign w:val="center"/>
          </w:tcPr>
          <w:p>
            <w:pPr>
              <w:jc w:val="center"/>
            </w:pPr>
            <w:r/>
            <w:r>
              <w:rPr>
                <w:rFonts w:ascii="Times New Roman" w:hAnsi="Times New Roman" w:eastAsia="微软雅黑"/>
                <w:b/>
                <w:color w:val="FFFFFF"/>
                <w:sz w:val="20"/>
              </w:rPr>
              <w:t>书名/报告</w:t>
            </w:r>
          </w:p>
        </w:tc>
        <w:tc>
          <w:tcPr>
            <w:tcW w:type="dxa" w:w="2551"/>
            <w:shd w:fill="2E75B6"/>
            <w:vAlign w:val="center"/>
          </w:tcPr>
          <w:p>
            <w:pPr>
              <w:jc w:val="center"/>
            </w:pPr>
            <w:r/>
            <w:r>
              <w:rPr>
                <w:rFonts w:ascii="Times New Roman" w:hAnsi="Times New Roman" w:eastAsia="微软雅黑"/>
                <w:b/>
                <w:color w:val="FFFFFF"/>
                <w:sz w:val="20"/>
              </w:rPr>
              <w:t>主要内容</w:t>
            </w:r>
          </w:p>
        </w:tc>
        <w:tc>
          <w:tcPr>
            <w:tcW w:type="dxa" w:w="1984"/>
            <w:shd w:fill="2E75B6"/>
            <w:vAlign w:val="center"/>
          </w:tcPr>
          <w:p>
            <w:pPr>
              <w:jc w:val="center"/>
            </w:pPr>
            <w:r/>
            <w:r>
              <w:rPr>
                <w:rFonts w:ascii="Times New Roman" w:hAnsi="Times New Roman" w:eastAsia="微软雅黑"/>
                <w:b/>
                <w:color w:val="FFFFFF"/>
                <w:sz w:val="20"/>
              </w:rPr>
              <w:t>特点</w:t>
            </w:r>
          </w:p>
        </w:tc>
      </w:tr>
      <w:tr>
        <w:tc>
          <w:tcPr>
            <w:tcW w:type="dxa" w:w="850"/>
            <w:vAlign w:val="center"/>
          </w:tcPr>
          <w:p>
            <w:pPr>
              <w:jc w:val="left"/>
            </w:pPr>
            <w:r/>
            <w:r>
              <w:rPr>
                <w:rFonts w:ascii="Times New Roman" w:hAnsi="Times New Roman" w:eastAsia="宋体"/>
                <w:b w:val="0"/>
                <w:sz w:val="20"/>
              </w:rPr>
              <w:t>32</w:t>
            </w:r>
          </w:p>
        </w:tc>
        <w:tc>
          <w:tcPr>
            <w:tcW w:type="dxa" w:w="3402"/>
            <w:vAlign w:val="center"/>
          </w:tcPr>
          <w:p>
            <w:pPr>
              <w:jc w:val="left"/>
            </w:pPr>
            <w:r/>
            <w:r>
              <w:rPr>
                <w:rFonts w:ascii="Times New Roman" w:hAnsi="Times New Roman" w:eastAsia="宋体"/>
                <w:b w:val="0"/>
                <w:sz w:val="20"/>
              </w:rPr>
              <w:t>《均线交叉策略的另类创新研究》</w:t>
            </w:r>
          </w:p>
        </w:tc>
        <w:tc>
          <w:tcPr>
            <w:tcW w:type="dxa" w:w="2551"/>
            <w:vAlign w:val="center"/>
          </w:tcPr>
          <w:p>
            <w:pPr>
              <w:jc w:val="left"/>
            </w:pPr>
            <w:r/>
            <w:r>
              <w:rPr>
                <w:rFonts w:ascii="Times New Roman" w:hAnsi="Times New Roman" w:eastAsia="宋体"/>
                <w:b w:val="0"/>
                <w:sz w:val="20"/>
              </w:rPr>
              <w:t>均线交叉策略量化改进</w:t>
            </w:r>
          </w:p>
        </w:tc>
        <w:tc>
          <w:tcPr>
            <w:tcW w:type="dxa" w:w="1984"/>
            <w:vAlign w:val="center"/>
          </w:tcPr>
          <w:p>
            <w:pPr>
              <w:jc w:val="left"/>
            </w:pPr>
            <w:r/>
            <w:r>
              <w:rPr>
                <w:rFonts w:ascii="Times New Roman" w:hAnsi="Times New Roman" w:eastAsia="宋体"/>
                <w:b w:val="0"/>
                <w:sz w:val="20"/>
              </w:rPr>
              <w:t>广发证券研究报告</w:t>
            </w:r>
          </w:p>
        </w:tc>
      </w:tr>
      <w:tr>
        <w:tc>
          <w:tcPr>
            <w:tcW w:type="dxa" w:w="850"/>
            <w:vAlign w:val="center"/>
          </w:tcPr>
          <w:p>
            <w:pPr>
              <w:jc w:val="left"/>
            </w:pPr>
            <w:r/>
            <w:r>
              <w:rPr>
                <w:rFonts w:ascii="Times New Roman" w:hAnsi="Times New Roman" w:eastAsia="宋体"/>
                <w:b w:val="0"/>
                <w:sz w:val="20"/>
              </w:rPr>
              <w:t>33</w:t>
            </w:r>
          </w:p>
        </w:tc>
        <w:tc>
          <w:tcPr>
            <w:tcW w:type="dxa" w:w="3402"/>
            <w:vAlign w:val="center"/>
          </w:tcPr>
          <w:p>
            <w:pPr>
              <w:jc w:val="left"/>
            </w:pPr>
            <w:r/>
            <w:r>
              <w:rPr>
                <w:rFonts w:ascii="Times New Roman" w:hAnsi="Times New Roman" w:eastAsia="宋体"/>
                <w:b w:val="0"/>
                <w:sz w:val="20"/>
              </w:rPr>
              <w:t>《洪灝：怎样用850天均线做预测》</w:t>
            </w:r>
          </w:p>
        </w:tc>
        <w:tc>
          <w:tcPr>
            <w:tcW w:type="dxa" w:w="2551"/>
            <w:vAlign w:val="center"/>
          </w:tcPr>
          <w:p>
            <w:pPr>
              <w:jc w:val="left"/>
            </w:pPr>
            <w:r/>
            <w:r>
              <w:rPr>
                <w:rFonts w:ascii="Times New Roman" w:hAnsi="Times New Roman" w:eastAsia="宋体"/>
                <w:b w:val="0"/>
                <w:sz w:val="20"/>
              </w:rPr>
              <w:t>基钦周期MA850预测法</w:t>
            </w:r>
          </w:p>
        </w:tc>
        <w:tc>
          <w:tcPr>
            <w:tcW w:type="dxa" w:w="1984"/>
            <w:vAlign w:val="center"/>
          </w:tcPr>
          <w:p>
            <w:pPr>
              <w:jc w:val="left"/>
            </w:pPr>
            <w:r/>
            <w:r>
              <w:rPr>
                <w:rFonts w:ascii="Times New Roman" w:hAnsi="Times New Roman" w:eastAsia="宋体"/>
                <w:b w:val="0"/>
                <w:sz w:val="20"/>
              </w:rPr>
              <w:t>宏观策略研究</w:t>
            </w:r>
          </w:p>
        </w:tc>
      </w:tr>
      <w:tr>
        <w:tc>
          <w:tcPr>
            <w:tcW w:type="dxa" w:w="850"/>
            <w:vAlign w:val="center"/>
          </w:tcPr>
          <w:p>
            <w:pPr>
              <w:jc w:val="left"/>
            </w:pPr>
            <w:r/>
            <w:r>
              <w:rPr>
                <w:rFonts w:ascii="Times New Roman" w:hAnsi="Times New Roman" w:eastAsia="宋体"/>
                <w:b w:val="0"/>
                <w:sz w:val="20"/>
              </w:rPr>
              <w:t>34</w:t>
            </w:r>
          </w:p>
        </w:tc>
        <w:tc>
          <w:tcPr>
            <w:tcW w:type="dxa" w:w="3402"/>
            <w:vAlign w:val="center"/>
          </w:tcPr>
          <w:p>
            <w:pPr>
              <w:jc w:val="left"/>
            </w:pPr>
            <w:r/>
            <w:r>
              <w:rPr>
                <w:rFonts w:ascii="Times New Roman" w:hAnsi="Times New Roman" w:eastAsia="宋体"/>
                <w:b w:val="0"/>
                <w:sz w:val="20"/>
              </w:rPr>
              <w:t>《洪灝：怎样用850天均线做预测》（副本）</w:t>
            </w:r>
          </w:p>
        </w:tc>
        <w:tc>
          <w:tcPr>
            <w:tcW w:type="dxa" w:w="2551"/>
            <w:vAlign w:val="center"/>
          </w:tcPr>
          <w:p>
            <w:pPr>
              <w:jc w:val="left"/>
            </w:pPr>
            <w:r/>
            <w:r>
              <w:rPr>
                <w:rFonts w:ascii="Times New Roman" w:hAnsi="Times New Roman" w:eastAsia="宋体"/>
                <w:b w:val="0"/>
                <w:sz w:val="20"/>
              </w:rPr>
              <w:t>同上</w:t>
            </w:r>
          </w:p>
        </w:tc>
        <w:tc>
          <w:tcPr>
            <w:tcW w:type="dxa" w:w="1984"/>
            <w:vAlign w:val="center"/>
          </w:tcPr>
          <w:p>
            <w:pPr>
              <w:jc w:val="left"/>
            </w:pPr>
            <w:r/>
            <w:r>
              <w:rPr>
                <w:rFonts w:ascii="Times New Roman" w:hAnsi="Times New Roman" w:eastAsia="宋体"/>
                <w:b w:val="0"/>
                <w:sz w:val="20"/>
              </w:rPr>
              <w:t>另一版本</w:t>
            </w:r>
          </w:p>
        </w:tc>
      </w:tr>
      <w:tr>
        <w:tc>
          <w:tcPr>
            <w:tcW w:type="dxa" w:w="850"/>
            <w:vAlign w:val="center"/>
          </w:tcPr>
          <w:p>
            <w:pPr>
              <w:jc w:val="left"/>
            </w:pPr>
            <w:r/>
            <w:r>
              <w:rPr>
                <w:rFonts w:ascii="Times New Roman" w:hAnsi="Times New Roman" w:eastAsia="宋体"/>
                <w:b w:val="0"/>
                <w:sz w:val="20"/>
              </w:rPr>
              <w:t>35</w:t>
            </w:r>
          </w:p>
        </w:tc>
        <w:tc>
          <w:tcPr>
            <w:tcW w:type="dxa" w:w="3402"/>
            <w:vAlign w:val="center"/>
          </w:tcPr>
          <w:p>
            <w:pPr>
              <w:jc w:val="left"/>
            </w:pPr>
            <w:r/>
            <w:r>
              <w:rPr>
                <w:rFonts w:ascii="Times New Roman" w:hAnsi="Times New Roman" w:eastAsia="宋体"/>
                <w:b w:val="0"/>
                <w:sz w:val="20"/>
              </w:rPr>
              <w:t>《股市均线多空判断规则全面梳理》</w:t>
            </w:r>
          </w:p>
        </w:tc>
        <w:tc>
          <w:tcPr>
            <w:tcW w:type="dxa" w:w="2551"/>
            <w:vAlign w:val="center"/>
          </w:tcPr>
          <w:p>
            <w:pPr>
              <w:jc w:val="left"/>
            </w:pPr>
            <w:r/>
            <w:r>
              <w:rPr>
                <w:rFonts w:ascii="Times New Roman" w:hAnsi="Times New Roman" w:eastAsia="宋体"/>
                <w:b w:val="0"/>
                <w:sz w:val="20"/>
              </w:rPr>
              <w:t>前人书籍的系统整理</w:t>
            </w:r>
          </w:p>
        </w:tc>
        <w:tc>
          <w:tcPr>
            <w:tcW w:type="dxa" w:w="1984"/>
            <w:vAlign w:val="center"/>
          </w:tcPr>
          <w:p>
            <w:pPr>
              <w:jc w:val="left"/>
            </w:pPr>
            <w:r/>
            <w:r>
              <w:rPr>
                <w:rFonts w:ascii="Times New Roman" w:hAnsi="Times New Roman" w:eastAsia="宋体"/>
                <w:b w:val="0"/>
                <w:sz w:val="20"/>
              </w:rPr>
              <w:t>综合参考</w:t>
            </w:r>
          </w:p>
        </w:tc>
      </w:tr>
    </w:tbl>
    <w:p>
      <w:pPr>
        <w:spacing w:before="280" w:after="160"/>
      </w:pPr>
      <w:r>
        <w:rPr>
          <w:rFonts w:ascii="Times New Roman" w:hAnsi="Times New Roman" w:eastAsia="微软雅黑"/>
          <w:b/>
          <w:color w:val="2E75B6"/>
          <w:sz w:val="26"/>
        </w:rPr>
        <w:t>A.5 学习路径建议</w:t>
      </w:r>
    </w:p>
    <w:p>
      <w:pPr>
        <w:spacing w:line="360" w:lineRule="auto" w:after="80"/>
        <w:ind w:firstLine="440"/>
      </w:pPr>
      <w:r>
        <w:rPr>
          <w:rFonts w:ascii="Times New Roman" w:hAnsi="Times New Roman" w:eastAsia="宋体"/>
          <w:b/>
          <w:sz w:val="22"/>
        </w:rPr>
        <w:t>零基础读者：</w:t>
      </w:r>
    </w:p>
    <w:p>
      <w:pPr>
        <w:spacing w:line="360" w:lineRule="auto" w:after="80"/>
        <w:ind w:firstLine="440"/>
      </w:pPr>
      <w:r>
        <w:rPr>
          <w:rFonts w:ascii="Times New Roman" w:hAnsi="Times New Roman" w:eastAsia="宋体"/>
          <w:b w:val="0"/>
          <w:sz w:val="22"/>
        </w:rPr>
        <w:t>首先阅读《从零开始学均线》或《看均线学炒股》打基础；然后学习《移动平均线一看就会》巩固概念；接着实践《炒股就这几招2：均线赢利实战技法》。</w:t>
      </w:r>
    </w:p>
    <w:p>
      <w:pPr>
        <w:spacing w:line="360" w:lineRule="auto" w:after="80"/>
        <w:ind w:firstLine="440"/>
      </w:pPr>
      <w:r>
        <w:rPr>
          <w:rFonts w:ascii="Times New Roman" w:hAnsi="Times New Roman" w:eastAsia="宋体"/>
          <w:b/>
          <w:sz w:val="22"/>
        </w:rPr>
        <w:t>有一定基础的读者：</w:t>
      </w:r>
    </w:p>
    <w:p>
      <w:pPr>
        <w:spacing w:line="360" w:lineRule="auto" w:after="80"/>
        <w:ind w:firstLine="440"/>
      </w:pPr>
      <w:r>
        <w:rPr>
          <w:rFonts w:ascii="Times New Roman" w:hAnsi="Times New Roman" w:eastAsia="宋体"/>
          <w:b w:val="0"/>
          <w:sz w:val="22"/>
        </w:rPr>
        <w:t>重点学习《均线技术分析》掌握系统理论；精读《均线之歌 股市均线技术》领会均线哲学；学习《均线其实很简单》掌握25种形态；研究《主控战略移动平均线》理解庄家视角。</w:t>
      </w:r>
    </w:p>
    <w:p>
      <w:pPr>
        <w:spacing w:line="360" w:lineRule="auto" w:after="80"/>
        <w:ind w:firstLine="440"/>
      </w:pPr>
      <w:r>
        <w:rPr>
          <w:rFonts w:ascii="Times New Roman" w:hAnsi="Times New Roman" w:eastAsia="宋体"/>
          <w:b/>
          <w:sz w:val="22"/>
        </w:rPr>
        <w:t>进阶读者：</w:t>
      </w:r>
    </w:p>
    <w:p>
      <w:pPr>
        <w:spacing w:line="360" w:lineRule="auto" w:after="80"/>
        <w:ind w:firstLine="440"/>
      </w:pPr>
      <w:r>
        <w:rPr>
          <w:rFonts w:ascii="Times New Roman" w:hAnsi="Times New Roman" w:eastAsia="宋体"/>
          <w:b w:val="0"/>
          <w:sz w:val="22"/>
        </w:rPr>
        <w:t>深入研究《1250均线系统法则：三线开花》等创新体系；学习《神奇的大均线》掌握大周期分析；研读洪灝《怎样用850天均线做预测》理解宏观周期。</w:t>
      </w:r>
    </w:p>
    <w:p>
      <w:pPr>
        <w:spacing w:line="360" w:lineRule="auto" w:after="80"/>
        <w:ind w:firstLine="440"/>
      </w:pPr>
      <w:r>
        <w:rPr>
          <w:rFonts w:ascii="Times New Roman" w:hAnsi="Times New Roman" w:eastAsia="宋体"/>
          <w:b/>
          <w:sz w:val="22"/>
        </w:rPr>
        <w:t>专业交易者：</w:t>
      </w:r>
    </w:p>
    <w:p>
      <w:pPr>
        <w:spacing w:line="360" w:lineRule="auto" w:after="80"/>
        <w:ind w:firstLine="440"/>
      </w:pPr>
      <w:r>
        <w:rPr>
          <w:rFonts w:ascii="Times New Roman" w:hAnsi="Times New Roman" w:eastAsia="宋体"/>
          <w:b w:val="0"/>
          <w:sz w:val="22"/>
        </w:rPr>
        <w:t>阅读广发证券《均线交叉策略的另类创新研究》等量化研究；将均线与其他技术指标（MACD、BOLL、RSI等）综合运用；建立自己的量化交易系统。</w:t>
      </w:r>
    </w:p>
    <w:tbl>
      <w:tblPr>
        <w:tblW w:type="auto" w:w="0"/>
        <w:jc w:val="center"/>
        <w:tblLook w:firstColumn="1" w:firstRow="1" w:lastColumn="0" w:lastRow="0" w:noHBand="0" w:noVBand="1" w:val="04A0"/>
      </w:tblPr>
      <w:tblGrid>
        <w:gridCol w:w="9026"/>
      </w:tblGrid>
      <w:tr>
        <w:tc>
          <w:tcPr>
            <w:tcW w:type="dxa" w:w="9026"/>
            <w:shd w:fill="D9E1F2"/>
          </w:tcPr>
          <w:p>
            <w:pPr>
              <w:spacing w:line="336" w:lineRule="auto"/>
            </w:pPr>
            <w:r/>
            <w:r>
              <w:rPr>
                <w:rFonts w:ascii="Times New Roman" w:hAnsi="Times New Roman" w:eastAsia="宋体"/>
                <w:b w:val="0"/>
                <w:color w:val="1F4E78"/>
                <w:sz w:val="22"/>
              </w:rPr>
              <w:t>阅读建议：均线类书籍内容多有重复，不必逐本精读。建议精读3-5本经典，其余作为参考。『读万卷书不如行万里路』——实盘交易是最好的老师。</w:t>
            </w:r>
          </w:p>
        </w:tc>
      </w:tr>
    </w:tbl>
    <w:p>
      <w:r>
        <w:br w:type="page"/>
      </w:r>
    </w:p>
    <w:p>
      <w:pPr>
        <w:jc w:val="center"/>
      </w:pPr>
      <w:r>
        <w:rPr>
          <w:rFonts w:ascii="Times New Roman" w:hAnsi="Times New Roman" w:eastAsia="微软雅黑"/>
          <w:b/>
          <w:color w:val="44546A"/>
          <w:sz w:val="28"/>
        </w:rPr>
        <w:t>—— 全书完 ——</w:t>
      </w:r>
    </w:p>
    <w:p>
      <w:pPr>
        <w:spacing w:before="400"/>
        <w:jc w:val="center"/>
      </w:pPr>
      <w:r>
        <w:rPr>
          <w:rFonts w:ascii="Times New Roman" w:hAnsi="Times New Roman" w:eastAsia="仿宋"/>
          <w:b w:val="0"/>
          <w:sz w:val="22"/>
        </w:rPr>
        <w:t>本手册系统梳理了35本均线专著的核心内容，</w:t>
      </w:r>
    </w:p>
    <w:p>
      <w:pPr>
        <w:jc w:val="center"/>
      </w:pPr>
      <w:r>
        <w:rPr>
          <w:rFonts w:ascii="Times New Roman" w:hAnsi="Times New Roman" w:eastAsia="仿宋"/>
          <w:b w:val="0"/>
          <w:sz w:val="22"/>
        </w:rPr>
        <w:t>涵盖均线基础理论、13大类技术指标、25种经典形态、</w:t>
      </w:r>
    </w:p>
    <w:p>
      <w:pPr>
        <w:jc w:val="center"/>
      </w:pPr>
      <w:r>
        <w:rPr>
          <w:rFonts w:ascii="Times New Roman" w:hAnsi="Times New Roman" w:eastAsia="仿宋"/>
          <w:b w:val="0"/>
          <w:sz w:val="22"/>
        </w:rPr>
        <w:t>完整的买卖规则体系、风险管理方法与常见误区修正。</w:t>
      </w:r>
    </w:p>
    <w:p>
      <w:pPr>
        <w:spacing w:before="320"/>
        <w:jc w:val="center"/>
      </w:pPr>
      <w:r>
        <w:rPr>
          <w:rFonts w:ascii="Times New Roman" w:hAnsi="Times New Roman" w:eastAsia="微软雅黑"/>
          <w:b/>
          <w:color w:val="1F4E78"/>
          <w:sz w:val="24"/>
        </w:rPr>
        <w:t>祝您在投资之路上稳健前行！</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