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A1A2E"/>
          <w:sz w:val="64"/>
        </w:rPr>
        <w:t>股市均线多空判断规则</w:t>
      </w:r>
    </w:p>
    <w:p>
      <w:pPr>
        <w:jc w:val="center"/>
      </w:pPr>
      <w:r>
        <w:rPr>
          <w:rFonts w:ascii="微软雅黑" w:hAnsi="微软雅黑" w:eastAsia="微软雅黑"/>
          <w:color w:val="7F8C8D"/>
          <w:sz w:val="40"/>
        </w:rPr>
        <w:t>全面系统梳理</w:t>
      </w:r>
    </w:p>
    <w:p/>
    <w:p>
      <w:pPr>
        <w:jc w:val="center"/>
      </w:pPr>
      <w:r>
        <w:rPr>
          <w:rFonts w:ascii="微软雅黑" w:hAnsi="微软雅黑" w:eastAsia="微软雅黑"/>
          <w:color w:val="95A5A6"/>
          <w:sz w:val="24"/>
        </w:rPr>
        <w:t>基于34本均线技术分析专著系统整理</w:t>
      </w:r>
    </w:p>
    <w:p/>
    <w:p>
      <w:pPr>
        <w:jc w:val="center"/>
      </w:pPr>
      <w:r>
        <w:rPr>
          <w:rFonts w:ascii="微软雅黑" w:hAnsi="微软雅黑" w:eastAsia="微软雅黑"/>
          <w:color w:val="95A5A6"/>
          <w:sz w:val="22"/>
        </w:rPr>
        <w:t>整理日期：2026年04月15日</w:t>
      </w:r>
    </w:p>
    <w:p>
      <w:r>
        <w:br w:type="page"/>
      </w:r>
    </w:p>
    <w:p>
      <w:pPr>
        <w:pStyle w:val="Heading1"/>
      </w:pPr>
      <w:r>
        <w:t>目录</w:t>
      </w:r>
    </w:p>
    <w:p>
      <w:r>
        <w:rPr>
          <w:rFonts w:ascii="微软雅黑" w:hAnsi="微软雅黑" w:eastAsia="微软雅黑"/>
          <w:sz w:val="24"/>
        </w:rPr>
        <w:t>第一章  均线基础理论</w:t>
      </w:r>
    </w:p>
    <w:p>
      <w:r>
        <w:rPr>
          <w:rFonts w:ascii="微软雅黑" w:hAnsi="微软雅黑" w:eastAsia="微软雅黑"/>
          <w:sz w:val="24"/>
        </w:rPr>
        <w:t>第二章  单根均线多空判断规则</w:t>
      </w:r>
    </w:p>
    <w:p>
      <w:r>
        <w:rPr>
          <w:rFonts w:ascii="微软雅黑" w:hAnsi="微软雅黑" w:eastAsia="微软雅黑"/>
          <w:sz w:val="24"/>
        </w:rPr>
        <w:t>第三章  均线交叉规则（金叉与死叉）</w:t>
      </w:r>
    </w:p>
    <w:p>
      <w:r>
        <w:rPr>
          <w:rFonts w:ascii="微软雅黑" w:hAnsi="微软雅黑" w:eastAsia="微软雅黑"/>
          <w:sz w:val="24"/>
        </w:rPr>
        <w:t>第四章  均线排列多空判断</w:t>
      </w:r>
    </w:p>
    <w:p>
      <w:r>
        <w:rPr>
          <w:rFonts w:ascii="微软雅黑" w:hAnsi="微软雅黑" w:eastAsia="微软雅黑"/>
          <w:sz w:val="24"/>
        </w:rPr>
        <w:t>第五章  均线形态多空信号</w:t>
      </w:r>
    </w:p>
    <w:p>
      <w:r>
        <w:rPr>
          <w:rFonts w:ascii="微软雅黑" w:hAnsi="微软雅黑" w:eastAsia="微软雅黑"/>
          <w:sz w:val="24"/>
        </w:rPr>
        <w:t>第六章  1250均线系统法则</w:t>
      </w:r>
    </w:p>
    <w:p>
      <w:r>
        <w:rPr>
          <w:rFonts w:ascii="微软雅黑" w:hAnsi="微软雅黑" w:eastAsia="微软雅黑"/>
          <w:sz w:val="24"/>
        </w:rPr>
        <w:t>第七章  大均线系统（MA120/MA250/MA850）</w:t>
      </w:r>
    </w:p>
    <w:p>
      <w:r>
        <w:rPr>
          <w:rFonts w:ascii="微软雅黑" w:hAnsi="微软雅黑" w:eastAsia="微软雅黑"/>
          <w:sz w:val="24"/>
        </w:rPr>
        <w:t>第八章  量价配合与均线综合判断</w:t>
      </w:r>
    </w:p>
    <w:p>
      <w:r>
        <w:rPr>
          <w:rFonts w:ascii="微软雅黑" w:hAnsi="微软雅黑" w:eastAsia="微软雅黑"/>
          <w:sz w:val="24"/>
        </w:rPr>
        <w:t>第九章  实战买卖点规则汇总</w:t>
      </w:r>
    </w:p>
    <w:p>
      <w:r>
        <w:rPr>
          <w:rFonts w:ascii="微软雅黑" w:hAnsi="微软雅黑" w:eastAsia="微软雅黑"/>
          <w:sz w:val="24"/>
        </w:rPr>
        <w:t>第十章  风险管理与常见误区</w:t>
      </w:r>
    </w:p>
    <w:p>
      <w:r>
        <w:br w:type="page"/>
      </w:r>
    </w:p>
    <w:p>
      <w:pPr>
        <w:pStyle w:val="Heading1"/>
      </w:pPr>
      <w:r>
        <w:t>第一章  均线基础理论</w:t>
      </w:r>
    </w:p>
    <w:p>
      <w:pPr>
        <w:pStyle w:val="Heading2"/>
      </w:pPr>
      <w:r>
        <w:t>1.1 移动平均线的定义</w:t>
      </w:r>
    </w:p>
    <w:p>
      <w:r>
        <w:rPr>
          <w:rFonts w:ascii="微软雅黑" w:hAnsi="微软雅黑" w:eastAsia="微软雅黑"/>
        </w:rPr>
        <w:t>移动平均线（Moving Average，简称MA），是将一定时期内的股票收盘价加以平均，并将不同时间的平均值连接起来形成的一条曲线。它是技术分析中最基础、最重要的指标之一，其核心功能是显示股价的趋势方向，帮助投资者判断市场多空力量的对比。</w:t>
      </w:r>
    </w:p>
    <w:p>
      <w:r>
        <w:rPr>
          <w:rFonts w:ascii="微软雅黑" w:hAnsi="微软雅黑" w:eastAsia="微软雅黑"/>
        </w:rPr>
        <w:t>移动平均线的计算公式为：MA(n) = (P1 + P2 + P3 + ... + Pn) / n，其中n为计算周期，P为每日收盘价。</w:t>
      </w:r>
    </w:p>
    <w:p>
      <w:pPr>
        <w:pStyle w:val="Heading2"/>
      </w:pPr>
      <w:r>
        <w:t>1.2 常用均线周期及其含义</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val="clear" w:color="auto" w:fill="2C3E50"/>
          </w:tcPr>
          <w:p>
            <w:r/>
            <w:r>
              <w:rPr>
                <w:rFonts w:ascii="微软雅黑" w:hAnsi="微软雅黑" w:eastAsia="微软雅黑"/>
                <w:b/>
                <w:color w:val="FFFFFF"/>
                <w:sz w:val="20"/>
              </w:rPr>
              <w:t>均线周期</w:t>
            </w:r>
          </w:p>
        </w:tc>
        <w:tc>
          <w:tcPr>
            <w:tcW w:type="dxa" w:w="2268"/>
            <w:shd w:val="clear" w:color="auto" w:fill="2C3E50"/>
          </w:tcPr>
          <w:p>
            <w:r/>
            <w:r>
              <w:rPr>
                <w:rFonts w:ascii="微软雅黑" w:hAnsi="微软雅黑" w:eastAsia="微软雅黑"/>
                <w:b/>
                <w:color w:val="FFFFFF"/>
                <w:sz w:val="20"/>
              </w:rPr>
              <w:t>名称</w:t>
            </w:r>
          </w:p>
        </w:tc>
        <w:tc>
          <w:tcPr>
            <w:tcW w:type="dxa" w:w="2835"/>
            <w:shd w:val="clear" w:color="auto" w:fill="2C3E50"/>
          </w:tcPr>
          <w:p>
            <w:r/>
            <w:r>
              <w:rPr>
                <w:rFonts w:ascii="微软雅黑" w:hAnsi="微软雅黑" w:eastAsia="微软雅黑"/>
                <w:b/>
                <w:color w:val="FFFFFF"/>
                <w:sz w:val="20"/>
              </w:rPr>
              <w:t>含义</w:t>
            </w:r>
          </w:p>
        </w:tc>
        <w:tc>
          <w:tcPr>
            <w:tcW w:type="dxa" w:w="1984"/>
            <w:shd w:val="clear" w:color="auto" w:fill="2C3E50"/>
          </w:tcPr>
          <w:p>
            <w:r/>
            <w:r>
              <w:rPr>
                <w:rFonts w:ascii="微软雅黑" w:hAnsi="微软雅黑" w:eastAsia="微软雅黑"/>
                <w:b/>
                <w:color w:val="FFFFFF"/>
                <w:sz w:val="20"/>
              </w:rPr>
              <w:t>适用场景</w:t>
            </w:r>
          </w:p>
        </w:tc>
      </w:tr>
      <w:tr>
        <w:tc>
          <w:tcPr>
            <w:tcW w:type="dxa" w:w="1417"/>
            <w:shd w:val="clear" w:color="auto" w:fill="F0F4F8"/>
          </w:tcPr>
          <w:p>
            <w:r/>
            <w:r>
              <w:rPr>
                <w:rFonts w:ascii="微软雅黑" w:hAnsi="微软雅黑" w:eastAsia="微软雅黑"/>
                <w:sz w:val="20"/>
              </w:rPr>
              <w:t>MA5</w:t>
            </w:r>
          </w:p>
        </w:tc>
        <w:tc>
          <w:tcPr>
            <w:tcW w:type="dxa" w:w="2268"/>
            <w:shd w:val="clear" w:color="auto" w:fill="F0F4F8"/>
          </w:tcPr>
          <w:p>
            <w:r/>
            <w:r>
              <w:rPr>
                <w:rFonts w:ascii="微软雅黑" w:hAnsi="微软雅黑" w:eastAsia="微软雅黑"/>
                <w:sz w:val="20"/>
              </w:rPr>
              <w:t>5日均线（周线）</w:t>
            </w:r>
          </w:p>
        </w:tc>
        <w:tc>
          <w:tcPr>
            <w:tcW w:type="dxa" w:w="2835"/>
            <w:shd w:val="clear" w:color="auto" w:fill="F0F4F8"/>
          </w:tcPr>
          <w:p>
            <w:r/>
            <w:r>
              <w:rPr>
                <w:rFonts w:ascii="微软雅黑" w:hAnsi="微软雅黑" w:eastAsia="微软雅黑"/>
                <w:sz w:val="20"/>
              </w:rPr>
              <w:t>反映一周内的平均成本，灵敏度最高</w:t>
            </w:r>
          </w:p>
        </w:tc>
        <w:tc>
          <w:tcPr>
            <w:tcW w:type="dxa" w:w="1984"/>
            <w:shd w:val="clear" w:color="auto" w:fill="F0F4F8"/>
          </w:tcPr>
          <w:p>
            <w:r/>
            <w:r>
              <w:rPr>
                <w:rFonts w:ascii="微软雅黑" w:hAnsi="微软雅黑" w:eastAsia="微软雅黑"/>
                <w:sz w:val="20"/>
              </w:rPr>
              <w:t>超短线交易</w:t>
            </w:r>
          </w:p>
        </w:tc>
      </w:tr>
      <w:tr>
        <w:tc>
          <w:tcPr>
            <w:tcW w:type="dxa" w:w="1417"/>
          </w:tcPr>
          <w:p>
            <w:r/>
            <w:r>
              <w:rPr>
                <w:rFonts w:ascii="微软雅黑" w:hAnsi="微软雅黑" w:eastAsia="微软雅黑"/>
                <w:sz w:val="20"/>
              </w:rPr>
              <w:t>MA10</w:t>
            </w:r>
          </w:p>
        </w:tc>
        <w:tc>
          <w:tcPr>
            <w:tcW w:type="dxa" w:w="2268"/>
          </w:tcPr>
          <w:p>
            <w:r/>
            <w:r>
              <w:rPr>
                <w:rFonts w:ascii="微软雅黑" w:hAnsi="微软雅黑" w:eastAsia="微软雅黑"/>
                <w:sz w:val="20"/>
              </w:rPr>
              <w:t>10日均线（半月线）</w:t>
            </w:r>
          </w:p>
        </w:tc>
        <w:tc>
          <w:tcPr>
            <w:tcW w:type="dxa" w:w="2835"/>
          </w:tcPr>
          <w:p>
            <w:r/>
            <w:r>
              <w:rPr>
                <w:rFonts w:ascii="微软雅黑" w:hAnsi="微软雅黑" w:eastAsia="微软雅黑"/>
                <w:sz w:val="20"/>
              </w:rPr>
              <w:t>反映两周内的平均成本</w:t>
            </w:r>
          </w:p>
        </w:tc>
        <w:tc>
          <w:tcPr>
            <w:tcW w:type="dxa" w:w="1984"/>
          </w:tcPr>
          <w:p>
            <w:r/>
            <w:r>
              <w:rPr>
                <w:rFonts w:ascii="微软雅黑" w:hAnsi="微软雅黑" w:eastAsia="微软雅黑"/>
                <w:sz w:val="20"/>
              </w:rPr>
              <w:t>短线交易</w:t>
            </w:r>
          </w:p>
        </w:tc>
      </w:tr>
      <w:tr>
        <w:tc>
          <w:tcPr>
            <w:tcW w:type="dxa" w:w="1417"/>
            <w:shd w:val="clear" w:color="auto" w:fill="F0F4F8"/>
          </w:tcPr>
          <w:p>
            <w:r/>
            <w:r>
              <w:rPr>
                <w:rFonts w:ascii="微软雅黑" w:hAnsi="微软雅黑" w:eastAsia="微软雅黑"/>
                <w:sz w:val="20"/>
              </w:rPr>
              <w:t>MA20</w:t>
            </w:r>
          </w:p>
        </w:tc>
        <w:tc>
          <w:tcPr>
            <w:tcW w:type="dxa" w:w="2268"/>
            <w:shd w:val="clear" w:color="auto" w:fill="F0F4F8"/>
          </w:tcPr>
          <w:p>
            <w:r/>
            <w:r>
              <w:rPr>
                <w:rFonts w:ascii="微软雅黑" w:hAnsi="微软雅黑" w:eastAsia="微软雅黑"/>
                <w:sz w:val="20"/>
              </w:rPr>
              <w:t>20日均线（月线）</w:t>
            </w:r>
          </w:p>
        </w:tc>
        <w:tc>
          <w:tcPr>
            <w:tcW w:type="dxa" w:w="2835"/>
            <w:shd w:val="clear" w:color="auto" w:fill="F0F4F8"/>
          </w:tcPr>
          <w:p>
            <w:r/>
            <w:r>
              <w:rPr>
                <w:rFonts w:ascii="微软雅黑" w:hAnsi="微软雅黑" w:eastAsia="微软雅黑"/>
                <w:sz w:val="20"/>
              </w:rPr>
              <w:t>反映一个月的平均成本，重要分水岭</w:t>
            </w:r>
          </w:p>
        </w:tc>
        <w:tc>
          <w:tcPr>
            <w:tcW w:type="dxa" w:w="1984"/>
            <w:shd w:val="clear" w:color="auto" w:fill="F0F4F8"/>
          </w:tcPr>
          <w:p>
            <w:r/>
            <w:r>
              <w:rPr>
                <w:rFonts w:ascii="微软雅黑" w:hAnsi="微软雅黑" w:eastAsia="微软雅黑"/>
                <w:sz w:val="20"/>
              </w:rPr>
              <w:t>短中线交易</w:t>
            </w:r>
          </w:p>
        </w:tc>
      </w:tr>
      <w:tr>
        <w:tc>
          <w:tcPr>
            <w:tcW w:type="dxa" w:w="1417"/>
          </w:tcPr>
          <w:p>
            <w:r/>
            <w:r>
              <w:rPr>
                <w:rFonts w:ascii="微软雅黑" w:hAnsi="微软雅黑" w:eastAsia="微软雅黑"/>
                <w:sz w:val="20"/>
              </w:rPr>
              <w:t>MA30</w:t>
            </w:r>
          </w:p>
        </w:tc>
        <w:tc>
          <w:tcPr>
            <w:tcW w:type="dxa" w:w="2268"/>
          </w:tcPr>
          <w:p>
            <w:r/>
            <w:r>
              <w:rPr>
                <w:rFonts w:ascii="微软雅黑" w:hAnsi="微软雅黑" w:eastAsia="微软雅黑"/>
                <w:sz w:val="20"/>
              </w:rPr>
              <w:t>30日均线</w:t>
            </w:r>
          </w:p>
        </w:tc>
        <w:tc>
          <w:tcPr>
            <w:tcW w:type="dxa" w:w="2835"/>
          </w:tcPr>
          <w:p>
            <w:r/>
            <w:r>
              <w:rPr>
                <w:rFonts w:ascii="微软雅黑" w:hAnsi="微软雅黑" w:eastAsia="微软雅黑"/>
                <w:sz w:val="20"/>
              </w:rPr>
              <w:t>反映一个半月的平均成本</w:t>
            </w:r>
          </w:p>
        </w:tc>
        <w:tc>
          <w:tcPr>
            <w:tcW w:type="dxa" w:w="1984"/>
          </w:tcPr>
          <w:p>
            <w:r/>
            <w:r>
              <w:rPr>
                <w:rFonts w:ascii="微软雅黑" w:hAnsi="微软雅黑" w:eastAsia="微软雅黑"/>
                <w:sz w:val="20"/>
              </w:rPr>
              <w:t>中线交易</w:t>
            </w:r>
          </w:p>
        </w:tc>
      </w:tr>
      <w:tr>
        <w:tc>
          <w:tcPr>
            <w:tcW w:type="dxa" w:w="1417"/>
            <w:shd w:val="clear" w:color="auto" w:fill="F0F4F8"/>
          </w:tcPr>
          <w:p>
            <w:r/>
            <w:r>
              <w:rPr>
                <w:rFonts w:ascii="微软雅黑" w:hAnsi="微软雅黑" w:eastAsia="微软雅黑"/>
                <w:sz w:val="20"/>
              </w:rPr>
              <w:t>MA60</w:t>
            </w:r>
          </w:p>
        </w:tc>
        <w:tc>
          <w:tcPr>
            <w:tcW w:type="dxa" w:w="2268"/>
            <w:shd w:val="clear" w:color="auto" w:fill="F0F4F8"/>
          </w:tcPr>
          <w:p>
            <w:r/>
            <w:r>
              <w:rPr>
                <w:rFonts w:ascii="微软雅黑" w:hAnsi="微软雅黑" w:eastAsia="微软雅黑"/>
                <w:sz w:val="20"/>
              </w:rPr>
              <w:t>60日均线（季线）</w:t>
            </w:r>
          </w:p>
        </w:tc>
        <w:tc>
          <w:tcPr>
            <w:tcW w:type="dxa" w:w="2835"/>
            <w:shd w:val="clear" w:color="auto" w:fill="F0F4F8"/>
          </w:tcPr>
          <w:p>
            <w:r/>
            <w:r>
              <w:rPr>
                <w:rFonts w:ascii="微软雅黑" w:hAnsi="微软雅黑" w:eastAsia="微软雅黑"/>
                <w:sz w:val="20"/>
              </w:rPr>
              <w:t>反映一个季度的平均成本</w:t>
            </w:r>
          </w:p>
        </w:tc>
        <w:tc>
          <w:tcPr>
            <w:tcW w:type="dxa" w:w="1984"/>
            <w:shd w:val="clear" w:color="auto" w:fill="F0F4F8"/>
          </w:tcPr>
          <w:p>
            <w:r/>
            <w:r>
              <w:rPr>
                <w:rFonts w:ascii="微软雅黑" w:hAnsi="微软雅黑" w:eastAsia="微软雅黑"/>
                <w:sz w:val="20"/>
              </w:rPr>
              <w:t>中线趋势判断</w:t>
            </w:r>
          </w:p>
        </w:tc>
      </w:tr>
      <w:tr>
        <w:tc>
          <w:tcPr>
            <w:tcW w:type="dxa" w:w="1417"/>
          </w:tcPr>
          <w:p>
            <w:r/>
            <w:r>
              <w:rPr>
                <w:rFonts w:ascii="微软雅黑" w:hAnsi="微软雅黑" w:eastAsia="微软雅黑"/>
                <w:sz w:val="20"/>
              </w:rPr>
              <w:t>MA120</w:t>
            </w:r>
          </w:p>
        </w:tc>
        <w:tc>
          <w:tcPr>
            <w:tcW w:type="dxa" w:w="2268"/>
          </w:tcPr>
          <w:p>
            <w:r/>
            <w:r>
              <w:rPr>
                <w:rFonts w:ascii="微软雅黑" w:hAnsi="微软雅黑" w:eastAsia="微软雅黑"/>
                <w:sz w:val="20"/>
              </w:rPr>
              <w:t>120日均线（半年线）</w:t>
            </w:r>
          </w:p>
        </w:tc>
        <w:tc>
          <w:tcPr>
            <w:tcW w:type="dxa" w:w="2835"/>
          </w:tcPr>
          <w:p>
            <w:r/>
            <w:r>
              <w:rPr>
                <w:rFonts w:ascii="微软雅黑" w:hAnsi="微软雅黑" w:eastAsia="微软雅黑"/>
                <w:sz w:val="20"/>
              </w:rPr>
              <w:t>反映半年的平均成本</w:t>
            </w:r>
          </w:p>
        </w:tc>
        <w:tc>
          <w:tcPr>
            <w:tcW w:type="dxa" w:w="1984"/>
          </w:tcPr>
          <w:p>
            <w:r/>
            <w:r>
              <w:rPr>
                <w:rFonts w:ascii="微软雅黑" w:hAnsi="微软雅黑" w:eastAsia="微软雅黑"/>
                <w:sz w:val="20"/>
              </w:rPr>
              <w:t>中长线趋势判断</w:t>
            </w:r>
          </w:p>
        </w:tc>
      </w:tr>
      <w:tr>
        <w:tc>
          <w:tcPr>
            <w:tcW w:type="dxa" w:w="1417"/>
            <w:shd w:val="clear" w:color="auto" w:fill="F0F4F8"/>
          </w:tcPr>
          <w:p>
            <w:r/>
            <w:r>
              <w:rPr>
                <w:rFonts w:ascii="微软雅黑" w:hAnsi="微软雅黑" w:eastAsia="微软雅黑"/>
                <w:sz w:val="20"/>
              </w:rPr>
              <w:t>MA250</w:t>
            </w:r>
          </w:p>
        </w:tc>
        <w:tc>
          <w:tcPr>
            <w:tcW w:type="dxa" w:w="2268"/>
            <w:shd w:val="clear" w:color="auto" w:fill="F0F4F8"/>
          </w:tcPr>
          <w:p>
            <w:r/>
            <w:r>
              <w:rPr>
                <w:rFonts w:ascii="微软雅黑" w:hAnsi="微软雅黑" w:eastAsia="微软雅黑"/>
                <w:sz w:val="20"/>
              </w:rPr>
              <w:t>250日均线（年线）</w:t>
            </w:r>
          </w:p>
        </w:tc>
        <w:tc>
          <w:tcPr>
            <w:tcW w:type="dxa" w:w="2835"/>
            <w:shd w:val="clear" w:color="auto" w:fill="F0F4F8"/>
          </w:tcPr>
          <w:p>
            <w:r/>
            <w:r>
              <w:rPr>
                <w:rFonts w:ascii="微软雅黑" w:hAnsi="微软雅黑" w:eastAsia="微软雅黑"/>
                <w:sz w:val="20"/>
              </w:rPr>
              <w:t>反映一年的平均成本，牛熊分界线</w:t>
            </w:r>
          </w:p>
        </w:tc>
        <w:tc>
          <w:tcPr>
            <w:tcW w:type="dxa" w:w="1984"/>
            <w:shd w:val="clear" w:color="auto" w:fill="F0F4F8"/>
          </w:tcPr>
          <w:p>
            <w:r/>
            <w:r>
              <w:rPr>
                <w:rFonts w:ascii="微软雅黑" w:hAnsi="微软雅黑" w:eastAsia="微软雅黑"/>
                <w:sz w:val="20"/>
              </w:rPr>
              <w:t>长线趋势判断</w:t>
            </w:r>
          </w:p>
        </w:tc>
      </w:tr>
      <w:tr>
        <w:tc>
          <w:tcPr>
            <w:tcW w:type="dxa" w:w="1417"/>
          </w:tcPr>
          <w:p>
            <w:r/>
            <w:r>
              <w:rPr>
                <w:rFonts w:ascii="微软雅黑" w:hAnsi="微软雅黑" w:eastAsia="微软雅黑"/>
                <w:sz w:val="20"/>
              </w:rPr>
              <w:t>MA850</w:t>
            </w:r>
          </w:p>
        </w:tc>
        <w:tc>
          <w:tcPr>
            <w:tcW w:type="dxa" w:w="2268"/>
          </w:tcPr>
          <w:p>
            <w:r/>
            <w:r>
              <w:rPr>
                <w:rFonts w:ascii="微软雅黑" w:hAnsi="微软雅黑" w:eastAsia="微软雅黑"/>
                <w:sz w:val="20"/>
              </w:rPr>
              <w:t>850日均线</w:t>
            </w:r>
          </w:p>
        </w:tc>
        <w:tc>
          <w:tcPr>
            <w:tcW w:type="dxa" w:w="2835"/>
          </w:tcPr>
          <w:p>
            <w:r/>
            <w:r>
              <w:rPr>
                <w:rFonts w:ascii="微软雅黑" w:hAnsi="微软雅黑" w:eastAsia="微软雅黑"/>
                <w:sz w:val="20"/>
              </w:rPr>
              <w:t>反映约3.4年的平均成本</w:t>
            </w:r>
          </w:p>
        </w:tc>
        <w:tc>
          <w:tcPr>
            <w:tcW w:type="dxa" w:w="1984"/>
          </w:tcPr>
          <w:p>
            <w:r/>
            <w:r>
              <w:rPr>
                <w:rFonts w:ascii="微软雅黑" w:hAnsi="微软雅黑" w:eastAsia="微软雅黑"/>
                <w:sz w:val="20"/>
              </w:rPr>
              <w:t>超长期趋势预测</w:t>
            </w:r>
          </w:p>
        </w:tc>
      </w:tr>
    </w:tbl>
    <w:p>
      <w:pPr>
        <w:pStyle w:val="Heading2"/>
      </w:pPr>
      <w:r>
        <w:t>1.3 均线的三大基本特性</w:t>
      </w:r>
    </w:p>
    <w:p>
      <w:r>
        <w:rPr>
          <w:rFonts w:ascii="微软雅黑" w:hAnsi="微软雅黑" w:eastAsia="微软雅黑"/>
        </w:rPr>
        <w:t>趋势性：移动平均线最重要的功能是显示股价运行的趋势方向。当均线向上运行时，表明市场处于上升趋势；当均线向下运行时，表明市场处于下降趋势；当均线走平时，表明市场处于横盘整理阶段。</w:t>
      </w:r>
    </w:p>
    <w:p>
      <w:r>
        <w:rPr>
          <w:rFonts w:ascii="微软雅黑" w:hAnsi="微软雅黑" w:eastAsia="微软雅黑"/>
        </w:rPr>
        <w:t>滞后性：由于均线是对历史价格的平均计算，它对价格变化的反应必然存在滞后。周期越长的均线，滞后性越大，但其反映的趋势越稳定可靠。</w:t>
      </w:r>
    </w:p>
    <w:p>
      <w:r>
        <w:rPr>
          <w:rFonts w:ascii="微软雅黑" w:hAnsi="微软雅黑" w:eastAsia="微软雅黑"/>
        </w:rPr>
        <w:t>支撑与压力性：在上升趋势中，均线对股价具有支撑作用；在下降趋势中，均线对股价具有压力作用。均线周期越长，其支撑或压力作用越强。</w:t>
      </w:r>
    </w:p>
    <w:p>
      <w:pPr>
        <w:pStyle w:val="Heading2"/>
      </w:pPr>
      <w:r>
        <w:t>1.4 均线系统的周期选择方案</w:t>
      </w:r>
    </w:p>
    <w:p>
      <w:r>
        <w:rPr>
          <w:rFonts w:ascii="微软雅黑" w:hAnsi="微软雅黑" w:eastAsia="微软雅黑"/>
        </w:rPr>
        <w:t>实战中常用的均线组合方案主要有以下几种：</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val="clear" w:color="auto" w:fill="2C3E50"/>
          </w:tcPr>
          <w:p>
            <w:r/>
            <w:r>
              <w:rPr>
                <w:rFonts w:ascii="微软雅黑" w:hAnsi="微软雅黑" w:eastAsia="微软雅黑"/>
                <w:b/>
                <w:color w:val="FFFFFF"/>
                <w:sz w:val="20"/>
              </w:rPr>
              <w:t>方案名称</w:t>
            </w:r>
          </w:p>
        </w:tc>
        <w:tc>
          <w:tcPr>
            <w:tcW w:type="dxa" w:w="2835"/>
            <w:shd w:val="clear" w:color="auto" w:fill="2C3E50"/>
          </w:tcPr>
          <w:p>
            <w:r/>
            <w:r>
              <w:rPr>
                <w:rFonts w:ascii="微软雅黑" w:hAnsi="微软雅黑" w:eastAsia="微软雅黑"/>
                <w:b/>
                <w:color w:val="FFFFFF"/>
                <w:sz w:val="20"/>
              </w:rPr>
              <w:t>均线组合</w:t>
            </w:r>
          </w:p>
        </w:tc>
        <w:tc>
          <w:tcPr>
            <w:tcW w:type="dxa" w:w="3685"/>
            <w:shd w:val="clear" w:color="auto" w:fill="2C3E50"/>
          </w:tcPr>
          <w:p>
            <w:r/>
            <w:r>
              <w:rPr>
                <w:rFonts w:ascii="微软雅黑" w:hAnsi="微软雅黑" w:eastAsia="微软雅黑"/>
                <w:b/>
                <w:color w:val="FFFFFF"/>
                <w:sz w:val="20"/>
              </w:rPr>
              <w:t>特点</w:t>
            </w:r>
          </w:p>
        </w:tc>
      </w:tr>
      <w:tr>
        <w:tc>
          <w:tcPr>
            <w:tcW w:type="dxa" w:w="1984"/>
            <w:shd w:val="clear" w:color="auto" w:fill="F0F4F8"/>
          </w:tcPr>
          <w:p>
            <w:r/>
            <w:r>
              <w:rPr>
                <w:rFonts w:ascii="微软雅黑" w:hAnsi="微软雅黑" w:eastAsia="微软雅黑"/>
                <w:sz w:val="20"/>
              </w:rPr>
              <w:t>等距周期方案</w:t>
            </w:r>
          </w:p>
        </w:tc>
        <w:tc>
          <w:tcPr>
            <w:tcW w:type="dxa" w:w="2835"/>
            <w:shd w:val="clear" w:color="auto" w:fill="F0F4F8"/>
          </w:tcPr>
          <w:p>
            <w:r/>
            <w:r>
              <w:rPr>
                <w:rFonts w:ascii="微软雅黑" w:hAnsi="微软雅黑" w:eastAsia="微软雅黑"/>
                <w:sz w:val="20"/>
              </w:rPr>
              <w:t>5、10、20、30、40、50</w:t>
            </w:r>
          </w:p>
        </w:tc>
        <w:tc>
          <w:tcPr>
            <w:tcW w:type="dxa" w:w="3685"/>
            <w:shd w:val="clear" w:color="auto" w:fill="F0F4F8"/>
          </w:tcPr>
          <w:p>
            <w:r/>
            <w:r>
              <w:rPr>
                <w:rFonts w:ascii="微软雅黑" w:hAnsi="微软雅黑" w:eastAsia="微软雅黑"/>
                <w:sz w:val="20"/>
              </w:rPr>
              <w:t>周期间距均匀，适合常规分析</w:t>
            </w:r>
          </w:p>
        </w:tc>
      </w:tr>
      <w:tr>
        <w:tc>
          <w:tcPr>
            <w:tcW w:type="dxa" w:w="1984"/>
          </w:tcPr>
          <w:p>
            <w:r/>
            <w:r>
              <w:rPr>
                <w:rFonts w:ascii="微软雅黑" w:hAnsi="微软雅黑" w:eastAsia="微软雅黑"/>
                <w:sz w:val="20"/>
              </w:rPr>
              <w:t>斐波那契方案</w:t>
            </w:r>
          </w:p>
        </w:tc>
        <w:tc>
          <w:tcPr>
            <w:tcW w:type="dxa" w:w="2835"/>
          </w:tcPr>
          <w:p>
            <w:r/>
            <w:r>
              <w:rPr>
                <w:rFonts w:ascii="微软雅黑" w:hAnsi="微软雅黑" w:eastAsia="微软雅黑"/>
                <w:sz w:val="20"/>
              </w:rPr>
              <w:t>5、8、13、21、34、55</w:t>
            </w:r>
          </w:p>
        </w:tc>
        <w:tc>
          <w:tcPr>
            <w:tcW w:type="dxa" w:w="3685"/>
          </w:tcPr>
          <w:p>
            <w:r/>
            <w:r>
              <w:rPr>
                <w:rFonts w:ascii="微软雅黑" w:hAnsi="微软雅黑" w:eastAsia="微软雅黑"/>
                <w:sz w:val="20"/>
              </w:rPr>
              <w:t>基于斐波那契数列，符合自然规律</w:t>
            </w:r>
          </w:p>
        </w:tc>
      </w:tr>
      <w:tr>
        <w:tc>
          <w:tcPr>
            <w:tcW w:type="dxa" w:w="1984"/>
            <w:shd w:val="clear" w:color="auto" w:fill="F0F4F8"/>
          </w:tcPr>
          <w:p>
            <w:r/>
            <w:r>
              <w:rPr>
                <w:rFonts w:ascii="微软雅黑" w:hAnsi="微软雅黑" w:eastAsia="微软雅黑"/>
                <w:sz w:val="20"/>
              </w:rPr>
              <w:t>1250系统方案</w:t>
            </w:r>
          </w:p>
        </w:tc>
        <w:tc>
          <w:tcPr>
            <w:tcW w:type="dxa" w:w="2835"/>
            <w:shd w:val="clear" w:color="auto" w:fill="F0F4F8"/>
          </w:tcPr>
          <w:p>
            <w:r/>
            <w:r>
              <w:rPr>
                <w:rFonts w:ascii="微软雅黑" w:hAnsi="微软雅黑" w:eastAsia="微软雅黑"/>
                <w:sz w:val="20"/>
              </w:rPr>
              <w:t>20、50、120、250</w:t>
            </w:r>
          </w:p>
        </w:tc>
        <w:tc>
          <w:tcPr>
            <w:tcW w:type="dxa" w:w="3685"/>
            <w:shd w:val="clear" w:color="auto" w:fill="F0F4F8"/>
          </w:tcPr>
          <w:p>
            <w:r/>
            <w:r>
              <w:rPr>
                <w:rFonts w:ascii="微软雅黑" w:hAnsi="微软雅黑" w:eastAsia="微软雅黑"/>
                <w:sz w:val="20"/>
              </w:rPr>
              <w:t>兼顾中短期与长期，系统性强</w:t>
            </w:r>
          </w:p>
        </w:tc>
      </w:tr>
      <w:tr>
        <w:tc>
          <w:tcPr>
            <w:tcW w:type="dxa" w:w="1984"/>
          </w:tcPr>
          <w:p>
            <w:r/>
            <w:r>
              <w:rPr>
                <w:rFonts w:ascii="微软雅黑" w:hAnsi="微软雅黑" w:eastAsia="微软雅黑"/>
                <w:sz w:val="20"/>
              </w:rPr>
              <w:t>短线方案</w:t>
            </w:r>
          </w:p>
        </w:tc>
        <w:tc>
          <w:tcPr>
            <w:tcW w:type="dxa" w:w="2835"/>
          </w:tcPr>
          <w:p>
            <w:r/>
            <w:r>
              <w:rPr>
                <w:rFonts w:ascii="微软雅黑" w:hAnsi="微软雅黑" w:eastAsia="微软雅黑"/>
                <w:sz w:val="20"/>
              </w:rPr>
              <w:t>5、10、20</w:t>
            </w:r>
          </w:p>
        </w:tc>
        <w:tc>
          <w:tcPr>
            <w:tcW w:type="dxa" w:w="3685"/>
          </w:tcPr>
          <w:p>
            <w:r/>
            <w:r>
              <w:rPr>
                <w:rFonts w:ascii="微软雅黑" w:hAnsi="微软雅黑" w:eastAsia="微软雅黑"/>
                <w:sz w:val="20"/>
              </w:rPr>
              <w:t>反应灵敏，适合短线操作</w:t>
            </w:r>
          </w:p>
        </w:tc>
      </w:tr>
      <w:tr>
        <w:tc>
          <w:tcPr>
            <w:tcW w:type="dxa" w:w="1984"/>
            <w:shd w:val="clear" w:color="auto" w:fill="F0F4F8"/>
          </w:tcPr>
          <w:p>
            <w:r/>
            <w:r>
              <w:rPr>
                <w:rFonts w:ascii="微软雅黑" w:hAnsi="微软雅黑" w:eastAsia="微软雅黑"/>
                <w:sz w:val="20"/>
              </w:rPr>
              <w:t>中线方案</w:t>
            </w:r>
          </w:p>
        </w:tc>
        <w:tc>
          <w:tcPr>
            <w:tcW w:type="dxa" w:w="2835"/>
            <w:shd w:val="clear" w:color="auto" w:fill="F0F4F8"/>
          </w:tcPr>
          <w:p>
            <w:r/>
            <w:r>
              <w:rPr>
                <w:rFonts w:ascii="微软雅黑" w:hAnsi="微软雅黑" w:eastAsia="微软雅黑"/>
                <w:sz w:val="20"/>
              </w:rPr>
              <w:t>20、60、120</w:t>
            </w:r>
          </w:p>
        </w:tc>
        <w:tc>
          <w:tcPr>
            <w:tcW w:type="dxa" w:w="3685"/>
            <w:shd w:val="clear" w:color="auto" w:fill="F0F4F8"/>
          </w:tcPr>
          <w:p>
            <w:r/>
            <w:r>
              <w:rPr>
                <w:rFonts w:ascii="微软雅黑" w:hAnsi="微软雅黑" w:eastAsia="微软雅黑"/>
                <w:sz w:val="20"/>
              </w:rPr>
              <w:t>稳健可靠，适合波段操作</w:t>
            </w:r>
          </w:p>
        </w:tc>
      </w:tr>
      <w:tr>
        <w:tc>
          <w:tcPr>
            <w:tcW w:type="dxa" w:w="1984"/>
          </w:tcPr>
          <w:p>
            <w:r/>
            <w:r>
              <w:rPr>
                <w:rFonts w:ascii="微软雅黑" w:hAnsi="微软雅黑" w:eastAsia="微软雅黑"/>
                <w:sz w:val="20"/>
              </w:rPr>
              <w:t>长线方案</w:t>
            </w:r>
          </w:p>
        </w:tc>
        <w:tc>
          <w:tcPr>
            <w:tcW w:type="dxa" w:w="2835"/>
          </w:tcPr>
          <w:p>
            <w:r/>
            <w:r>
              <w:rPr>
                <w:rFonts w:ascii="微软雅黑" w:hAnsi="微软雅黑" w:eastAsia="微软雅黑"/>
                <w:sz w:val="20"/>
              </w:rPr>
              <w:t>120、250、850</w:t>
            </w:r>
          </w:p>
        </w:tc>
        <w:tc>
          <w:tcPr>
            <w:tcW w:type="dxa" w:w="3685"/>
          </w:tcPr>
          <w:p>
            <w:r/>
            <w:r>
              <w:rPr>
                <w:rFonts w:ascii="微软雅黑" w:hAnsi="微软雅黑" w:eastAsia="微软雅黑"/>
                <w:sz w:val="20"/>
              </w:rPr>
              <w:t>视野宏观，适合趋势投资</w:t>
            </w:r>
          </w:p>
        </w:tc>
      </w:tr>
    </w:tbl>
    <w:p>
      <w:r>
        <w:br w:type="page"/>
      </w:r>
    </w:p>
    <w:p>
      <w:pPr>
        <w:pStyle w:val="Heading1"/>
      </w:pPr>
      <w:r>
        <w:t>第二章  单根均线多空判断规则</w:t>
      </w:r>
    </w:p>
    <w:p>
      <w:pPr>
        <w:pStyle w:val="Heading2"/>
      </w:pPr>
      <w:r>
        <w:t>2.1 葛兰碧八大法则</w:t>
      </w:r>
    </w:p>
    <w:p>
      <w:r>
        <w:rPr>
          <w:rFonts w:ascii="微软雅黑" w:hAnsi="微软雅黑" w:eastAsia="微软雅黑"/>
        </w:rPr>
        <w:t>葛兰碧（Granville）移动平均线八大法则是均线理论的基石，分为四个买入信号和四个卖出信号，是所有均线多空判断的理论源头。</w:t>
      </w:r>
    </w:p>
    <w:p>
      <w:pPr>
        <w:pStyle w:val="Heading3"/>
      </w:pPr>
      <w:r>
        <w:t>2.1.1 四大买入法则（多头信号）</w:t>
      </w:r>
    </w:p>
    <w:p>
      <w:r>
        <w:rPr>
          <w:rFonts w:ascii="微软雅黑" w:hAnsi="微软雅黑" w:eastAsia="微软雅黑"/>
        </w:rPr>
        <w:t>买入法则一（突破买入）：均线从下降逐渐走平或开始上升，股价从均线下方向上突破均线时，为买入信号。这是最经典的多头信号，表明下跌趋势结束，新的上升趋势可能开始。</w:t>
      </w:r>
    </w:p>
    <w:p>
      <w:r>
        <w:rPr>
          <w:rFonts w:ascii="微软雅黑" w:hAnsi="微软雅黑" w:eastAsia="微软雅黑"/>
        </w:rPr>
        <w:t>买入法则二（回踩买入）：股价运行在均线上方，虽然出现回落但未跌破均线即再度上升，为买入信号。这表明均线的支撑作用有效，多头力量依然强势。</w:t>
      </w:r>
    </w:p>
    <w:p>
      <w:r>
        <w:rPr>
          <w:rFonts w:ascii="微软雅黑" w:hAnsi="微软雅黑" w:eastAsia="微软雅黑"/>
        </w:rPr>
        <w:t>买入法则三（假跌破买入）：股价跌破均线后迅速回升至均线上方，为买入信号。这种"假跌破"往往是主力洗盘所致，后续上涨概率较高。</w:t>
      </w:r>
    </w:p>
    <w:p>
      <w:r>
        <w:rPr>
          <w:rFonts w:ascii="微软雅黑" w:hAnsi="微软雅黑" w:eastAsia="微软雅黑"/>
        </w:rPr>
        <w:t>买入法则四（乖离率买入）：股价在均线下方急剧下跌，距离均线过远（负乖离率过大），为买入信号。这种超跌状态下，股价有向均线回归的内在需求。</w:t>
      </w:r>
    </w:p>
    <w:p>
      <w:pPr>
        <w:pStyle w:val="Heading3"/>
      </w:pPr>
      <w:r>
        <w:t>2.1.2 四大卖出法则（空头信号）</w:t>
      </w:r>
    </w:p>
    <w:p>
      <w:r>
        <w:rPr>
          <w:rFonts w:ascii="微软雅黑" w:hAnsi="微软雅黑" w:eastAsia="微软雅黑"/>
        </w:rPr>
        <w:t>卖出法则一（破位卖出）：均线从上升逐渐走平或开始下降，股价从均线上方向下跌破均线时，为卖出信号。这是最经典的空头信号，表明上升趋势结束。</w:t>
      </w:r>
    </w:p>
    <w:p>
      <w:r>
        <w:rPr>
          <w:rFonts w:ascii="微软雅黑" w:hAnsi="微软雅黑" w:eastAsia="微软雅黑"/>
        </w:rPr>
        <w:t>卖出法则二（反弹卖出）：股价运行在均线下方，虽然出现反弹但未突破均线即再度下跌，为卖出信号。这表明均线的压力作用有效，空头力量依然强势。</w:t>
      </w:r>
    </w:p>
    <w:p>
      <w:r>
        <w:rPr>
          <w:rFonts w:ascii="微软雅黑" w:hAnsi="微软雅黑" w:eastAsia="微软雅黑"/>
        </w:rPr>
        <w:t>卖出法则三（假突破卖出）：股价突破均线后迅速回落至均线下方，为卖出信号。这种"假突破"是多头力量不足的表现，后续下跌概率较高。</w:t>
      </w:r>
    </w:p>
    <w:p>
      <w:r>
        <w:rPr>
          <w:rFonts w:ascii="微软雅黑" w:hAnsi="微软雅黑" w:eastAsia="微软雅黑"/>
        </w:rPr>
        <w:t>卖出法则四（乖离率卖出）：股价在均线上方急剧上涨，距离均线过远（正乖离率过大），为卖出信号。这种超涨状态下，股价有向均线回归的内在需求。</w:t>
      </w:r>
    </w:p>
    <w:p>
      <w:pPr>
        <w:pStyle w:val="Heading2"/>
      </w:pPr>
      <w:r>
        <w:t>2.2 单根均线的方向判断</w:t>
      </w:r>
    </w:p>
    <w:p>
      <w:r>
        <w:rPr>
          <w:rFonts w:ascii="微软雅黑" w:hAnsi="微软雅黑" w:eastAsia="微软雅黑"/>
        </w:rPr>
        <w:t>均线的方向（斜率）是判断趋势强弱的重要依据：</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val="clear" w:color="auto" w:fill="2C3E50"/>
          </w:tcPr>
          <w:p>
            <w:r/>
            <w:r>
              <w:rPr>
                <w:rFonts w:ascii="微软雅黑" w:hAnsi="微软雅黑" w:eastAsia="微软雅黑"/>
                <w:b/>
                <w:color w:val="FFFFFF"/>
                <w:sz w:val="20"/>
              </w:rPr>
              <w:t>均线方向</w:t>
            </w:r>
          </w:p>
        </w:tc>
        <w:tc>
          <w:tcPr>
            <w:tcW w:type="dxa" w:w="1417"/>
            <w:shd w:val="clear" w:color="auto" w:fill="2C3E50"/>
          </w:tcPr>
          <w:p>
            <w:r/>
            <w:r>
              <w:rPr>
                <w:rFonts w:ascii="微软雅黑" w:hAnsi="微软雅黑" w:eastAsia="微软雅黑"/>
                <w:b/>
                <w:color w:val="FFFFFF"/>
                <w:sz w:val="20"/>
              </w:rPr>
              <w:t>角度参考</w:t>
            </w:r>
          </w:p>
        </w:tc>
        <w:tc>
          <w:tcPr>
            <w:tcW w:type="dxa" w:w="2551"/>
            <w:shd w:val="clear" w:color="auto" w:fill="2C3E50"/>
          </w:tcPr>
          <w:p>
            <w:r/>
            <w:r>
              <w:rPr>
                <w:rFonts w:ascii="微软雅黑" w:hAnsi="微软雅黑" w:eastAsia="微软雅黑"/>
                <w:b/>
                <w:color w:val="FFFFFF"/>
                <w:sz w:val="20"/>
              </w:rPr>
              <w:t>趋势判断</w:t>
            </w:r>
          </w:p>
        </w:tc>
        <w:tc>
          <w:tcPr>
            <w:tcW w:type="dxa" w:w="2835"/>
            <w:shd w:val="clear" w:color="auto" w:fill="2C3E50"/>
          </w:tcPr>
          <w:p>
            <w:r/>
            <w:r>
              <w:rPr>
                <w:rFonts w:ascii="微软雅黑" w:hAnsi="微软雅黑" w:eastAsia="微软雅黑"/>
                <w:b/>
                <w:color w:val="FFFFFF"/>
                <w:sz w:val="20"/>
              </w:rPr>
              <w:t>操作建议</w:t>
            </w:r>
          </w:p>
        </w:tc>
      </w:tr>
      <w:tr>
        <w:tc>
          <w:tcPr>
            <w:tcW w:type="dxa" w:w="1701"/>
            <w:shd w:val="clear" w:color="auto" w:fill="F0F4F8"/>
          </w:tcPr>
          <w:p>
            <w:r/>
            <w:r>
              <w:rPr>
                <w:rFonts w:ascii="微软雅黑" w:hAnsi="微软雅黑" w:eastAsia="微软雅黑"/>
                <w:sz w:val="20"/>
              </w:rPr>
              <w:t>陡峭上升</w:t>
            </w:r>
          </w:p>
        </w:tc>
        <w:tc>
          <w:tcPr>
            <w:tcW w:type="dxa" w:w="1417"/>
            <w:shd w:val="clear" w:color="auto" w:fill="F0F4F8"/>
          </w:tcPr>
          <w:p>
            <w:r/>
            <w:r>
              <w:rPr>
                <w:rFonts w:ascii="微软雅黑" w:hAnsi="微软雅黑" w:eastAsia="微软雅黑"/>
                <w:sz w:val="20"/>
              </w:rPr>
              <w:t>大于45°</w:t>
            </w:r>
          </w:p>
        </w:tc>
        <w:tc>
          <w:tcPr>
            <w:tcW w:type="dxa" w:w="2551"/>
            <w:shd w:val="clear" w:color="auto" w:fill="F0F4F8"/>
          </w:tcPr>
          <w:p>
            <w:r/>
            <w:r>
              <w:rPr>
                <w:rFonts w:ascii="微软雅黑" w:hAnsi="微软雅黑" w:eastAsia="微软雅黑"/>
                <w:sz w:val="20"/>
              </w:rPr>
              <w:t>强多头，上升趋势强劲</w:t>
            </w:r>
          </w:p>
        </w:tc>
        <w:tc>
          <w:tcPr>
            <w:tcW w:type="dxa" w:w="2835"/>
            <w:shd w:val="clear" w:color="auto" w:fill="F0F4F8"/>
          </w:tcPr>
          <w:p>
            <w:r/>
            <w:r>
              <w:rPr>
                <w:rFonts w:ascii="微软雅黑" w:hAnsi="微软雅黑" w:eastAsia="微软雅黑"/>
                <w:sz w:val="20"/>
              </w:rPr>
              <w:t>持股不动，不轻易卖出</w:t>
            </w:r>
          </w:p>
        </w:tc>
      </w:tr>
      <w:tr>
        <w:tc>
          <w:tcPr>
            <w:tcW w:type="dxa" w:w="1701"/>
          </w:tcPr>
          <w:p>
            <w:r/>
            <w:r>
              <w:rPr>
                <w:rFonts w:ascii="微软雅黑" w:hAnsi="微软雅黑" w:eastAsia="微软雅黑"/>
                <w:sz w:val="20"/>
              </w:rPr>
              <w:t>平缓上升</w:t>
            </w:r>
          </w:p>
        </w:tc>
        <w:tc>
          <w:tcPr>
            <w:tcW w:type="dxa" w:w="1417"/>
          </w:tcPr>
          <w:p>
            <w:r/>
            <w:r>
              <w:rPr>
                <w:rFonts w:ascii="微软雅黑" w:hAnsi="微软雅黑" w:eastAsia="微软雅黑"/>
                <w:sz w:val="20"/>
              </w:rPr>
              <w:t>小于45°</w:t>
            </w:r>
          </w:p>
        </w:tc>
        <w:tc>
          <w:tcPr>
            <w:tcW w:type="dxa" w:w="2551"/>
          </w:tcPr>
          <w:p>
            <w:r/>
            <w:r>
              <w:rPr>
                <w:rFonts w:ascii="微软雅黑" w:hAnsi="微软雅黑" w:eastAsia="微软雅黑"/>
                <w:sz w:val="20"/>
              </w:rPr>
              <w:t>弱多头，上升趋势温和</w:t>
            </w:r>
          </w:p>
        </w:tc>
        <w:tc>
          <w:tcPr>
            <w:tcW w:type="dxa" w:w="2835"/>
          </w:tcPr>
          <w:p>
            <w:r/>
            <w:r>
              <w:rPr>
                <w:rFonts w:ascii="微软雅黑" w:hAnsi="微软雅黑" w:eastAsia="微软雅黑"/>
                <w:sz w:val="20"/>
              </w:rPr>
              <w:t>谨慎持有，设置止损</w:t>
            </w:r>
          </w:p>
        </w:tc>
      </w:tr>
      <w:tr>
        <w:tc>
          <w:tcPr>
            <w:tcW w:type="dxa" w:w="1701"/>
            <w:shd w:val="clear" w:color="auto" w:fill="F0F4F8"/>
          </w:tcPr>
          <w:p>
            <w:r/>
            <w:r>
              <w:rPr>
                <w:rFonts w:ascii="微软雅黑" w:hAnsi="微软雅黑" w:eastAsia="微软雅黑"/>
                <w:sz w:val="20"/>
              </w:rPr>
              <w:t>走平</w:t>
            </w:r>
          </w:p>
        </w:tc>
        <w:tc>
          <w:tcPr>
            <w:tcW w:type="dxa" w:w="1417"/>
            <w:shd w:val="clear" w:color="auto" w:fill="F0F4F8"/>
          </w:tcPr>
          <w:p>
            <w:r/>
            <w:r>
              <w:rPr>
                <w:rFonts w:ascii="微软雅黑" w:hAnsi="微软雅黑" w:eastAsia="微软雅黑"/>
                <w:sz w:val="20"/>
              </w:rPr>
              <w:t>约0°</w:t>
            </w:r>
          </w:p>
        </w:tc>
        <w:tc>
          <w:tcPr>
            <w:tcW w:type="dxa" w:w="2551"/>
            <w:shd w:val="clear" w:color="auto" w:fill="F0F4F8"/>
          </w:tcPr>
          <w:p>
            <w:r/>
            <w:r>
              <w:rPr>
                <w:rFonts w:ascii="微软雅黑" w:hAnsi="微软雅黑" w:eastAsia="微软雅黑"/>
                <w:sz w:val="20"/>
              </w:rPr>
              <w:t>趋势不明，多空平衡</w:t>
            </w:r>
          </w:p>
        </w:tc>
        <w:tc>
          <w:tcPr>
            <w:tcW w:type="dxa" w:w="2835"/>
            <w:shd w:val="clear" w:color="auto" w:fill="F0F4F8"/>
          </w:tcPr>
          <w:p>
            <w:r/>
            <w:r>
              <w:rPr>
                <w:rFonts w:ascii="微软雅黑" w:hAnsi="微软雅黑" w:eastAsia="微软雅黑"/>
                <w:sz w:val="20"/>
              </w:rPr>
              <w:t>观望为主，等待方向</w:t>
            </w:r>
          </w:p>
        </w:tc>
      </w:tr>
      <w:tr>
        <w:tc>
          <w:tcPr>
            <w:tcW w:type="dxa" w:w="1701"/>
          </w:tcPr>
          <w:p>
            <w:r/>
            <w:r>
              <w:rPr>
                <w:rFonts w:ascii="微软雅黑" w:hAnsi="微软雅黑" w:eastAsia="微软雅黑"/>
                <w:sz w:val="20"/>
              </w:rPr>
              <w:t>平缓下降</w:t>
            </w:r>
          </w:p>
        </w:tc>
        <w:tc>
          <w:tcPr>
            <w:tcW w:type="dxa" w:w="1417"/>
          </w:tcPr>
          <w:p>
            <w:r/>
            <w:r>
              <w:rPr>
                <w:rFonts w:ascii="微软雅黑" w:hAnsi="微软雅黑" w:eastAsia="微软雅黑"/>
                <w:sz w:val="20"/>
              </w:rPr>
              <w:t>小于45°</w:t>
            </w:r>
          </w:p>
        </w:tc>
        <w:tc>
          <w:tcPr>
            <w:tcW w:type="dxa" w:w="2551"/>
          </w:tcPr>
          <w:p>
            <w:r/>
            <w:r>
              <w:rPr>
                <w:rFonts w:ascii="微软雅黑" w:hAnsi="微软雅黑" w:eastAsia="微软雅黑"/>
                <w:sz w:val="20"/>
              </w:rPr>
              <w:t>弱空头，下降趋势温和</w:t>
            </w:r>
          </w:p>
        </w:tc>
        <w:tc>
          <w:tcPr>
            <w:tcW w:type="dxa" w:w="2835"/>
          </w:tcPr>
          <w:p>
            <w:r/>
            <w:r>
              <w:rPr>
                <w:rFonts w:ascii="微软雅黑" w:hAnsi="微软雅黑" w:eastAsia="微软雅黑"/>
                <w:sz w:val="20"/>
              </w:rPr>
              <w:t>轻仓或空仓</w:t>
            </w:r>
          </w:p>
        </w:tc>
      </w:tr>
      <w:tr>
        <w:tc>
          <w:tcPr>
            <w:tcW w:type="dxa" w:w="1701"/>
            <w:shd w:val="clear" w:color="auto" w:fill="F0F4F8"/>
          </w:tcPr>
          <w:p>
            <w:r/>
            <w:r>
              <w:rPr>
                <w:rFonts w:ascii="微软雅黑" w:hAnsi="微软雅黑" w:eastAsia="微软雅黑"/>
                <w:sz w:val="20"/>
              </w:rPr>
              <w:t>陡峭下降</w:t>
            </w:r>
          </w:p>
        </w:tc>
        <w:tc>
          <w:tcPr>
            <w:tcW w:type="dxa" w:w="1417"/>
            <w:shd w:val="clear" w:color="auto" w:fill="F0F4F8"/>
          </w:tcPr>
          <w:p>
            <w:r/>
            <w:r>
              <w:rPr>
                <w:rFonts w:ascii="微软雅黑" w:hAnsi="微软雅黑" w:eastAsia="微软雅黑"/>
                <w:sz w:val="20"/>
              </w:rPr>
              <w:t>大于45°</w:t>
            </w:r>
          </w:p>
        </w:tc>
        <w:tc>
          <w:tcPr>
            <w:tcW w:type="dxa" w:w="2551"/>
            <w:shd w:val="clear" w:color="auto" w:fill="F0F4F8"/>
          </w:tcPr>
          <w:p>
            <w:r/>
            <w:r>
              <w:rPr>
                <w:rFonts w:ascii="微软雅黑" w:hAnsi="微软雅黑" w:eastAsia="微软雅黑"/>
                <w:sz w:val="20"/>
              </w:rPr>
              <w:t>强空头，下降趋势强劲</w:t>
            </w:r>
          </w:p>
        </w:tc>
        <w:tc>
          <w:tcPr>
            <w:tcW w:type="dxa" w:w="2835"/>
            <w:shd w:val="clear" w:color="auto" w:fill="F0F4F8"/>
          </w:tcPr>
          <w:p>
            <w:r/>
            <w:r>
              <w:rPr>
                <w:rFonts w:ascii="微软雅黑" w:hAnsi="微软雅黑" w:eastAsia="微软雅黑"/>
                <w:sz w:val="20"/>
              </w:rPr>
              <w:t>空仓等待，不抄底</w:t>
            </w:r>
          </w:p>
        </w:tc>
      </w:tr>
    </w:tbl>
    <w:p>
      <w:pPr>
        <w:pStyle w:val="Heading2"/>
      </w:pPr>
      <w:r>
        <w:t>2.3 股价与均线的位置关系</w:t>
      </w:r>
    </w:p>
    <w:p>
      <w:r>
        <w:rPr>
          <w:rFonts w:ascii="微软雅黑" w:hAnsi="微软雅黑" w:eastAsia="微软雅黑"/>
        </w:rPr>
        <w:t>股价相对于均线的位置是判断多空的最直观依据：</w:t>
      </w:r>
    </w:p>
    <w:p>
      <w:r>
        <w:rPr>
          <w:rFonts w:ascii="微软雅黑" w:hAnsi="微软雅黑" w:eastAsia="微软雅黑"/>
        </w:rPr>
        <w:t>股价在均线上方运行：多头格局。均线对股价形成支撑，每次回踩均线都是潜在的买入机会。均线周期越长，支撑越强。</w:t>
      </w:r>
    </w:p>
    <w:p>
      <w:r>
        <w:rPr>
          <w:rFonts w:ascii="微软雅黑" w:hAnsi="微软雅黑" w:eastAsia="微软雅黑"/>
        </w:rPr>
        <w:t>股价在均线下方运行：空头格局。均线对股价形成压力，每次反弹至均线都是潜在的卖出机会。均线周期越长，压力越大。</w:t>
      </w:r>
    </w:p>
    <w:p>
      <w:r>
        <w:rPr>
          <w:rFonts w:ascii="微软雅黑" w:hAnsi="微软雅黑" w:eastAsia="微软雅黑"/>
        </w:rPr>
        <w:t>股价围绕均线波动：震荡格局。多空力量基本平衡，需要等待方向性突破。</w:t>
      </w:r>
    </w:p>
    <w:p>
      <w:pPr>
        <w:pStyle w:val="Heading2"/>
      </w:pPr>
      <w:r>
        <w:t>2.4 各周期均线的多空分界标准</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134"/>
            <w:shd w:val="clear" w:color="auto" w:fill="2C3E50"/>
          </w:tcPr>
          <w:p>
            <w:r/>
            <w:r>
              <w:rPr>
                <w:rFonts w:ascii="微软雅黑" w:hAnsi="微软雅黑" w:eastAsia="微软雅黑"/>
                <w:b/>
                <w:color w:val="FFFFFF"/>
                <w:sz w:val="20"/>
              </w:rPr>
              <w:t>均线</w:t>
            </w:r>
          </w:p>
        </w:tc>
        <w:tc>
          <w:tcPr>
            <w:tcW w:type="dxa" w:w="2268"/>
            <w:shd w:val="clear" w:color="auto" w:fill="2C3E50"/>
          </w:tcPr>
          <w:p>
            <w:r/>
            <w:r>
              <w:rPr>
                <w:rFonts w:ascii="微软雅黑" w:hAnsi="微软雅黑" w:eastAsia="微软雅黑"/>
                <w:b/>
                <w:color w:val="FFFFFF"/>
                <w:sz w:val="20"/>
              </w:rPr>
              <w:t>多头条件</w:t>
            </w:r>
          </w:p>
        </w:tc>
        <w:tc>
          <w:tcPr>
            <w:tcW w:type="dxa" w:w="2268"/>
            <w:shd w:val="clear" w:color="auto" w:fill="2C3E50"/>
          </w:tcPr>
          <w:p>
            <w:r/>
            <w:r>
              <w:rPr>
                <w:rFonts w:ascii="微软雅黑" w:hAnsi="微软雅黑" w:eastAsia="微软雅黑"/>
                <w:b/>
                <w:color w:val="FFFFFF"/>
                <w:sz w:val="20"/>
              </w:rPr>
              <w:t>空头条件</w:t>
            </w:r>
          </w:p>
        </w:tc>
        <w:tc>
          <w:tcPr>
            <w:tcW w:type="dxa" w:w="1134"/>
            <w:shd w:val="clear" w:color="auto" w:fill="2C3E50"/>
          </w:tcPr>
          <w:p>
            <w:r/>
            <w:r>
              <w:rPr>
                <w:rFonts w:ascii="微软雅黑" w:hAnsi="微软雅黑" w:eastAsia="微软雅黑"/>
                <w:b/>
                <w:color w:val="FFFFFF"/>
                <w:sz w:val="20"/>
              </w:rPr>
              <w:t>信号强度</w:t>
            </w:r>
          </w:p>
        </w:tc>
        <w:tc>
          <w:tcPr>
            <w:tcW w:type="dxa" w:w="1701"/>
            <w:shd w:val="clear" w:color="auto" w:fill="2C3E50"/>
          </w:tcPr>
          <w:p>
            <w:r/>
            <w:r>
              <w:rPr>
                <w:rFonts w:ascii="微软雅黑" w:hAnsi="微软雅黑" w:eastAsia="微软雅黑"/>
                <w:b/>
                <w:color w:val="FFFFFF"/>
                <w:sz w:val="20"/>
              </w:rPr>
              <w:t>参考意义</w:t>
            </w:r>
          </w:p>
        </w:tc>
      </w:tr>
      <w:tr>
        <w:tc>
          <w:tcPr>
            <w:tcW w:type="dxa" w:w="1134"/>
            <w:shd w:val="clear" w:color="auto" w:fill="F0F4F8"/>
          </w:tcPr>
          <w:p>
            <w:r/>
            <w:r>
              <w:rPr>
                <w:rFonts w:ascii="微软雅黑" w:hAnsi="微软雅黑" w:eastAsia="微软雅黑"/>
                <w:sz w:val="20"/>
              </w:rPr>
              <w:t>MA5</w:t>
            </w:r>
          </w:p>
        </w:tc>
        <w:tc>
          <w:tcPr>
            <w:tcW w:type="dxa" w:w="2268"/>
            <w:shd w:val="clear" w:color="auto" w:fill="F0F4F8"/>
          </w:tcPr>
          <w:p>
            <w:r/>
            <w:r>
              <w:rPr>
                <w:rFonts w:ascii="微软雅黑" w:hAnsi="微软雅黑" w:eastAsia="微软雅黑"/>
                <w:sz w:val="20"/>
              </w:rPr>
              <w:t>股价站上MA5且MA5上行</w:t>
            </w:r>
          </w:p>
        </w:tc>
        <w:tc>
          <w:tcPr>
            <w:tcW w:type="dxa" w:w="2268"/>
            <w:shd w:val="clear" w:color="auto" w:fill="F0F4F8"/>
          </w:tcPr>
          <w:p>
            <w:r/>
            <w:r>
              <w:rPr>
                <w:rFonts w:ascii="微软雅黑" w:hAnsi="微软雅黑" w:eastAsia="微软雅黑"/>
                <w:sz w:val="20"/>
              </w:rPr>
              <w:t>股价跌破MA5且MA5下行</w:t>
            </w:r>
          </w:p>
        </w:tc>
        <w:tc>
          <w:tcPr>
            <w:tcW w:type="dxa" w:w="1134"/>
            <w:shd w:val="clear" w:color="auto" w:fill="F0F4F8"/>
          </w:tcPr>
          <w:p>
            <w:r/>
            <w:r>
              <w:rPr>
                <w:rFonts w:ascii="微软雅黑" w:hAnsi="微软雅黑" w:eastAsia="微软雅黑"/>
                <w:sz w:val="20"/>
              </w:rPr>
              <w:t>弱</w:t>
            </w:r>
          </w:p>
        </w:tc>
        <w:tc>
          <w:tcPr>
            <w:tcW w:type="dxa" w:w="1701"/>
            <w:shd w:val="clear" w:color="auto" w:fill="F0F4F8"/>
          </w:tcPr>
          <w:p>
            <w:r/>
            <w:r>
              <w:rPr>
                <w:rFonts w:ascii="微软雅黑" w:hAnsi="微软雅黑" w:eastAsia="微软雅黑"/>
                <w:sz w:val="20"/>
              </w:rPr>
              <w:t>超短线方向</w:t>
            </w:r>
          </w:p>
        </w:tc>
      </w:tr>
      <w:tr>
        <w:tc>
          <w:tcPr>
            <w:tcW w:type="dxa" w:w="1134"/>
          </w:tcPr>
          <w:p>
            <w:r/>
            <w:r>
              <w:rPr>
                <w:rFonts w:ascii="微软雅黑" w:hAnsi="微软雅黑" w:eastAsia="微软雅黑"/>
                <w:sz w:val="20"/>
              </w:rPr>
              <w:t>MA10</w:t>
            </w:r>
          </w:p>
        </w:tc>
        <w:tc>
          <w:tcPr>
            <w:tcW w:type="dxa" w:w="2268"/>
          </w:tcPr>
          <w:p>
            <w:r/>
            <w:r>
              <w:rPr>
                <w:rFonts w:ascii="微软雅黑" w:hAnsi="微软雅黑" w:eastAsia="微软雅黑"/>
                <w:sz w:val="20"/>
              </w:rPr>
              <w:t>股价站上MA10且MA10上行</w:t>
            </w:r>
          </w:p>
        </w:tc>
        <w:tc>
          <w:tcPr>
            <w:tcW w:type="dxa" w:w="2268"/>
          </w:tcPr>
          <w:p>
            <w:r/>
            <w:r>
              <w:rPr>
                <w:rFonts w:ascii="微软雅黑" w:hAnsi="微软雅黑" w:eastAsia="微软雅黑"/>
                <w:sz w:val="20"/>
              </w:rPr>
              <w:t>股价跌破MA10且MA10下行</w:t>
            </w:r>
          </w:p>
        </w:tc>
        <w:tc>
          <w:tcPr>
            <w:tcW w:type="dxa" w:w="1134"/>
          </w:tcPr>
          <w:p>
            <w:r/>
            <w:r>
              <w:rPr>
                <w:rFonts w:ascii="微软雅黑" w:hAnsi="微软雅黑" w:eastAsia="微软雅黑"/>
                <w:sz w:val="20"/>
              </w:rPr>
              <w:t>较弱</w:t>
            </w:r>
          </w:p>
        </w:tc>
        <w:tc>
          <w:tcPr>
            <w:tcW w:type="dxa" w:w="1701"/>
          </w:tcPr>
          <w:p>
            <w:r/>
            <w:r>
              <w:rPr>
                <w:rFonts w:ascii="微软雅黑" w:hAnsi="微软雅黑" w:eastAsia="微软雅黑"/>
                <w:sz w:val="20"/>
              </w:rPr>
              <w:t>短线方向</w:t>
            </w:r>
          </w:p>
        </w:tc>
      </w:tr>
      <w:tr>
        <w:tc>
          <w:tcPr>
            <w:tcW w:type="dxa" w:w="1134"/>
            <w:shd w:val="clear" w:color="auto" w:fill="F0F4F8"/>
          </w:tcPr>
          <w:p>
            <w:r/>
            <w:r>
              <w:rPr>
                <w:rFonts w:ascii="微软雅黑" w:hAnsi="微软雅黑" w:eastAsia="微软雅黑"/>
                <w:sz w:val="20"/>
              </w:rPr>
              <w:t>MA20</w:t>
            </w:r>
          </w:p>
        </w:tc>
        <w:tc>
          <w:tcPr>
            <w:tcW w:type="dxa" w:w="2268"/>
            <w:shd w:val="clear" w:color="auto" w:fill="F0F4F8"/>
          </w:tcPr>
          <w:p>
            <w:r/>
            <w:r>
              <w:rPr>
                <w:rFonts w:ascii="微软雅黑" w:hAnsi="微软雅黑" w:eastAsia="微软雅黑"/>
                <w:sz w:val="20"/>
              </w:rPr>
              <w:t>股价站上MA20且MA20上行</w:t>
            </w:r>
          </w:p>
        </w:tc>
        <w:tc>
          <w:tcPr>
            <w:tcW w:type="dxa" w:w="2268"/>
            <w:shd w:val="clear" w:color="auto" w:fill="F0F4F8"/>
          </w:tcPr>
          <w:p>
            <w:r/>
            <w:r>
              <w:rPr>
                <w:rFonts w:ascii="微软雅黑" w:hAnsi="微软雅黑" w:eastAsia="微软雅黑"/>
                <w:sz w:val="20"/>
              </w:rPr>
              <w:t>股价跌破MA20且MA20下行</w:t>
            </w:r>
          </w:p>
        </w:tc>
        <w:tc>
          <w:tcPr>
            <w:tcW w:type="dxa" w:w="1134"/>
            <w:shd w:val="clear" w:color="auto" w:fill="F0F4F8"/>
          </w:tcPr>
          <w:p>
            <w:r/>
            <w:r>
              <w:rPr>
                <w:rFonts w:ascii="微软雅黑" w:hAnsi="微软雅黑" w:eastAsia="微软雅黑"/>
                <w:sz w:val="20"/>
              </w:rPr>
              <w:t>中等</w:t>
            </w:r>
          </w:p>
        </w:tc>
        <w:tc>
          <w:tcPr>
            <w:tcW w:type="dxa" w:w="1701"/>
            <w:shd w:val="clear" w:color="auto" w:fill="F0F4F8"/>
          </w:tcPr>
          <w:p>
            <w:r/>
            <w:r>
              <w:rPr>
                <w:rFonts w:ascii="微软雅黑" w:hAnsi="微软雅黑" w:eastAsia="微软雅黑"/>
                <w:sz w:val="20"/>
              </w:rPr>
              <w:t>月度方向</w:t>
            </w:r>
          </w:p>
        </w:tc>
      </w:tr>
      <w:tr>
        <w:tc>
          <w:tcPr>
            <w:tcW w:type="dxa" w:w="1134"/>
          </w:tcPr>
          <w:p>
            <w:r/>
            <w:r>
              <w:rPr>
                <w:rFonts w:ascii="微软雅黑" w:hAnsi="微软雅黑" w:eastAsia="微软雅黑"/>
                <w:sz w:val="20"/>
              </w:rPr>
              <w:t>MA60</w:t>
            </w:r>
          </w:p>
        </w:tc>
        <w:tc>
          <w:tcPr>
            <w:tcW w:type="dxa" w:w="2268"/>
          </w:tcPr>
          <w:p>
            <w:r/>
            <w:r>
              <w:rPr>
                <w:rFonts w:ascii="微软雅黑" w:hAnsi="微软雅黑" w:eastAsia="微软雅黑"/>
                <w:sz w:val="20"/>
              </w:rPr>
              <w:t>股价站上MA60且MA60上行</w:t>
            </w:r>
          </w:p>
        </w:tc>
        <w:tc>
          <w:tcPr>
            <w:tcW w:type="dxa" w:w="2268"/>
          </w:tcPr>
          <w:p>
            <w:r/>
            <w:r>
              <w:rPr>
                <w:rFonts w:ascii="微软雅黑" w:hAnsi="微软雅黑" w:eastAsia="微软雅黑"/>
                <w:sz w:val="20"/>
              </w:rPr>
              <w:t>股价跌破MA60且MA60下行</w:t>
            </w:r>
          </w:p>
        </w:tc>
        <w:tc>
          <w:tcPr>
            <w:tcW w:type="dxa" w:w="1134"/>
          </w:tcPr>
          <w:p>
            <w:r/>
            <w:r>
              <w:rPr>
                <w:rFonts w:ascii="微软雅黑" w:hAnsi="微软雅黑" w:eastAsia="微软雅黑"/>
                <w:sz w:val="20"/>
              </w:rPr>
              <w:t>较强</w:t>
            </w:r>
          </w:p>
        </w:tc>
        <w:tc>
          <w:tcPr>
            <w:tcW w:type="dxa" w:w="1701"/>
          </w:tcPr>
          <w:p>
            <w:r/>
            <w:r>
              <w:rPr>
                <w:rFonts w:ascii="微软雅黑" w:hAnsi="微软雅黑" w:eastAsia="微软雅黑"/>
                <w:sz w:val="20"/>
              </w:rPr>
              <w:t>季度方向</w:t>
            </w:r>
          </w:p>
        </w:tc>
      </w:tr>
      <w:tr>
        <w:tc>
          <w:tcPr>
            <w:tcW w:type="dxa" w:w="1134"/>
            <w:shd w:val="clear" w:color="auto" w:fill="F0F4F8"/>
          </w:tcPr>
          <w:p>
            <w:r/>
            <w:r>
              <w:rPr>
                <w:rFonts w:ascii="微软雅黑" w:hAnsi="微软雅黑" w:eastAsia="微软雅黑"/>
                <w:sz w:val="20"/>
              </w:rPr>
              <w:t>MA120</w:t>
            </w:r>
          </w:p>
        </w:tc>
        <w:tc>
          <w:tcPr>
            <w:tcW w:type="dxa" w:w="2268"/>
            <w:shd w:val="clear" w:color="auto" w:fill="F0F4F8"/>
          </w:tcPr>
          <w:p>
            <w:r/>
            <w:r>
              <w:rPr>
                <w:rFonts w:ascii="微软雅黑" w:hAnsi="微软雅黑" w:eastAsia="微软雅黑"/>
                <w:sz w:val="20"/>
              </w:rPr>
              <w:t>股价站上MA120且MA120上行</w:t>
            </w:r>
          </w:p>
        </w:tc>
        <w:tc>
          <w:tcPr>
            <w:tcW w:type="dxa" w:w="2268"/>
            <w:shd w:val="clear" w:color="auto" w:fill="F0F4F8"/>
          </w:tcPr>
          <w:p>
            <w:r/>
            <w:r>
              <w:rPr>
                <w:rFonts w:ascii="微软雅黑" w:hAnsi="微软雅黑" w:eastAsia="微软雅黑"/>
                <w:sz w:val="20"/>
              </w:rPr>
              <w:t>股价跌破MA120且MA120下行</w:t>
            </w:r>
          </w:p>
        </w:tc>
        <w:tc>
          <w:tcPr>
            <w:tcW w:type="dxa" w:w="1134"/>
            <w:shd w:val="clear" w:color="auto" w:fill="F0F4F8"/>
          </w:tcPr>
          <w:p>
            <w:r/>
            <w:r>
              <w:rPr>
                <w:rFonts w:ascii="微软雅黑" w:hAnsi="微软雅黑" w:eastAsia="微软雅黑"/>
                <w:sz w:val="20"/>
              </w:rPr>
              <w:t>强</w:t>
            </w:r>
          </w:p>
        </w:tc>
        <w:tc>
          <w:tcPr>
            <w:tcW w:type="dxa" w:w="1701"/>
            <w:shd w:val="clear" w:color="auto" w:fill="F0F4F8"/>
          </w:tcPr>
          <w:p>
            <w:r/>
            <w:r>
              <w:rPr>
                <w:rFonts w:ascii="微软雅黑" w:hAnsi="微软雅黑" w:eastAsia="微软雅黑"/>
                <w:sz w:val="20"/>
              </w:rPr>
              <w:t>半年方向</w:t>
            </w:r>
          </w:p>
        </w:tc>
      </w:tr>
      <w:tr>
        <w:tc>
          <w:tcPr>
            <w:tcW w:type="dxa" w:w="1134"/>
          </w:tcPr>
          <w:p>
            <w:r/>
            <w:r>
              <w:rPr>
                <w:rFonts w:ascii="微软雅黑" w:hAnsi="微软雅黑" w:eastAsia="微软雅黑"/>
                <w:sz w:val="20"/>
              </w:rPr>
              <w:t>MA250</w:t>
            </w:r>
          </w:p>
        </w:tc>
        <w:tc>
          <w:tcPr>
            <w:tcW w:type="dxa" w:w="2268"/>
          </w:tcPr>
          <w:p>
            <w:r/>
            <w:r>
              <w:rPr>
                <w:rFonts w:ascii="微软雅黑" w:hAnsi="微软雅黑" w:eastAsia="微软雅黑"/>
                <w:sz w:val="20"/>
              </w:rPr>
              <w:t>股价站上MA250且MA250上行</w:t>
            </w:r>
          </w:p>
        </w:tc>
        <w:tc>
          <w:tcPr>
            <w:tcW w:type="dxa" w:w="2268"/>
          </w:tcPr>
          <w:p>
            <w:r/>
            <w:r>
              <w:rPr>
                <w:rFonts w:ascii="微软雅黑" w:hAnsi="微软雅黑" w:eastAsia="微软雅黑"/>
                <w:sz w:val="20"/>
              </w:rPr>
              <w:t>股价跌破MA250且MA250下行</w:t>
            </w:r>
          </w:p>
        </w:tc>
        <w:tc>
          <w:tcPr>
            <w:tcW w:type="dxa" w:w="1134"/>
          </w:tcPr>
          <w:p>
            <w:r/>
            <w:r>
              <w:rPr>
                <w:rFonts w:ascii="微软雅黑" w:hAnsi="微软雅黑" w:eastAsia="微软雅黑"/>
                <w:sz w:val="20"/>
              </w:rPr>
              <w:t>极强</w:t>
            </w:r>
          </w:p>
        </w:tc>
        <w:tc>
          <w:tcPr>
            <w:tcW w:type="dxa" w:w="1701"/>
          </w:tcPr>
          <w:p>
            <w:r/>
            <w:r>
              <w:rPr>
                <w:rFonts w:ascii="微软雅黑" w:hAnsi="微软雅黑" w:eastAsia="微软雅黑"/>
                <w:sz w:val="20"/>
              </w:rPr>
              <w:t>年度牛熊</w:t>
            </w:r>
          </w:p>
        </w:tc>
      </w:tr>
    </w:tbl>
    <w:p>
      <w:r>
        <w:br w:type="page"/>
      </w:r>
    </w:p>
    <w:p>
      <w:pPr>
        <w:pStyle w:val="Heading1"/>
      </w:pPr>
      <w:r>
        <w:t>第三章  均线交叉规则（金叉与死叉）</w:t>
      </w:r>
    </w:p>
    <w:p>
      <w:pPr>
        <w:pStyle w:val="Heading2"/>
      </w:pPr>
      <w:r>
        <w:t>3.1 金叉（黄金交叉）</w:t>
      </w:r>
    </w:p>
    <w:p>
      <w:r>
        <w:rPr>
          <w:rFonts w:ascii="微软雅黑" w:hAnsi="微软雅黑" w:eastAsia="微软雅黑"/>
        </w:rPr>
        <w:t>金叉是指短期均线从下方向上穿越长期均线，是最经典的多头信号之一。金叉的可靠性取决于参与交叉的均线周期、交叉时的角度以及成交量的配合情况。</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417"/>
            <w:shd w:val="clear" w:color="auto" w:fill="2C3E50"/>
          </w:tcPr>
          <w:p>
            <w:r/>
            <w:r>
              <w:rPr>
                <w:rFonts w:ascii="微软雅黑" w:hAnsi="微软雅黑" w:eastAsia="微软雅黑"/>
                <w:b/>
                <w:color w:val="FFFFFF"/>
                <w:sz w:val="20"/>
              </w:rPr>
              <w:t>金叉类型</w:t>
            </w:r>
          </w:p>
        </w:tc>
        <w:tc>
          <w:tcPr>
            <w:tcW w:type="dxa" w:w="1701"/>
            <w:shd w:val="clear" w:color="auto" w:fill="2C3E50"/>
          </w:tcPr>
          <w:p>
            <w:r/>
            <w:r>
              <w:rPr>
                <w:rFonts w:ascii="微软雅黑" w:hAnsi="微软雅黑" w:eastAsia="微软雅黑"/>
                <w:b/>
                <w:color w:val="FFFFFF"/>
                <w:sz w:val="20"/>
              </w:rPr>
              <w:t>交叉均线</w:t>
            </w:r>
          </w:p>
        </w:tc>
        <w:tc>
          <w:tcPr>
            <w:tcW w:type="dxa" w:w="1984"/>
            <w:shd w:val="clear" w:color="auto" w:fill="2C3E50"/>
          </w:tcPr>
          <w:p>
            <w:r/>
            <w:r>
              <w:rPr>
                <w:rFonts w:ascii="微软雅黑" w:hAnsi="微软雅黑" w:eastAsia="微软雅黑"/>
                <w:b/>
                <w:color w:val="FFFFFF"/>
                <w:sz w:val="20"/>
              </w:rPr>
              <w:t>信号含义</w:t>
            </w:r>
          </w:p>
        </w:tc>
        <w:tc>
          <w:tcPr>
            <w:tcW w:type="dxa" w:w="1984"/>
            <w:shd w:val="clear" w:color="auto" w:fill="2C3E50"/>
          </w:tcPr>
          <w:p>
            <w:r/>
            <w:r>
              <w:rPr>
                <w:rFonts w:ascii="微软雅黑" w:hAnsi="微软雅黑" w:eastAsia="微软雅黑"/>
                <w:b/>
                <w:color w:val="FFFFFF"/>
                <w:sz w:val="20"/>
              </w:rPr>
              <w:t>可靠性</w:t>
            </w:r>
          </w:p>
        </w:tc>
        <w:tc>
          <w:tcPr>
            <w:tcW w:type="dxa" w:w="1417"/>
            <w:shd w:val="clear" w:color="auto" w:fill="2C3E50"/>
          </w:tcPr>
          <w:p>
            <w:r/>
            <w:r>
              <w:rPr>
                <w:rFonts w:ascii="微软雅黑" w:hAnsi="微软雅黑" w:eastAsia="微软雅黑"/>
                <w:b/>
                <w:color w:val="FFFFFF"/>
                <w:sz w:val="20"/>
              </w:rPr>
              <w:t>持仓周期</w:t>
            </w:r>
          </w:p>
        </w:tc>
      </w:tr>
      <w:tr>
        <w:tc>
          <w:tcPr>
            <w:tcW w:type="dxa" w:w="1417"/>
            <w:shd w:val="clear" w:color="auto" w:fill="F0F4F8"/>
          </w:tcPr>
          <w:p>
            <w:r/>
            <w:r>
              <w:rPr>
                <w:rFonts w:ascii="微软雅黑" w:hAnsi="微软雅黑" w:eastAsia="微软雅黑"/>
                <w:sz w:val="20"/>
              </w:rPr>
              <w:t>短期金叉</w:t>
            </w:r>
          </w:p>
        </w:tc>
        <w:tc>
          <w:tcPr>
            <w:tcW w:type="dxa" w:w="1701"/>
            <w:shd w:val="clear" w:color="auto" w:fill="F0F4F8"/>
          </w:tcPr>
          <w:p>
            <w:r/>
            <w:r>
              <w:rPr>
                <w:rFonts w:ascii="微软雅黑" w:hAnsi="微软雅黑" w:eastAsia="微软雅黑"/>
                <w:sz w:val="20"/>
              </w:rPr>
              <w:t>MA5上穿MA10</w:t>
            </w:r>
          </w:p>
        </w:tc>
        <w:tc>
          <w:tcPr>
            <w:tcW w:type="dxa" w:w="1984"/>
            <w:shd w:val="clear" w:color="auto" w:fill="F0F4F8"/>
          </w:tcPr>
          <w:p>
            <w:r/>
            <w:r>
              <w:rPr>
                <w:rFonts w:ascii="微软雅黑" w:hAnsi="微软雅黑" w:eastAsia="微软雅黑"/>
                <w:sz w:val="20"/>
              </w:rPr>
              <w:t>短期多头启动</w:t>
            </w:r>
          </w:p>
        </w:tc>
        <w:tc>
          <w:tcPr>
            <w:tcW w:type="dxa" w:w="1984"/>
            <w:shd w:val="clear" w:color="auto" w:fill="F0F4F8"/>
          </w:tcPr>
          <w:p>
            <w:r/>
            <w:r>
              <w:rPr>
                <w:rFonts w:ascii="微软雅黑" w:hAnsi="微软雅黑" w:eastAsia="微软雅黑"/>
                <w:sz w:val="20"/>
              </w:rPr>
              <w:t>中等，易出现假信号</w:t>
            </w:r>
          </w:p>
        </w:tc>
        <w:tc>
          <w:tcPr>
            <w:tcW w:type="dxa" w:w="1417"/>
            <w:shd w:val="clear" w:color="auto" w:fill="F0F4F8"/>
          </w:tcPr>
          <w:p>
            <w:r/>
            <w:r>
              <w:rPr>
                <w:rFonts w:ascii="微软雅黑" w:hAnsi="微软雅黑" w:eastAsia="微软雅黑"/>
                <w:sz w:val="20"/>
              </w:rPr>
              <w:t>3-10个交易日</w:t>
            </w:r>
          </w:p>
        </w:tc>
      </w:tr>
      <w:tr>
        <w:tc>
          <w:tcPr>
            <w:tcW w:type="dxa" w:w="1417"/>
          </w:tcPr>
          <w:p>
            <w:r/>
            <w:r>
              <w:rPr>
                <w:rFonts w:ascii="微软雅黑" w:hAnsi="微软雅黑" w:eastAsia="微软雅黑"/>
                <w:sz w:val="20"/>
              </w:rPr>
              <w:t>中短期金叉</w:t>
            </w:r>
          </w:p>
        </w:tc>
        <w:tc>
          <w:tcPr>
            <w:tcW w:type="dxa" w:w="1701"/>
          </w:tcPr>
          <w:p>
            <w:r/>
            <w:r>
              <w:rPr>
                <w:rFonts w:ascii="微软雅黑" w:hAnsi="微软雅黑" w:eastAsia="微软雅黑"/>
                <w:sz w:val="20"/>
              </w:rPr>
              <w:t>MA10上穿MA20</w:t>
            </w:r>
          </w:p>
        </w:tc>
        <w:tc>
          <w:tcPr>
            <w:tcW w:type="dxa" w:w="1984"/>
          </w:tcPr>
          <w:p>
            <w:r/>
            <w:r>
              <w:rPr>
                <w:rFonts w:ascii="微软雅黑" w:hAnsi="微软雅黑" w:eastAsia="微软雅黑"/>
                <w:sz w:val="20"/>
              </w:rPr>
              <w:t>中短期趋势转多</w:t>
            </w:r>
          </w:p>
        </w:tc>
        <w:tc>
          <w:tcPr>
            <w:tcW w:type="dxa" w:w="1984"/>
          </w:tcPr>
          <w:p>
            <w:r/>
            <w:r>
              <w:rPr>
                <w:rFonts w:ascii="微软雅黑" w:hAnsi="微软雅黑" w:eastAsia="微软雅黑"/>
                <w:sz w:val="20"/>
              </w:rPr>
              <w:t>较高</w:t>
            </w:r>
          </w:p>
        </w:tc>
        <w:tc>
          <w:tcPr>
            <w:tcW w:type="dxa" w:w="1417"/>
          </w:tcPr>
          <w:p>
            <w:r/>
            <w:r>
              <w:rPr>
                <w:rFonts w:ascii="微软雅黑" w:hAnsi="微软雅黑" w:eastAsia="微软雅黑"/>
                <w:sz w:val="20"/>
              </w:rPr>
              <w:t>10-20个交易日</w:t>
            </w:r>
          </w:p>
        </w:tc>
      </w:tr>
      <w:tr>
        <w:tc>
          <w:tcPr>
            <w:tcW w:type="dxa" w:w="1417"/>
            <w:shd w:val="clear" w:color="auto" w:fill="F0F4F8"/>
          </w:tcPr>
          <w:p>
            <w:r/>
            <w:r>
              <w:rPr>
                <w:rFonts w:ascii="微软雅黑" w:hAnsi="微软雅黑" w:eastAsia="微软雅黑"/>
                <w:sz w:val="20"/>
              </w:rPr>
              <w:t>中期金叉</w:t>
            </w:r>
          </w:p>
        </w:tc>
        <w:tc>
          <w:tcPr>
            <w:tcW w:type="dxa" w:w="1701"/>
            <w:shd w:val="clear" w:color="auto" w:fill="F0F4F8"/>
          </w:tcPr>
          <w:p>
            <w:r/>
            <w:r>
              <w:rPr>
                <w:rFonts w:ascii="微软雅黑" w:hAnsi="微软雅黑" w:eastAsia="微软雅黑"/>
                <w:sz w:val="20"/>
              </w:rPr>
              <w:t>MA20上穿MA60</w:t>
            </w:r>
          </w:p>
        </w:tc>
        <w:tc>
          <w:tcPr>
            <w:tcW w:type="dxa" w:w="1984"/>
            <w:shd w:val="clear" w:color="auto" w:fill="F0F4F8"/>
          </w:tcPr>
          <w:p>
            <w:r/>
            <w:r>
              <w:rPr>
                <w:rFonts w:ascii="微软雅黑" w:hAnsi="微软雅黑" w:eastAsia="微软雅黑"/>
                <w:sz w:val="20"/>
              </w:rPr>
              <w:t>中期趋势反转</w:t>
            </w:r>
          </w:p>
        </w:tc>
        <w:tc>
          <w:tcPr>
            <w:tcW w:type="dxa" w:w="1984"/>
            <w:shd w:val="clear" w:color="auto" w:fill="F0F4F8"/>
          </w:tcPr>
          <w:p>
            <w:r/>
            <w:r>
              <w:rPr>
                <w:rFonts w:ascii="微软雅黑" w:hAnsi="微软雅黑" w:eastAsia="微软雅黑"/>
                <w:sz w:val="20"/>
              </w:rPr>
              <w:t>高</w:t>
            </w:r>
          </w:p>
        </w:tc>
        <w:tc>
          <w:tcPr>
            <w:tcW w:type="dxa" w:w="1417"/>
            <w:shd w:val="clear" w:color="auto" w:fill="F0F4F8"/>
          </w:tcPr>
          <w:p>
            <w:r/>
            <w:r>
              <w:rPr>
                <w:rFonts w:ascii="微软雅黑" w:hAnsi="微软雅黑" w:eastAsia="微软雅黑"/>
                <w:sz w:val="20"/>
              </w:rPr>
              <w:t>1-3个月</w:t>
            </w:r>
          </w:p>
        </w:tc>
      </w:tr>
      <w:tr>
        <w:tc>
          <w:tcPr>
            <w:tcW w:type="dxa" w:w="1417"/>
          </w:tcPr>
          <w:p>
            <w:r/>
            <w:r>
              <w:rPr>
                <w:rFonts w:ascii="微软雅黑" w:hAnsi="微软雅黑" w:eastAsia="微软雅黑"/>
                <w:sz w:val="20"/>
              </w:rPr>
              <w:t>中长期金叉</w:t>
            </w:r>
          </w:p>
        </w:tc>
        <w:tc>
          <w:tcPr>
            <w:tcW w:type="dxa" w:w="1701"/>
          </w:tcPr>
          <w:p>
            <w:r/>
            <w:r>
              <w:rPr>
                <w:rFonts w:ascii="微软雅黑" w:hAnsi="微软雅黑" w:eastAsia="微软雅黑"/>
                <w:sz w:val="20"/>
              </w:rPr>
              <w:t>MA30上穿MA60</w:t>
            </w:r>
          </w:p>
        </w:tc>
        <w:tc>
          <w:tcPr>
            <w:tcW w:type="dxa" w:w="1984"/>
          </w:tcPr>
          <w:p>
            <w:r/>
            <w:r>
              <w:rPr>
                <w:rFonts w:ascii="微软雅黑" w:hAnsi="微软雅黑" w:eastAsia="微软雅黑"/>
                <w:sz w:val="20"/>
              </w:rPr>
              <w:t>中长期趋势确认</w:t>
            </w:r>
          </w:p>
        </w:tc>
        <w:tc>
          <w:tcPr>
            <w:tcW w:type="dxa" w:w="1984"/>
          </w:tcPr>
          <w:p>
            <w:r/>
            <w:r>
              <w:rPr>
                <w:rFonts w:ascii="微软雅黑" w:hAnsi="微软雅黑" w:eastAsia="微软雅黑"/>
                <w:sz w:val="20"/>
              </w:rPr>
              <w:t>高</w:t>
            </w:r>
          </w:p>
        </w:tc>
        <w:tc>
          <w:tcPr>
            <w:tcW w:type="dxa" w:w="1417"/>
          </w:tcPr>
          <w:p>
            <w:r/>
            <w:r>
              <w:rPr>
                <w:rFonts w:ascii="微软雅黑" w:hAnsi="微软雅黑" w:eastAsia="微软雅黑"/>
                <w:sz w:val="20"/>
              </w:rPr>
              <w:t>1-3个月</w:t>
            </w:r>
          </w:p>
        </w:tc>
      </w:tr>
      <w:tr>
        <w:tc>
          <w:tcPr>
            <w:tcW w:type="dxa" w:w="1417"/>
            <w:shd w:val="clear" w:color="auto" w:fill="F0F4F8"/>
          </w:tcPr>
          <w:p>
            <w:r/>
            <w:r>
              <w:rPr>
                <w:rFonts w:ascii="微软雅黑" w:hAnsi="微软雅黑" w:eastAsia="微软雅黑"/>
                <w:sz w:val="20"/>
              </w:rPr>
              <w:t>长期金叉</w:t>
            </w:r>
          </w:p>
        </w:tc>
        <w:tc>
          <w:tcPr>
            <w:tcW w:type="dxa" w:w="1701"/>
            <w:shd w:val="clear" w:color="auto" w:fill="F0F4F8"/>
          </w:tcPr>
          <w:p>
            <w:r/>
            <w:r>
              <w:rPr>
                <w:rFonts w:ascii="微软雅黑" w:hAnsi="微软雅黑" w:eastAsia="微软雅黑"/>
                <w:sz w:val="20"/>
              </w:rPr>
              <w:t>MA60上穿MA120</w:t>
            </w:r>
          </w:p>
        </w:tc>
        <w:tc>
          <w:tcPr>
            <w:tcW w:type="dxa" w:w="1984"/>
            <w:shd w:val="clear" w:color="auto" w:fill="F0F4F8"/>
          </w:tcPr>
          <w:p>
            <w:r/>
            <w:r>
              <w:rPr>
                <w:rFonts w:ascii="微软雅黑" w:hAnsi="微软雅黑" w:eastAsia="微软雅黑"/>
                <w:sz w:val="20"/>
              </w:rPr>
              <w:t>长期趋势反转</w:t>
            </w:r>
          </w:p>
        </w:tc>
        <w:tc>
          <w:tcPr>
            <w:tcW w:type="dxa" w:w="1984"/>
            <w:shd w:val="clear" w:color="auto" w:fill="F0F4F8"/>
          </w:tcPr>
          <w:p>
            <w:r/>
            <w:r>
              <w:rPr>
                <w:rFonts w:ascii="微软雅黑" w:hAnsi="微软雅黑" w:eastAsia="微软雅黑"/>
                <w:sz w:val="20"/>
              </w:rPr>
              <w:t>很高</w:t>
            </w:r>
          </w:p>
        </w:tc>
        <w:tc>
          <w:tcPr>
            <w:tcW w:type="dxa" w:w="1417"/>
            <w:shd w:val="clear" w:color="auto" w:fill="F0F4F8"/>
          </w:tcPr>
          <w:p>
            <w:r/>
            <w:r>
              <w:rPr>
                <w:rFonts w:ascii="微软雅黑" w:hAnsi="微软雅黑" w:eastAsia="微软雅黑"/>
                <w:sz w:val="20"/>
              </w:rPr>
              <w:t>3-6个月</w:t>
            </w:r>
          </w:p>
        </w:tc>
      </w:tr>
      <w:tr>
        <w:tc>
          <w:tcPr>
            <w:tcW w:type="dxa" w:w="1417"/>
          </w:tcPr>
          <w:p>
            <w:r/>
            <w:r>
              <w:rPr>
                <w:rFonts w:ascii="微软雅黑" w:hAnsi="微软雅黑" w:eastAsia="微软雅黑"/>
                <w:sz w:val="20"/>
              </w:rPr>
              <w:t>超长期金叉</w:t>
            </w:r>
          </w:p>
        </w:tc>
        <w:tc>
          <w:tcPr>
            <w:tcW w:type="dxa" w:w="1701"/>
          </w:tcPr>
          <w:p>
            <w:r/>
            <w:r>
              <w:rPr>
                <w:rFonts w:ascii="微软雅黑" w:hAnsi="微软雅黑" w:eastAsia="微软雅黑"/>
                <w:sz w:val="20"/>
              </w:rPr>
              <w:t>MA120上穿MA250</w:t>
            </w:r>
          </w:p>
        </w:tc>
        <w:tc>
          <w:tcPr>
            <w:tcW w:type="dxa" w:w="1984"/>
          </w:tcPr>
          <w:p>
            <w:r/>
            <w:r>
              <w:rPr>
                <w:rFonts w:ascii="微软雅黑" w:hAnsi="微软雅黑" w:eastAsia="微软雅黑"/>
                <w:sz w:val="20"/>
              </w:rPr>
              <w:t>牛市确认信号</w:t>
            </w:r>
          </w:p>
        </w:tc>
        <w:tc>
          <w:tcPr>
            <w:tcW w:type="dxa" w:w="1984"/>
          </w:tcPr>
          <w:p>
            <w:r/>
            <w:r>
              <w:rPr>
                <w:rFonts w:ascii="微软雅黑" w:hAnsi="微软雅黑" w:eastAsia="微软雅黑"/>
                <w:sz w:val="20"/>
              </w:rPr>
              <w:t>极高，极其罕见</w:t>
            </w:r>
          </w:p>
        </w:tc>
        <w:tc>
          <w:tcPr>
            <w:tcW w:type="dxa" w:w="1417"/>
          </w:tcPr>
          <w:p>
            <w:r/>
            <w:r>
              <w:rPr>
                <w:rFonts w:ascii="微软雅黑" w:hAnsi="微软雅黑" w:eastAsia="微软雅黑"/>
                <w:sz w:val="20"/>
              </w:rPr>
              <w:t>6个月以上</w:t>
            </w:r>
          </w:p>
        </w:tc>
      </w:tr>
    </w:tbl>
    <w:p>
      <w:pPr>
        <w:pStyle w:val="Heading3"/>
      </w:pPr>
      <w:r>
        <w:t>3.1.1 金叉的强化条件</w:t>
      </w:r>
    </w:p>
    <w:p>
      <w:r>
        <w:rPr>
          <w:rFonts w:ascii="微软雅黑" w:hAnsi="微软雅黑" w:eastAsia="微软雅黑"/>
        </w:rPr>
        <w:t>以下条件的出现会显著提升金叉信号的可靠性：交叉点处成交量明显放大，说明资金认可此突破；交叉角度较大（呈锐角上穿），说明多头力量强劲；交叉发生在重要支撑位附近；多条均线在相近时间内相继形成金叉（连锁金叉）；价格在交叉前已有充分的调整和蓄势。</w:t>
      </w:r>
    </w:p>
    <w:p>
      <w:pPr>
        <w:pStyle w:val="Heading3"/>
      </w:pPr>
      <w:r>
        <w:t>3.1.2 金叉的减弱条件</w:t>
      </w:r>
    </w:p>
    <w:p>
      <w:r>
        <w:rPr>
          <w:rFonts w:ascii="微软雅黑" w:hAnsi="微软雅黑" w:eastAsia="微软雅黑"/>
        </w:rPr>
        <w:t>以下条件的出现则会削弱金叉信号：交叉点成交量萎靡，缺乏资金支撑；交叉角度过于平缓（近似平行）；交叉后价格立即回落至交叉点下方（假金叉）；整体大趋势为空头排列，金叉仅为反弹信号。</w:t>
      </w:r>
    </w:p>
    <w:p>
      <w:pPr>
        <w:pStyle w:val="Heading2"/>
      </w:pPr>
      <w:r>
        <w:t>3.2 死叉（死亡交叉）</w:t>
      </w:r>
    </w:p>
    <w:p>
      <w:r>
        <w:rPr>
          <w:rFonts w:ascii="微软雅黑" w:hAnsi="微软雅黑" w:eastAsia="微软雅黑"/>
        </w:rPr>
        <w:t>死叉是指短期均线从上方向下穿越长期均线，是最经典的空头信号之一。死叉的可靠性判断标准与金叉相似，但方向相反。</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417"/>
            <w:shd w:val="clear" w:color="auto" w:fill="2C3E50"/>
          </w:tcPr>
          <w:p>
            <w:r/>
            <w:r>
              <w:rPr>
                <w:rFonts w:ascii="微软雅黑" w:hAnsi="微软雅黑" w:eastAsia="微软雅黑"/>
                <w:b/>
                <w:color w:val="FFFFFF"/>
                <w:sz w:val="20"/>
              </w:rPr>
              <w:t>死叉类型</w:t>
            </w:r>
          </w:p>
        </w:tc>
        <w:tc>
          <w:tcPr>
            <w:tcW w:type="dxa" w:w="1701"/>
            <w:shd w:val="clear" w:color="auto" w:fill="2C3E50"/>
          </w:tcPr>
          <w:p>
            <w:r/>
            <w:r>
              <w:rPr>
                <w:rFonts w:ascii="微软雅黑" w:hAnsi="微软雅黑" w:eastAsia="微软雅黑"/>
                <w:b/>
                <w:color w:val="FFFFFF"/>
                <w:sz w:val="20"/>
              </w:rPr>
              <w:t>交叉均线</w:t>
            </w:r>
          </w:p>
        </w:tc>
        <w:tc>
          <w:tcPr>
            <w:tcW w:type="dxa" w:w="1984"/>
            <w:shd w:val="clear" w:color="auto" w:fill="2C3E50"/>
          </w:tcPr>
          <w:p>
            <w:r/>
            <w:r>
              <w:rPr>
                <w:rFonts w:ascii="微软雅黑" w:hAnsi="微软雅黑" w:eastAsia="微软雅黑"/>
                <w:b/>
                <w:color w:val="FFFFFF"/>
                <w:sz w:val="20"/>
              </w:rPr>
              <w:t>信号含义</w:t>
            </w:r>
          </w:p>
        </w:tc>
        <w:tc>
          <w:tcPr>
            <w:tcW w:type="dxa" w:w="1984"/>
            <w:shd w:val="clear" w:color="auto" w:fill="2C3E50"/>
          </w:tcPr>
          <w:p>
            <w:r/>
            <w:r>
              <w:rPr>
                <w:rFonts w:ascii="微软雅黑" w:hAnsi="微软雅黑" w:eastAsia="微软雅黑"/>
                <w:b/>
                <w:color w:val="FFFFFF"/>
                <w:sz w:val="20"/>
              </w:rPr>
              <w:t>可靠性</w:t>
            </w:r>
          </w:p>
        </w:tc>
        <w:tc>
          <w:tcPr>
            <w:tcW w:type="dxa" w:w="1417"/>
            <w:shd w:val="clear" w:color="auto" w:fill="2C3E50"/>
          </w:tcPr>
          <w:p>
            <w:r/>
            <w:r>
              <w:rPr>
                <w:rFonts w:ascii="微软雅黑" w:hAnsi="微软雅黑" w:eastAsia="微软雅黑"/>
                <w:b/>
                <w:color w:val="FFFFFF"/>
                <w:sz w:val="20"/>
              </w:rPr>
              <w:t>风险等级</w:t>
            </w:r>
          </w:p>
        </w:tc>
      </w:tr>
      <w:tr>
        <w:tc>
          <w:tcPr>
            <w:tcW w:type="dxa" w:w="1417"/>
            <w:shd w:val="clear" w:color="auto" w:fill="F0F4F8"/>
          </w:tcPr>
          <w:p>
            <w:r/>
            <w:r>
              <w:rPr>
                <w:rFonts w:ascii="微软雅黑" w:hAnsi="微软雅黑" w:eastAsia="微软雅黑"/>
                <w:sz w:val="20"/>
              </w:rPr>
              <w:t>短期死叉</w:t>
            </w:r>
          </w:p>
        </w:tc>
        <w:tc>
          <w:tcPr>
            <w:tcW w:type="dxa" w:w="1701"/>
            <w:shd w:val="clear" w:color="auto" w:fill="F0F4F8"/>
          </w:tcPr>
          <w:p>
            <w:r/>
            <w:r>
              <w:rPr>
                <w:rFonts w:ascii="微软雅黑" w:hAnsi="微软雅黑" w:eastAsia="微软雅黑"/>
                <w:sz w:val="20"/>
              </w:rPr>
              <w:t>MA5下穿MA10</w:t>
            </w:r>
          </w:p>
        </w:tc>
        <w:tc>
          <w:tcPr>
            <w:tcW w:type="dxa" w:w="1984"/>
            <w:shd w:val="clear" w:color="auto" w:fill="F0F4F8"/>
          </w:tcPr>
          <w:p>
            <w:r/>
            <w:r>
              <w:rPr>
                <w:rFonts w:ascii="微软雅黑" w:hAnsi="微软雅黑" w:eastAsia="微软雅黑"/>
                <w:sz w:val="20"/>
              </w:rPr>
              <w:t>短期空头启动</w:t>
            </w:r>
          </w:p>
        </w:tc>
        <w:tc>
          <w:tcPr>
            <w:tcW w:type="dxa" w:w="1984"/>
            <w:shd w:val="clear" w:color="auto" w:fill="F0F4F8"/>
          </w:tcPr>
          <w:p>
            <w:r/>
            <w:r>
              <w:rPr>
                <w:rFonts w:ascii="微软雅黑" w:hAnsi="微软雅黑" w:eastAsia="微软雅黑"/>
                <w:sz w:val="20"/>
              </w:rPr>
              <w:t>中等，可能是洗盘</w:t>
            </w:r>
          </w:p>
        </w:tc>
        <w:tc>
          <w:tcPr>
            <w:tcW w:type="dxa" w:w="1417"/>
            <w:shd w:val="clear" w:color="auto" w:fill="F0F4F8"/>
          </w:tcPr>
          <w:p>
            <w:r/>
            <w:r>
              <w:rPr>
                <w:rFonts w:ascii="微软雅黑" w:hAnsi="微软雅黑" w:eastAsia="微软雅黑"/>
                <w:sz w:val="20"/>
              </w:rPr>
              <w:t>低风险</w:t>
            </w:r>
          </w:p>
        </w:tc>
      </w:tr>
      <w:tr>
        <w:tc>
          <w:tcPr>
            <w:tcW w:type="dxa" w:w="1417"/>
          </w:tcPr>
          <w:p>
            <w:r/>
            <w:r>
              <w:rPr>
                <w:rFonts w:ascii="微软雅黑" w:hAnsi="微软雅黑" w:eastAsia="微软雅黑"/>
                <w:sz w:val="20"/>
              </w:rPr>
              <w:t>中短期死叉</w:t>
            </w:r>
          </w:p>
        </w:tc>
        <w:tc>
          <w:tcPr>
            <w:tcW w:type="dxa" w:w="1701"/>
          </w:tcPr>
          <w:p>
            <w:r/>
            <w:r>
              <w:rPr>
                <w:rFonts w:ascii="微软雅黑" w:hAnsi="微软雅黑" w:eastAsia="微软雅黑"/>
                <w:sz w:val="20"/>
              </w:rPr>
              <w:t>MA10下穿MA20</w:t>
            </w:r>
          </w:p>
        </w:tc>
        <w:tc>
          <w:tcPr>
            <w:tcW w:type="dxa" w:w="1984"/>
          </w:tcPr>
          <w:p>
            <w:r/>
            <w:r>
              <w:rPr>
                <w:rFonts w:ascii="微软雅黑" w:hAnsi="微软雅黑" w:eastAsia="微软雅黑"/>
                <w:sz w:val="20"/>
              </w:rPr>
              <w:t>中短期趋势转空</w:t>
            </w:r>
          </w:p>
        </w:tc>
        <w:tc>
          <w:tcPr>
            <w:tcW w:type="dxa" w:w="1984"/>
          </w:tcPr>
          <w:p>
            <w:r/>
            <w:r>
              <w:rPr>
                <w:rFonts w:ascii="微软雅黑" w:hAnsi="微软雅黑" w:eastAsia="微软雅黑"/>
                <w:sz w:val="20"/>
              </w:rPr>
              <w:t>较高</w:t>
            </w:r>
          </w:p>
        </w:tc>
        <w:tc>
          <w:tcPr>
            <w:tcW w:type="dxa" w:w="1417"/>
          </w:tcPr>
          <w:p>
            <w:r/>
            <w:r>
              <w:rPr>
                <w:rFonts w:ascii="微软雅黑" w:hAnsi="微软雅黑" w:eastAsia="微软雅黑"/>
                <w:sz w:val="20"/>
              </w:rPr>
              <w:t>中低风险</w:t>
            </w:r>
          </w:p>
        </w:tc>
      </w:tr>
      <w:tr>
        <w:tc>
          <w:tcPr>
            <w:tcW w:type="dxa" w:w="1417"/>
            <w:shd w:val="clear" w:color="auto" w:fill="F0F4F8"/>
          </w:tcPr>
          <w:p>
            <w:r/>
            <w:r>
              <w:rPr>
                <w:rFonts w:ascii="微软雅黑" w:hAnsi="微软雅黑" w:eastAsia="微软雅黑"/>
                <w:sz w:val="20"/>
              </w:rPr>
              <w:t>中期死叉</w:t>
            </w:r>
          </w:p>
        </w:tc>
        <w:tc>
          <w:tcPr>
            <w:tcW w:type="dxa" w:w="1701"/>
            <w:shd w:val="clear" w:color="auto" w:fill="F0F4F8"/>
          </w:tcPr>
          <w:p>
            <w:r/>
            <w:r>
              <w:rPr>
                <w:rFonts w:ascii="微软雅黑" w:hAnsi="微软雅黑" w:eastAsia="微软雅黑"/>
                <w:sz w:val="20"/>
              </w:rPr>
              <w:t>MA20下穿MA60</w:t>
            </w:r>
          </w:p>
        </w:tc>
        <w:tc>
          <w:tcPr>
            <w:tcW w:type="dxa" w:w="1984"/>
            <w:shd w:val="clear" w:color="auto" w:fill="F0F4F8"/>
          </w:tcPr>
          <w:p>
            <w:r/>
            <w:r>
              <w:rPr>
                <w:rFonts w:ascii="微软雅黑" w:hAnsi="微软雅黑" w:eastAsia="微软雅黑"/>
                <w:sz w:val="20"/>
              </w:rPr>
              <w:t>中期趋势反转</w:t>
            </w:r>
          </w:p>
        </w:tc>
        <w:tc>
          <w:tcPr>
            <w:tcW w:type="dxa" w:w="1984"/>
            <w:shd w:val="clear" w:color="auto" w:fill="F0F4F8"/>
          </w:tcPr>
          <w:p>
            <w:r/>
            <w:r>
              <w:rPr>
                <w:rFonts w:ascii="微软雅黑" w:hAnsi="微软雅黑" w:eastAsia="微软雅黑"/>
                <w:sz w:val="20"/>
              </w:rPr>
              <w:t>高</w:t>
            </w:r>
          </w:p>
        </w:tc>
        <w:tc>
          <w:tcPr>
            <w:tcW w:type="dxa" w:w="1417"/>
            <w:shd w:val="clear" w:color="auto" w:fill="F0F4F8"/>
          </w:tcPr>
          <w:p>
            <w:r/>
            <w:r>
              <w:rPr>
                <w:rFonts w:ascii="微软雅黑" w:hAnsi="微软雅黑" w:eastAsia="微软雅黑"/>
                <w:sz w:val="20"/>
              </w:rPr>
              <w:t>中等风险</w:t>
            </w:r>
          </w:p>
        </w:tc>
      </w:tr>
      <w:tr>
        <w:tc>
          <w:tcPr>
            <w:tcW w:type="dxa" w:w="1417"/>
          </w:tcPr>
          <w:p>
            <w:r/>
            <w:r>
              <w:rPr>
                <w:rFonts w:ascii="微软雅黑" w:hAnsi="微软雅黑" w:eastAsia="微软雅黑"/>
                <w:sz w:val="20"/>
              </w:rPr>
              <w:t>中长期死叉</w:t>
            </w:r>
          </w:p>
        </w:tc>
        <w:tc>
          <w:tcPr>
            <w:tcW w:type="dxa" w:w="1701"/>
          </w:tcPr>
          <w:p>
            <w:r/>
            <w:r>
              <w:rPr>
                <w:rFonts w:ascii="微软雅黑" w:hAnsi="微软雅黑" w:eastAsia="微软雅黑"/>
                <w:sz w:val="20"/>
              </w:rPr>
              <w:t>MA30下穿MA60</w:t>
            </w:r>
          </w:p>
        </w:tc>
        <w:tc>
          <w:tcPr>
            <w:tcW w:type="dxa" w:w="1984"/>
          </w:tcPr>
          <w:p>
            <w:r/>
            <w:r>
              <w:rPr>
                <w:rFonts w:ascii="微软雅黑" w:hAnsi="微软雅黑" w:eastAsia="微软雅黑"/>
                <w:sz w:val="20"/>
              </w:rPr>
              <w:t>中长期趋势恶化</w:t>
            </w:r>
          </w:p>
        </w:tc>
        <w:tc>
          <w:tcPr>
            <w:tcW w:type="dxa" w:w="1984"/>
          </w:tcPr>
          <w:p>
            <w:r/>
            <w:r>
              <w:rPr>
                <w:rFonts w:ascii="微软雅黑" w:hAnsi="微软雅黑" w:eastAsia="微软雅黑"/>
                <w:sz w:val="20"/>
              </w:rPr>
              <w:t>高</w:t>
            </w:r>
          </w:p>
        </w:tc>
        <w:tc>
          <w:tcPr>
            <w:tcW w:type="dxa" w:w="1417"/>
          </w:tcPr>
          <w:p>
            <w:r/>
            <w:r>
              <w:rPr>
                <w:rFonts w:ascii="微软雅黑" w:hAnsi="微软雅黑" w:eastAsia="微软雅黑"/>
                <w:sz w:val="20"/>
              </w:rPr>
              <w:t>中高风险</w:t>
            </w:r>
          </w:p>
        </w:tc>
      </w:tr>
      <w:tr>
        <w:tc>
          <w:tcPr>
            <w:tcW w:type="dxa" w:w="1417"/>
            <w:shd w:val="clear" w:color="auto" w:fill="F0F4F8"/>
          </w:tcPr>
          <w:p>
            <w:r/>
            <w:r>
              <w:rPr>
                <w:rFonts w:ascii="微软雅黑" w:hAnsi="微软雅黑" w:eastAsia="微软雅黑"/>
                <w:sz w:val="20"/>
              </w:rPr>
              <w:t>长期死叉</w:t>
            </w:r>
          </w:p>
        </w:tc>
        <w:tc>
          <w:tcPr>
            <w:tcW w:type="dxa" w:w="1701"/>
            <w:shd w:val="clear" w:color="auto" w:fill="F0F4F8"/>
          </w:tcPr>
          <w:p>
            <w:r/>
            <w:r>
              <w:rPr>
                <w:rFonts w:ascii="微软雅黑" w:hAnsi="微软雅黑" w:eastAsia="微软雅黑"/>
                <w:sz w:val="20"/>
              </w:rPr>
              <w:t>MA60下穿MA120</w:t>
            </w:r>
          </w:p>
        </w:tc>
        <w:tc>
          <w:tcPr>
            <w:tcW w:type="dxa" w:w="1984"/>
            <w:shd w:val="clear" w:color="auto" w:fill="F0F4F8"/>
          </w:tcPr>
          <w:p>
            <w:r/>
            <w:r>
              <w:rPr>
                <w:rFonts w:ascii="微软雅黑" w:hAnsi="微软雅黑" w:eastAsia="微软雅黑"/>
                <w:sz w:val="20"/>
              </w:rPr>
              <w:t>长期趋势反转</w:t>
            </w:r>
          </w:p>
        </w:tc>
        <w:tc>
          <w:tcPr>
            <w:tcW w:type="dxa" w:w="1984"/>
            <w:shd w:val="clear" w:color="auto" w:fill="F0F4F8"/>
          </w:tcPr>
          <w:p>
            <w:r/>
            <w:r>
              <w:rPr>
                <w:rFonts w:ascii="微软雅黑" w:hAnsi="微软雅黑" w:eastAsia="微软雅黑"/>
                <w:sz w:val="20"/>
              </w:rPr>
              <w:t>很高</w:t>
            </w:r>
          </w:p>
        </w:tc>
        <w:tc>
          <w:tcPr>
            <w:tcW w:type="dxa" w:w="1417"/>
            <w:shd w:val="clear" w:color="auto" w:fill="F0F4F8"/>
          </w:tcPr>
          <w:p>
            <w:r/>
            <w:r>
              <w:rPr>
                <w:rFonts w:ascii="微软雅黑" w:hAnsi="微软雅黑" w:eastAsia="微软雅黑"/>
                <w:sz w:val="20"/>
              </w:rPr>
              <w:t>高风险</w:t>
            </w:r>
          </w:p>
        </w:tc>
      </w:tr>
      <w:tr>
        <w:tc>
          <w:tcPr>
            <w:tcW w:type="dxa" w:w="1417"/>
          </w:tcPr>
          <w:p>
            <w:r/>
            <w:r>
              <w:rPr>
                <w:rFonts w:ascii="微软雅黑" w:hAnsi="微软雅黑" w:eastAsia="微软雅黑"/>
                <w:sz w:val="20"/>
              </w:rPr>
              <w:t>超长期死叉</w:t>
            </w:r>
          </w:p>
        </w:tc>
        <w:tc>
          <w:tcPr>
            <w:tcW w:type="dxa" w:w="1701"/>
          </w:tcPr>
          <w:p>
            <w:r/>
            <w:r>
              <w:rPr>
                <w:rFonts w:ascii="微软雅黑" w:hAnsi="微软雅黑" w:eastAsia="微软雅黑"/>
                <w:sz w:val="20"/>
              </w:rPr>
              <w:t>MA120下穿MA250</w:t>
            </w:r>
          </w:p>
        </w:tc>
        <w:tc>
          <w:tcPr>
            <w:tcW w:type="dxa" w:w="1984"/>
          </w:tcPr>
          <w:p>
            <w:r/>
            <w:r>
              <w:rPr>
                <w:rFonts w:ascii="微软雅黑" w:hAnsi="微软雅黑" w:eastAsia="微软雅黑"/>
                <w:sz w:val="20"/>
              </w:rPr>
              <w:t>熊市确认信号</w:t>
            </w:r>
          </w:p>
        </w:tc>
        <w:tc>
          <w:tcPr>
            <w:tcW w:type="dxa" w:w="1984"/>
          </w:tcPr>
          <w:p>
            <w:r/>
            <w:r>
              <w:rPr>
                <w:rFonts w:ascii="微软雅黑" w:hAnsi="微软雅黑" w:eastAsia="微软雅黑"/>
                <w:sz w:val="20"/>
              </w:rPr>
              <w:t>极高</w:t>
            </w:r>
          </w:p>
        </w:tc>
        <w:tc>
          <w:tcPr>
            <w:tcW w:type="dxa" w:w="1417"/>
          </w:tcPr>
          <w:p>
            <w:r/>
            <w:r>
              <w:rPr>
                <w:rFonts w:ascii="微软雅黑" w:hAnsi="微软雅黑" w:eastAsia="微软雅黑"/>
                <w:sz w:val="20"/>
              </w:rPr>
              <w:t>极高风险</w:t>
            </w:r>
          </w:p>
        </w:tc>
      </w:tr>
    </w:tbl>
    <w:p>
      <w:pPr>
        <w:pStyle w:val="Heading2"/>
      </w:pPr>
      <w:r>
        <w:t>3.3 交叉策略的创新研究</w:t>
      </w:r>
    </w:p>
    <w:p>
      <w:r>
        <w:rPr>
          <w:rFonts w:ascii="微软雅黑" w:hAnsi="微软雅黑" w:eastAsia="微软雅黑"/>
        </w:rPr>
        <w:t>传统金叉/死叉策略存在滞后性问题。创新研究表明，可以通过以下方式优化交叉策略：</w:t>
      </w:r>
    </w:p>
    <w:p>
      <w:r>
        <w:rPr>
          <w:rFonts w:ascii="微软雅黑" w:hAnsi="微软雅黑" w:eastAsia="微软雅黑"/>
        </w:rPr>
        <w:t>预判交叉法：当两条均线的间距持续缩小时，提前预判交叉的形成，在交叉确认前布局，可以减少滞后带来的利润损失。</w:t>
      </w:r>
    </w:p>
    <w:p>
      <w:r>
        <w:rPr>
          <w:rFonts w:ascii="微软雅黑" w:hAnsi="微软雅黑" w:eastAsia="微软雅黑"/>
        </w:rPr>
        <w:t>多重交叉确认法：等待短期、中期均线同时形成金叉或死叉，即"连锁交叉"出现时再行动，可以大幅提高信号的可靠性。</w:t>
      </w:r>
    </w:p>
    <w:p>
      <w:r>
        <w:rPr>
          <w:rFonts w:ascii="微软雅黑" w:hAnsi="微软雅黑" w:eastAsia="微软雅黑"/>
        </w:rPr>
        <w:t>交叉角度过滤法：设定最小交叉角度（如不低于30度），过滤掉角度过于平缓的假交叉信号。</w:t>
      </w:r>
    </w:p>
    <w:p>
      <w:r>
        <w:rPr>
          <w:rFonts w:ascii="微软雅黑" w:hAnsi="微软雅黑" w:eastAsia="微软雅黑"/>
        </w:rPr>
        <w:t>成交量过滤法：要求交叉日成交量达到前5日平均成交量的1.5倍以上，才确认交叉信号有效。</w:t>
      </w:r>
    </w:p>
    <w:p>
      <w:r>
        <w:br w:type="page"/>
      </w:r>
    </w:p>
    <w:p>
      <w:pPr>
        <w:pStyle w:val="Heading1"/>
      </w:pPr>
      <w:r>
        <w:t>第四章  均线排列多空判断</w:t>
      </w:r>
    </w:p>
    <w:p>
      <w:pPr>
        <w:pStyle w:val="Heading2"/>
      </w:pPr>
      <w:r>
        <w:t>4.1 多头排列</w:t>
      </w:r>
    </w:p>
    <w:p>
      <w:r>
        <w:rPr>
          <w:rFonts w:ascii="微软雅黑" w:hAnsi="微软雅黑" w:eastAsia="微软雅黑"/>
        </w:rPr>
        <w:t>多头排列是均线系统中最经典的多头形态，指短期均线在上、中期均线居中、长期均线在下，且所有均线均向上运行的排列状态。</w:t>
      </w:r>
    </w:p>
    <w:p>
      <w:pPr>
        <w:pStyle w:val="Heading3"/>
      </w:pPr>
      <w:r>
        <w:t>4.1.1 标准多头排列的判断条件</w:t>
      </w:r>
    </w:p>
    <w:p>
      <w:r>
        <w:rPr>
          <w:rFonts w:ascii="微软雅黑" w:hAnsi="微软雅黑" w:eastAsia="微软雅黑"/>
        </w:rPr>
        <w:t>完整多头排列要求：MA5 &gt; MA10 &gt; MA20 &gt; MA60 &gt; MA120 &gt; MA250，所有均线方向向上，股价运行于全部均线之上。这是最强势的多头格局，参与的均线条数越多、排列越整齐、间距越大，多头信号越强。</w:t>
      </w:r>
    </w:p>
    <w:p>
      <w:pPr>
        <w:pStyle w:val="Heading3"/>
      </w:pPr>
      <w:r>
        <w:t>4.1.2 多头排列的分级</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984"/>
            <w:shd w:val="clear" w:color="auto" w:fill="2C3E50"/>
          </w:tcPr>
          <w:p>
            <w:r/>
            <w:r>
              <w:rPr>
                <w:rFonts w:ascii="微软雅黑" w:hAnsi="微软雅黑" w:eastAsia="微软雅黑"/>
                <w:b/>
                <w:color w:val="FFFFFF"/>
                <w:sz w:val="20"/>
              </w:rPr>
              <w:t>排列级别</w:t>
            </w:r>
          </w:p>
        </w:tc>
        <w:tc>
          <w:tcPr>
            <w:tcW w:type="dxa" w:w="2835"/>
            <w:shd w:val="clear" w:color="auto" w:fill="2C3E50"/>
          </w:tcPr>
          <w:p>
            <w:r/>
            <w:r>
              <w:rPr>
                <w:rFonts w:ascii="微软雅黑" w:hAnsi="微软雅黑" w:eastAsia="微软雅黑"/>
                <w:b/>
                <w:color w:val="FFFFFF"/>
                <w:sz w:val="20"/>
              </w:rPr>
              <w:t>条件</w:t>
            </w:r>
          </w:p>
        </w:tc>
        <w:tc>
          <w:tcPr>
            <w:tcW w:type="dxa" w:w="1134"/>
            <w:shd w:val="clear" w:color="auto" w:fill="2C3E50"/>
          </w:tcPr>
          <w:p>
            <w:r/>
            <w:r>
              <w:rPr>
                <w:rFonts w:ascii="微软雅黑" w:hAnsi="微软雅黑" w:eastAsia="微软雅黑"/>
                <w:b/>
                <w:color w:val="FFFFFF"/>
                <w:sz w:val="20"/>
              </w:rPr>
              <w:t>信号强度</w:t>
            </w:r>
          </w:p>
        </w:tc>
        <w:tc>
          <w:tcPr>
            <w:tcW w:type="dxa" w:w="2551"/>
            <w:shd w:val="clear" w:color="auto" w:fill="2C3E50"/>
          </w:tcPr>
          <w:p>
            <w:r/>
            <w:r>
              <w:rPr>
                <w:rFonts w:ascii="微软雅黑" w:hAnsi="微软雅黑" w:eastAsia="微软雅黑"/>
                <w:b/>
                <w:color w:val="FFFFFF"/>
                <w:sz w:val="20"/>
              </w:rPr>
              <w:t>操作建议</w:t>
            </w:r>
          </w:p>
        </w:tc>
      </w:tr>
      <w:tr>
        <w:tc>
          <w:tcPr>
            <w:tcW w:type="dxa" w:w="1984"/>
            <w:shd w:val="clear" w:color="auto" w:fill="F0F4F8"/>
          </w:tcPr>
          <w:p>
            <w:r/>
            <w:r>
              <w:rPr>
                <w:rFonts w:ascii="微软雅黑" w:hAnsi="微软雅黑" w:eastAsia="微软雅黑"/>
                <w:sz w:val="20"/>
              </w:rPr>
              <w:t>纯多头排列（最强）</w:t>
            </w:r>
          </w:p>
        </w:tc>
        <w:tc>
          <w:tcPr>
            <w:tcW w:type="dxa" w:w="2835"/>
            <w:shd w:val="clear" w:color="auto" w:fill="F0F4F8"/>
          </w:tcPr>
          <w:p>
            <w:r/>
            <w:r>
              <w:rPr>
                <w:rFonts w:ascii="微软雅黑" w:hAnsi="微软雅黑" w:eastAsia="微软雅黑"/>
                <w:sz w:val="20"/>
              </w:rPr>
              <w:t>MA5&gt;MA10&gt;MA20&gt;MA60&gt;MA120&gt;MA250</w:t>
              <w:br/>
              <w:t>所有均线向上，间距大</w:t>
            </w:r>
          </w:p>
        </w:tc>
        <w:tc>
          <w:tcPr>
            <w:tcW w:type="dxa" w:w="1134"/>
            <w:shd w:val="clear" w:color="auto" w:fill="F0F4F8"/>
          </w:tcPr>
          <w:p>
            <w:r/>
            <w:r>
              <w:rPr>
                <w:rFonts w:ascii="微软雅黑" w:hAnsi="微软雅黑" w:eastAsia="微软雅黑"/>
                <w:sz w:val="20"/>
              </w:rPr>
              <w:t>极强</w:t>
            </w:r>
          </w:p>
        </w:tc>
        <w:tc>
          <w:tcPr>
            <w:tcW w:type="dxa" w:w="2551"/>
            <w:shd w:val="clear" w:color="auto" w:fill="F0F4F8"/>
          </w:tcPr>
          <w:p>
            <w:r/>
            <w:r>
              <w:rPr>
                <w:rFonts w:ascii="微软雅黑" w:hAnsi="微软雅黑" w:eastAsia="微软雅黑"/>
                <w:sz w:val="20"/>
              </w:rPr>
              <w:t>重仓持有，回踩即加仓</w:t>
            </w:r>
          </w:p>
        </w:tc>
      </w:tr>
      <w:tr>
        <w:tc>
          <w:tcPr>
            <w:tcW w:type="dxa" w:w="1984"/>
          </w:tcPr>
          <w:p>
            <w:r/>
            <w:r>
              <w:rPr>
                <w:rFonts w:ascii="微软雅黑" w:hAnsi="微软雅黑" w:eastAsia="微软雅黑"/>
                <w:sz w:val="20"/>
              </w:rPr>
              <w:t>标准多头排列</w:t>
            </w:r>
          </w:p>
        </w:tc>
        <w:tc>
          <w:tcPr>
            <w:tcW w:type="dxa" w:w="2835"/>
          </w:tcPr>
          <w:p>
            <w:r/>
            <w:r>
              <w:rPr>
                <w:rFonts w:ascii="微软雅黑" w:hAnsi="微软雅黑" w:eastAsia="微软雅黑"/>
                <w:sz w:val="20"/>
              </w:rPr>
              <w:t>MA5&gt;MA10&gt;MA20&gt;MA60&gt;MA120</w:t>
              <w:br/>
              <w:t>均线向上</w:t>
            </w:r>
          </w:p>
        </w:tc>
        <w:tc>
          <w:tcPr>
            <w:tcW w:type="dxa" w:w="1134"/>
          </w:tcPr>
          <w:p>
            <w:r/>
            <w:r>
              <w:rPr>
                <w:rFonts w:ascii="微软雅黑" w:hAnsi="微软雅黑" w:eastAsia="微软雅黑"/>
                <w:sz w:val="20"/>
              </w:rPr>
              <w:t>强</w:t>
            </w:r>
          </w:p>
        </w:tc>
        <w:tc>
          <w:tcPr>
            <w:tcW w:type="dxa" w:w="2551"/>
          </w:tcPr>
          <w:p>
            <w:r/>
            <w:r>
              <w:rPr>
                <w:rFonts w:ascii="微软雅黑" w:hAnsi="微软雅黑" w:eastAsia="微软雅黑"/>
                <w:sz w:val="20"/>
              </w:rPr>
              <w:t>持有为主，回踩20日线买入</w:t>
            </w:r>
          </w:p>
        </w:tc>
      </w:tr>
      <w:tr>
        <w:tc>
          <w:tcPr>
            <w:tcW w:type="dxa" w:w="1984"/>
            <w:shd w:val="clear" w:color="auto" w:fill="F0F4F8"/>
          </w:tcPr>
          <w:p>
            <w:r/>
            <w:r>
              <w:rPr>
                <w:rFonts w:ascii="微软雅黑" w:hAnsi="微软雅黑" w:eastAsia="微软雅黑"/>
                <w:sz w:val="20"/>
              </w:rPr>
              <w:t>一般多头排列</w:t>
            </w:r>
          </w:p>
        </w:tc>
        <w:tc>
          <w:tcPr>
            <w:tcW w:type="dxa" w:w="2835"/>
            <w:shd w:val="clear" w:color="auto" w:fill="F0F4F8"/>
          </w:tcPr>
          <w:p>
            <w:r/>
            <w:r>
              <w:rPr>
                <w:rFonts w:ascii="微软雅黑" w:hAnsi="微软雅黑" w:eastAsia="微软雅黑"/>
                <w:sz w:val="20"/>
              </w:rPr>
              <w:t>MA5&gt;MA10&gt;MA20&gt;MA60</w:t>
              <w:br/>
              <w:t>短中期均线向上</w:t>
            </w:r>
          </w:p>
        </w:tc>
        <w:tc>
          <w:tcPr>
            <w:tcW w:type="dxa" w:w="1134"/>
            <w:shd w:val="clear" w:color="auto" w:fill="F0F4F8"/>
          </w:tcPr>
          <w:p>
            <w:r/>
            <w:r>
              <w:rPr>
                <w:rFonts w:ascii="微软雅黑" w:hAnsi="微软雅黑" w:eastAsia="微软雅黑"/>
                <w:sz w:val="20"/>
              </w:rPr>
              <w:t>较强</w:t>
            </w:r>
          </w:p>
        </w:tc>
        <w:tc>
          <w:tcPr>
            <w:tcW w:type="dxa" w:w="2551"/>
            <w:shd w:val="clear" w:color="auto" w:fill="F0F4F8"/>
          </w:tcPr>
          <w:p>
            <w:r/>
            <w:r>
              <w:rPr>
                <w:rFonts w:ascii="微软雅黑" w:hAnsi="微软雅黑" w:eastAsia="微软雅黑"/>
                <w:sz w:val="20"/>
              </w:rPr>
              <w:t>中仓持有，注意60日线支撑</w:t>
            </w:r>
          </w:p>
        </w:tc>
      </w:tr>
      <w:tr>
        <w:tc>
          <w:tcPr>
            <w:tcW w:type="dxa" w:w="1984"/>
          </w:tcPr>
          <w:p>
            <w:r/>
            <w:r>
              <w:rPr>
                <w:rFonts w:ascii="微软雅黑" w:hAnsi="微软雅黑" w:eastAsia="微软雅黑"/>
                <w:sz w:val="20"/>
              </w:rPr>
              <w:t>弱多头排列</w:t>
            </w:r>
          </w:p>
        </w:tc>
        <w:tc>
          <w:tcPr>
            <w:tcW w:type="dxa" w:w="2835"/>
          </w:tcPr>
          <w:p>
            <w:r/>
            <w:r>
              <w:rPr>
                <w:rFonts w:ascii="微软雅黑" w:hAnsi="微软雅黑" w:eastAsia="微软雅黑"/>
                <w:sz w:val="20"/>
              </w:rPr>
              <w:t>MA5&gt;MA10&gt;MA20</w:t>
              <w:br/>
              <w:t>仅短期均线向上</w:t>
            </w:r>
          </w:p>
        </w:tc>
        <w:tc>
          <w:tcPr>
            <w:tcW w:type="dxa" w:w="1134"/>
          </w:tcPr>
          <w:p>
            <w:r/>
            <w:r>
              <w:rPr>
                <w:rFonts w:ascii="微软雅黑" w:hAnsi="微软雅黑" w:eastAsia="微软雅黑"/>
                <w:sz w:val="20"/>
              </w:rPr>
              <w:t>中等</w:t>
            </w:r>
          </w:p>
        </w:tc>
        <w:tc>
          <w:tcPr>
            <w:tcW w:type="dxa" w:w="2551"/>
          </w:tcPr>
          <w:p>
            <w:r/>
            <w:r>
              <w:rPr>
                <w:rFonts w:ascii="微软雅黑" w:hAnsi="微软雅黑" w:eastAsia="微软雅黑"/>
                <w:sz w:val="20"/>
              </w:rPr>
              <w:t>轻仓操作，严格止损</w:t>
            </w:r>
          </w:p>
        </w:tc>
      </w:tr>
    </w:tbl>
    <w:p>
      <w:pPr>
        <w:pStyle w:val="Heading3"/>
      </w:pPr>
      <w:r>
        <w:t>4.1.3 多头排列中的支撑规则</w:t>
      </w:r>
    </w:p>
    <w:p>
      <w:r>
        <w:rPr>
          <w:rFonts w:ascii="微软雅黑" w:hAnsi="微软雅黑" w:eastAsia="微软雅黑"/>
        </w:rPr>
        <w:t>在多头排列中，均线按照从近到远的顺序依次构成不同级别的支撑：MA5和MA10构成第一支撑带，是短线回踩的买入区域；MA20构成第二支撑位，是中线操作的关键支撑；MA60构成第三支撑位，跌破MA60则多头排列面临瓦解风险；MA120和MA250构成终极支撑，跌破则趋势可能反转。</w:t>
      </w:r>
    </w:p>
    <w:p>
      <w:pPr>
        <w:pStyle w:val="Heading2"/>
      </w:pPr>
      <w:r>
        <w:t>4.2 空头排列</w:t>
      </w:r>
    </w:p>
    <w:p>
      <w:r>
        <w:rPr>
          <w:rFonts w:ascii="微软雅黑" w:hAnsi="微软雅黑" w:eastAsia="微软雅黑"/>
        </w:rPr>
        <w:t>空头排列是多头排列的镜像，指长期均线在上、中期均线居中、短期均线在下，且所有均线均向下运行的排列状态。</w:t>
      </w:r>
    </w:p>
    <w:p>
      <w:pPr>
        <w:pStyle w:val="Heading3"/>
      </w:pPr>
      <w:r>
        <w:t>4.2.1 标准空头排列的判断条件</w:t>
      </w:r>
    </w:p>
    <w:p>
      <w:r>
        <w:rPr>
          <w:rFonts w:ascii="微软雅黑" w:hAnsi="微软雅黑" w:eastAsia="微软雅黑"/>
        </w:rPr>
        <w:t>完整空头排列要求：MA250 &gt; MA120 &gt; MA60 &gt; MA20 &gt; MA10 &gt; MA5，所有均线方向向下，股价运行于全部均线之下。这是最弱势的空头格局。</w:t>
      </w:r>
    </w:p>
    <w:p>
      <w:pPr>
        <w:pStyle w:val="Heading3"/>
      </w:pPr>
      <w:r>
        <w:t>4.2.2 空头排列的分级</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984"/>
            <w:shd w:val="clear" w:color="auto" w:fill="2C3E50"/>
          </w:tcPr>
          <w:p>
            <w:r/>
            <w:r>
              <w:rPr>
                <w:rFonts w:ascii="微软雅黑" w:hAnsi="微软雅黑" w:eastAsia="微软雅黑"/>
                <w:b/>
                <w:color w:val="FFFFFF"/>
                <w:sz w:val="20"/>
              </w:rPr>
              <w:t>排列级别</w:t>
            </w:r>
          </w:p>
        </w:tc>
        <w:tc>
          <w:tcPr>
            <w:tcW w:type="dxa" w:w="2835"/>
            <w:shd w:val="clear" w:color="auto" w:fill="2C3E50"/>
          </w:tcPr>
          <w:p>
            <w:r/>
            <w:r>
              <w:rPr>
                <w:rFonts w:ascii="微软雅黑" w:hAnsi="微软雅黑" w:eastAsia="微软雅黑"/>
                <w:b/>
                <w:color w:val="FFFFFF"/>
                <w:sz w:val="20"/>
              </w:rPr>
              <w:t>条件</w:t>
            </w:r>
          </w:p>
        </w:tc>
        <w:tc>
          <w:tcPr>
            <w:tcW w:type="dxa" w:w="1134"/>
            <w:shd w:val="clear" w:color="auto" w:fill="2C3E50"/>
          </w:tcPr>
          <w:p>
            <w:r/>
            <w:r>
              <w:rPr>
                <w:rFonts w:ascii="微软雅黑" w:hAnsi="微软雅黑" w:eastAsia="微软雅黑"/>
                <w:b/>
                <w:color w:val="FFFFFF"/>
                <w:sz w:val="20"/>
              </w:rPr>
              <w:t>信号强度</w:t>
            </w:r>
          </w:p>
        </w:tc>
        <w:tc>
          <w:tcPr>
            <w:tcW w:type="dxa" w:w="2551"/>
            <w:shd w:val="clear" w:color="auto" w:fill="2C3E50"/>
          </w:tcPr>
          <w:p>
            <w:r/>
            <w:r>
              <w:rPr>
                <w:rFonts w:ascii="微软雅黑" w:hAnsi="微软雅黑" w:eastAsia="微软雅黑"/>
                <w:b/>
                <w:color w:val="FFFFFF"/>
                <w:sz w:val="20"/>
              </w:rPr>
              <w:t>操作建议</w:t>
            </w:r>
          </w:p>
        </w:tc>
      </w:tr>
      <w:tr>
        <w:tc>
          <w:tcPr>
            <w:tcW w:type="dxa" w:w="1984"/>
            <w:shd w:val="clear" w:color="auto" w:fill="F0F4F8"/>
          </w:tcPr>
          <w:p>
            <w:r/>
            <w:r>
              <w:rPr>
                <w:rFonts w:ascii="微软雅黑" w:hAnsi="微软雅黑" w:eastAsia="微软雅黑"/>
                <w:sz w:val="20"/>
              </w:rPr>
              <w:t>纯空头排列（最弱）</w:t>
            </w:r>
          </w:p>
        </w:tc>
        <w:tc>
          <w:tcPr>
            <w:tcW w:type="dxa" w:w="2835"/>
            <w:shd w:val="clear" w:color="auto" w:fill="F0F4F8"/>
          </w:tcPr>
          <w:p>
            <w:r/>
            <w:r>
              <w:rPr>
                <w:rFonts w:ascii="微软雅黑" w:hAnsi="微软雅黑" w:eastAsia="微软雅黑"/>
                <w:sz w:val="20"/>
              </w:rPr>
              <w:t>MA250&gt;MA120&gt;MA60&gt;MA20&gt;MA10&gt;MA5</w:t>
              <w:br/>
              <w:t>所有均线向下</w:t>
            </w:r>
          </w:p>
        </w:tc>
        <w:tc>
          <w:tcPr>
            <w:tcW w:type="dxa" w:w="1134"/>
            <w:shd w:val="clear" w:color="auto" w:fill="F0F4F8"/>
          </w:tcPr>
          <w:p>
            <w:r/>
            <w:r>
              <w:rPr>
                <w:rFonts w:ascii="微软雅黑" w:hAnsi="微软雅黑" w:eastAsia="微软雅黑"/>
                <w:sz w:val="20"/>
              </w:rPr>
              <w:t>极弱</w:t>
            </w:r>
          </w:p>
        </w:tc>
        <w:tc>
          <w:tcPr>
            <w:tcW w:type="dxa" w:w="2551"/>
            <w:shd w:val="clear" w:color="auto" w:fill="F0F4F8"/>
          </w:tcPr>
          <w:p>
            <w:r/>
            <w:r>
              <w:rPr>
                <w:rFonts w:ascii="微软雅黑" w:hAnsi="微软雅黑" w:eastAsia="微软雅黑"/>
                <w:sz w:val="20"/>
              </w:rPr>
              <w:t>空仓观望，绝不抄底</w:t>
            </w:r>
          </w:p>
        </w:tc>
      </w:tr>
      <w:tr>
        <w:tc>
          <w:tcPr>
            <w:tcW w:type="dxa" w:w="1984"/>
          </w:tcPr>
          <w:p>
            <w:r/>
            <w:r>
              <w:rPr>
                <w:rFonts w:ascii="微软雅黑" w:hAnsi="微软雅黑" w:eastAsia="微软雅黑"/>
                <w:sz w:val="20"/>
              </w:rPr>
              <w:t>标准空头排列</w:t>
            </w:r>
          </w:p>
        </w:tc>
        <w:tc>
          <w:tcPr>
            <w:tcW w:type="dxa" w:w="2835"/>
          </w:tcPr>
          <w:p>
            <w:r/>
            <w:r>
              <w:rPr>
                <w:rFonts w:ascii="微软雅黑" w:hAnsi="微软雅黑" w:eastAsia="微软雅黑"/>
                <w:sz w:val="20"/>
              </w:rPr>
              <w:t>MA120&gt;MA60&gt;MA20&gt;MA10&gt;MA5</w:t>
              <w:br/>
              <w:t>均线向下</w:t>
            </w:r>
          </w:p>
        </w:tc>
        <w:tc>
          <w:tcPr>
            <w:tcW w:type="dxa" w:w="1134"/>
          </w:tcPr>
          <w:p>
            <w:r/>
            <w:r>
              <w:rPr>
                <w:rFonts w:ascii="微软雅黑" w:hAnsi="微软雅黑" w:eastAsia="微软雅黑"/>
                <w:sz w:val="20"/>
              </w:rPr>
              <w:t>弱</w:t>
            </w:r>
          </w:p>
        </w:tc>
        <w:tc>
          <w:tcPr>
            <w:tcW w:type="dxa" w:w="2551"/>
          </w:tcPr>
          <w:p>
            <w:r/>
            <w:r>
              <w:rPr>
                <w:rFonts w:ascii="微软雅黑" w:hAnsi="微软雅黑" w:eastAsia="微软雅黑"/>
                <w:sz w:val="20"/>
              </w:rPr>
              <w:t>空仓为主，反弹至20日线卖出</w:t>
            </w:r>
          </w:p>
        </w:tc>
      </w:tr>
      <w:tr>
        <w:tc>
          <w:tcPr>
            <w:tcW w:type="dxa" w:w="1984"/>
            <w:shd w:val="clear" w:color="auto" w:fill="F0F4F8"/>
          </w:tcPr>
          <w:p>
            <w:r/>
            <w:r>
              <w:rPr>
                <w:rFonts w:ascii="微软雅黑" w:hAnsi="微软雅黑" w:eastAsia="微软雅黑"/>
                <w:sz w:val="20"/>
              </w:rPr>
              <w:t>一般空头排列</w:t>
            </w:r>
          </w:p>
        </w:tc>
        <w:tc>
          <w:tcPr>
            <w:tcW w:type="dxa" w:w="2835"/>
            <w:shd w:val="clear" w:color="auto" w:fill="F0F4F8"/>
          </w:tcPr>
          <w:p>
            <w:r/>
            <w:r>
              <w:rPr>
                <w:rFonts w:ascii="微软雅黑" w:hAnsi="微软雅黑" w:eastAsia="微软雅黑"/>
                <w:sz w:val="20"/>
              </w:rPr>
              <w:t>MA60&gt;MA20&gt;MA10&gt;MA5</w:t>
              <w:br/>
              <w:t>中短期均线向下</w:t>
            </w:r>
          </w:p>
        </w:tc>
        <w:tc>
          <w:tcPr>
            <w:tcW w:type="dxa" w:w="1134"/>
            <w:shd w:val="clear" w:color="auto" w:fill="F0F4F8"/>
          </w:tcPr>
          <w:p>
            <w:r/>
            <w:r>
              <w:rPr>
                <w:rFonts w:ascii="微软雅黑" w:hAnsi="微软雅黑" w:eastAsia="微软雅黑"/>
                <w:sz w:val="20"/>
              </w:rPr>
              <w:t>较弱</w:t>
            </w:r>
          </w:p>
        </w:tc>
        <w:tc>
          <w:tcPr>
            <w:tcW w:type="dxa" w:w="2551"/>
            <w:shd w:val="clear" w:color="auto" w:fill="F0F4F8"/>
          </w:tcPr>
          <w:p>
            <w:r/>
            <w:r>
              <w:rPr>
                <w:rFonts w:ascii="微软雅黑" w:hAnsi="微软雅黑" w:eastAsia="微软雅黑"/>
                <w:sz w:val="20"/>
              </w:rPr>
              <w:t>轻仓或空仓</w:t>
            </w:r>
          </w:p>
        </w:tc>
      </w:tr>
      <w:tr>
        <w:tc>
          <w:tcPr>
            <w:tcW w:type="dxa" w:w="1984"/>
          </w:tcPr>
          <w:p>
            <w:r/>
            <w:r>
              <w:rPr>
                <w:rFonts w:ascii="微软雅黑" w:hAnsi="微软雅黑" w:eastAsia="微软雅黑"/>
                <w:sz w:val="20"/>
              </w:rPr>
              <w:t>弱空头排列</w:t>
            </w:r>
          </w:p>
        </w:tc>
        <w:tc>
          <w:tcPr>
            <w:tcW w:type="dxa" w:w="2835"/>
          </w:tcPr>
          <w:p>
            <w:r/>
            <w:r>
              <w:rPr>
                <w:rFonts w:ascii="微软雅黑" w:hAnsi="微软雅黑" w:eastAsia="微软雅黑"/>
                <w:sz w:val="20"/>
              </w:rPr>
              <w:t>MA20&gt;MA10&gt;MA5</w:t>
              <w:br/>
              <w:t>仅短期均线向下</w:t>
            </w:r>
          </w:p>
        </w:tc>
        <w:tc>
          <w:tcPr>
            <w:tcW w:type="dxa" w:w="1134"/>
          </w:tcPr>
          <w:p>
            <w:r/>
            <w:r>
              <w:rPr>
                <w:rFonts w:ascii="微软雅黑" w:hAnsi="微软雅黑" w:eastAsia="微软雅黑"/>
                <w:sz w:val="20"/>
              </w:rPr>
              <w:t>中等偏弱</w:t>
            </w:r>
          </w:p>
        </w:tc>
        <w:tc>
          <w:tcPr>
            <w:tcW w:type="dxa" w:w="2551"/>
          </w:tcPr>
          <w:p>
            <w:r/>
            <w:r>
              <w:rPr>
                <w:rFonts w:ascii="微软雅黑" w:hAnsi="微软雅黑" w:eastAsia="微软雅黑"/>
                <w:sz w:val="20"/>
              </w:rPr>
              <w:t>减仓观望，关注变盘信号</w:t>
            </w:r>
          </w:p>
        </w:tc>
      </w:tr>
    </w:tbl>
    <w:p>
      <w:pPr>
        <w:pStyle w:val="Heading3"/>
      </w:pPr>
      <w:r>
        <w:t>4.2.3 空头排列中的阻力规则</w:t>
      </w:r>
    </w:p>
    <w:p>
      <w:r>
        <w:rPr>
          <w:rFonts w:ascii="微软雅黑" w:hAnsi="微软雅黑" w:eastAsia="微软雅黑"/>
        </w:rPr>
        <w:t>在空头排列中，均线按照从近到远的顺序依次构成不同级别的阻力：MA5和MA10构成第一阻力带，是短线反弹的卖出区域；MA20构成第二阻力位，反弹至此通常会遇到较大卖压；MA60构成第三阻力位，能突破MA60则空头排列可能开始瓦解；MA120和MA250构成终极阻力。</w:t>
      </w:r>
    </w:p>
    <w:p>
      <w:pPr>
        <w:pStyle w:val="Heading2"/>
      </w:pPr>
      <w:r>
        <w:t>4.3 均线排列的转化过程</w:t>
      </w:r>
    </w:p>
    <w:p>
      <w:r>
        <w:rPr>
          <w:rFonts w:ascii="微软雅黑" w:hAnsi="微软雅黑" w:eastAsia="微软雅黑"/>
        </w:rPr>
        <w:t>均线排列从空头转向多头（或从多头转向空头）通常经历以下过程：</w:t>
      </w:r>
    </w:p>
    <w:p>
      <w:r>
        <w:rPr>
          <w:rFonts w:ascii="微软雅黑" w:hAnsi="微软雅黑" w:eastAsia="微软雅黑"/>
        </w:rPr>
        <w:t>第一阶段——粘合期：原有排列的均线开始收敛聚拢，间距逐渐缩小，多条均线几乎粘合在一起。这个阶段表明原有趋势正在衰竭，市场处于方向选择的关键期。</w:t>
      </w:r>
    </w:p>
    <w:p>
      <w:r>
        <w:rPr>
          <w:rFonts w:ascii="微软雅黑" w:hAnsi="微软雅黑" w:eastAsia="微软雅黑"/>
        </w:rPr>
        <w:t>第二阶段——交叉期：短期均线率先改变方向，逐一穿越中期和长期均线，形成一系列金叉或死叉。这个阶段是趋势转换的核心过程。</w:t>
      </w:r>
    </w:p>
    <w:p>
      <w:r>
        <w:rPr>
          <w:rFonts w:ascii="微软雅黑" w:hAnsi="微软雅黑" w:eastAsia="微软雅黑"/>
        </w:rPr>
        <w:t>第三阶段——发散期：均线完成新的排列后开始向新的方向发散，间距逐渐扩大。新趋势确立并加速。</w:t>
      </w:r>
    </w:p>
    <w:p>
      <w:r>
        <w:br w:type="page"/>
      </w:r>
    </w:p>
    <w:p>
      <w:pPr>
        <w:pStyle w:val="Heading1"/>
      </w:pPr>
      <w:r>
        <w:t>第五章  均线形态多空信号</w:t>
      </w:r>
    </w:p>
    <w:p>
      <w:pPr>
        <w:pStyle w:val="Heading2"/>
      </w:pPr>
      <w:r>
        <w:t>5.1 多头形态（买入信号）</w:t>
      </w:r>
    </w:p>
    <w:p>
      <w:pPr>
        <w:pStyle w:val="Heading3"/>
      </w:pPr>
      <w:r>
        <w:t>5.1.1 三线开花</w:t>
      </w:r>
    </w:p>
    <w:p>
      <w:r>
        <w:rPr>
          <w:rFonts w:ascii="微软雅黑" w:hAnsi="微软雅黑" w:eastAsia="微软雅黑"/>
        </w:rPr>
        <w:t>三线开花是1250均线系统中最核心的多头形态。定义：20日均线、50日均线、120日均线三线依次由下而上穿越后，形成三条均线同时向上发散展开的形态，犹如花朵绽放。</w:t>
      </w:r>
    </w:p>
    <w:p>
      <w:r>
        <w:rPr>
          <w:rFonts w:ascii="微软雅黑" w:hAnsi="微软雅黑" w:eastAsia="微软雅黑"/>
        </w:rPr>
        <w:t>形成条件：20日均线上穿50日均线形成金叉；随后20日均线继续上穿120日均线；50日均线也上穿120日均线；三线开始同时向上发散。该形态的成功率高达90%以上，是强势股启动的重要标志，往往预示着30%至300%的上涨空间。</w:t>
      </w:r>
    </w:p>
    <w:p>
      <w:pPr>
        <w:pStyle w:val="Heading3"/>
      </w:pPr>
      <w:r>
        <w:t>5.1.2 均线粘合后向上发散</w:t>
      </w:r>
    </w:p>
    <w:p>
      <w:r>
        <w:rPr>
          <w:rFonts w:ascii="微软雅黑" w:hAnsi="微软雅黑" w:eastAsia="微软雅黑"/>
        </w:rPr>
        <w:t>当多条均线（通常是3条以上）在相近位置聚集，间距缩小到5%以内，表示市场处于多空平衡的蓄势状态。当均线粘合后选择向上突破、开始发散时，是强烈的多头信号。粘合时间越长、参与粘合的均线越多，后续突破的力度越大。操作上应在粘合状态下关注，在向上突破确认时果断买入。</w:t>
      </w:r>
    </w:p>
    <w:p>
      <w:pPr>
        <w:pStyle w:val="Heading3"/>
      </w:pPr>
      <w:r>
        <w:t>5.1.3 均线多头首次发散</w:t>
      </w:r>
    </w:p>
    <w:p>
      <w:r>
        <w:rPr>
          <w:rFonts w:ascii="微软雅黑" w:hAnsi="微软雅黑" w:eastAsia="微软雅黑"/>
        </w:rPr>
        <w:t>均线从粘合状态首次向多头方向发散，是新一轮上升趋势的起始点。这是最早的介入机会，风险相对较小。确认条件是短期均线率先上行，中期均线跟随，且成交量配合放大。</w:t>
      </w:r>
    </w:p>
    <w:p>
      <w:pPr>
        <w:pStyle w:val="Heading3"/>
      </w:pPr>
      <w:r>
        <w:t>5.1.4 火车轨形态</w:t>
      </w:r>
    </w:p>
    <w:p>
      <w:r>
        <w:rPr>
          <w:rFonts w:ascii="微软雅黑" w:hAnsi="微软雅黑" w:eastAsia="微软雅黑"/>
        </w:rPr>
        <w:t>火车轨形态是指两条均线（通常是短期和中期均线，如MA20和MA60）保持平行向上运行，股价在两条均线之间来回震荡。这种形态表明上升趋势稳健有序，操作上可在股价接近下轨（较长周期均线）时买入，在接近上轨（较短周期均线上方）时部分获利了结。</w:t>
      </w:r>
    </w:p>
    <w:p>
      <w:pPr>
        <w:pStyle w:val="Heading3"/>
      </w:pPr>
      <w:r>
        <w:t>5.1.5 股价回踩均线不破</w:t>
      </w:r>
    </w:p>
    <w:p>
      <w:r>
        <w:rPr>
          <w:rFonts w:ascii="微软雅黑" w:hAnsi="微软雅黑" w:eastAsia="微软雅黑"/>
        </w:rPr>
        <w:t>在多头排列中，股价从高位回落至某条重要均线（如MA20、MA30、MA60）附近获得支撑后再次上行，是经典的"回踩确认"形态。回踩不破的均线周期越长，后续上涨的可靠性越高。最佳买入点是价格触及均线并出现止跌信号（如下影线、十字星等）时。</w:t>
      </w:r>
    </w:p>
    <w:p>
      <w:pPr>
        <w:pStyle w:val="Heading3"/>
      </w:pPr>
      <w:r>
        <w:t>5.1.6 回头望月</w:t>
      </w:r>
    </w:p>
    <w:p>
      <w:r>
        <w:rPr>
          <w:rFonts w:ascii="微软雅黑" w:hAnsi="微软雅黑" w:eastAsia="微软雅黑"/>
        </w:rPr>
        <w:t>股价向上穿越250日均线后回落，但回落时并未跌破250日均线，随后再次上行。这种形态表明年线支撑有效，中期强势格局确立，通常会迎来更大幅度的上涨。这是250日均线特有的多头确认形态。</w:t>
      </w:r>
    </w:p>
    <w:p>
      <w:pPr>
        <w:pStyle w:val="Heading2"/>
      </w:pPr>
      <w:r>
        <w:t>5.2 空头形态（卖出信号）</w:t>
      </w:r>
    </w:p>
    <w:p>
      <w:pPr>
        <w:pStyle w:val="Heading3"/>
      </w:pPr>
      <w:r>
        <w:t>5.2.1 三线闭合</w:t>
      </w:r>
    </w:p>
    <w:p>
      <w:r>
        <w:rPr>
          <w:rFonts w:ascii="微软雅黑" w:hAnsi="微软雅黑" w:eastAsia="微软雅黑"/>
        </w:rPr>
        <w:t>三线闭合是三线开花的反向形态。当原本发散运行的20日、50日、120日均线开始收敛聚拢，间距缩小到3%以内时，表示上升趋势正在衰竭，主力资金可能正在撤离。操作上应逢高减仓或清仓，不可恋战。</w:t>
      </w:r>
    </w:p>
    <w:p>
      <w:pPr>
        <w:pStyle w:val="Heading3"/>
      </w:pPr>
      <w:r>
        <w:t>5.2.2 均线粘合后向下发散</w:t>
      </w:r>
    </w:p>
    <w:p>
      <w:r>
        <w:rPr>
          <w:rFonts w:ascii="微软雅黑" w:hAnsi="微软雅黑" w:eastAsia="微软雅黑"/>
        </w:rPr>
        <w:t>与向上发散相反，当多条均线粘合后选择向下突破、开始向下发散时，是强烈的空头信号。这意味着多空博弈的结果是空方胜出，后续下跌的空间可能很大。操作上应在向下突破确认时果断卖出离场。</w:t>
      </w:r>
    </w:p>
    <w:p>
      <w:pPr>
        <w:pStyle w:val="Heading3"/>
      </w:pPr>
      <w:r>
        <w:t>5.2.3 均线空头加速发散</w:t>
      </w:r>
    </w:p>
    <w:p>
      <w:r>
        <w:rPr>
          <w:rFonts w:ascii="微软雅黑" w:hAnsi="微软雅黑" w:eastAsia="微软雅黑"/>
        </w:rPr>
        <w:t>空头排列形成后，如果均线间距持续扩大、发散角度持续增大，表明空头趋势正在加速。这个阶段绝不应抄底，应耐心等待均线间距开始收敛、发散角度减小的信号出现。</w:t>
      </w:r>
    </w:p>
    <w:p>
      <w:pPr>
        <w:pStyle w:val="Heading3"/>
      </w:pPr>
      <w:r>
        <w:t>5.2.4 股价反弹至均线受阻</w:t>
      </w:r>
    </w:p>
    <w:p>
      <w:r>
        <w:rPr>
          <w:rFonts w:ascii="微软雅黑" w:hAnsi="微软雅黑" w:eastAsia="微软雅黑"/>
        </w:rPr>
        <w:t>在空头排列中，股价从低位反弹至某条重要均线（如MA20、MA60）附近遭遇阻力后再次下跌，是经典的"反弹确认"空头形态。反弹受阻的均线周期越短，说明空头力量越强。操作上应在价格触及均线并出现滞涨信号时卖出。</w:t>
      </w:r>
    </w:p>
    <w:p>
      <w:pPr>
        <w:pStyle w:val="Heading2"/>
      </w:pPr>
      <w:r>
        <w:t>5.3 特殊形态信号</w:t>
      </w:r>
    </w:p>
    <w:p>
      <w:pPr>
        <w:pStyle w:val="Heading3"/>
      </w:pPr>
      <w:r>
        <w:t>5.3.1 均线金山谷与银山谷</w:t>
      </w:r>
    </w:p>
    <w:p>
      <w:r>
        <w:rPr>
          <w:rFonts w:ascii="微软雅黑" w:hAnsi="微软雅黑" w:eastAsia="微软雅黑"/>
        </w:rPr>
        <w:t>银山谷：短期均线、中期均线、长期均线首次交叉向上形成的封闭三角形区域，为第一次买入信号，可靠性较低，可试探性建仓。金山谷：在银山谷之后出现的第二个三角形区域，由于经过了一次回踩确认，可靠性大大提高，是重要的买入信号。金山谷的位置高于银山谷时，信号更强。</w:t>
      </w:r>
    </w:p>
    <w:p>
      <w:pPr>
        <w:pStyle w:val="Heading3"/>
      </w:pPr>
      <w:r>
        <w:t>5.3.2 均线死亡谷</w:t>
      </w:r>
    </w:p>
    <w:p>
      <w:r>
        <w:rPr>
          <w:rFonts w:ascii="微软雅黑" w:hAnsi="微软雅黑" w:eastAsia="微软雅黑"/>
        </w:rPr>
        <w:t>死亡谷是金山谷的反向形态，短期均线、中期均线、长期均线交叉向下形成封闭三角形区域。这是非常强烈的空头信号，往往预示着大幅下跌的开始。出现死亡谷时应立即清仓离场。</w:t>
      </w:r>
    </w:p>
    <w:p>
      <w:pPr>
        <w:pStyle w:val="Heading3"/>
      </w:pPr>
      <w:r>
        <w:t>5.3.3 贴线上升</w:t>
      </w:r>
    </w:p>
    <w:p>
      <w:r>
        <w:rPr>
          <w:rFonts w:ascii="微软雅黑" w:hAnsi="微软雅黑" w:eastAsia="微软雅黑"/>
        </w:rPr>
        <w:t>股价沿着某条均线（通常是MA5或MA20）紧密贴合上行，回调幅度极小。这是极强势的多头形态，表明持股者惜售、买入力量持续。操作上不应轻易卖出，可沿着贴合的均线设置动态止损。</w:t>
      </w:r>
    </w:p>
    <w:p>
      <w:r>
        <w:br w:type="page"/>
      </w:r>
    </w:p>
    <w:p>
      <w:pPr>
        <w:pStyle w:val="Heading1"/>
      </w:pPr>
      <w:r>
        <w:t>第六章  1250均线系统法则</w:t>
      </w:r>
    </w:p>
    <w:p>
      <w:pPr>
        <w:pStyle w:val="Heading2"/>
      </w:pPr>
      <w:r>
        <w:t>6.1 系统概述</w:t>
      </w:r>
    </w:p>
    <w:p>
      <w:r>
        <w:rPr>
          <w:rFonts w:ascii="微软雅黑" w:hAnsi="微软雅黑" w:eastAsia="微软雅黑"/>
        </w:rPr>
        <w:t>1250均线系统法则是以20日均线、50日均线、120日均线、250日均线四条均线为核心构建的完整交易体系。"1250"并非简单的数字组合，而是代表了从短期到长期的四个关键均线周期，涵盖了从月度到年度的所有重要时间维度。该系统的核心理念是通过四条均线的排列关系和交叉信号，全面判断股票的多空趋势。</w:t>
      </w:r>
    </w:p>
    <w:p>
      <w:pPr>
        <w:pStyle w:val="Heading2"/>
      </w:pPr>
      <w:r>
        <w:t>6.2 四级多空排列标准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val="clear" w:color="auto" w:fill="2C3E50"/>
          </w:tcPr>
          <w:p>
            <w:r/>
            <w:r>
              <w:rPr>
                <w:rFonts w:ascii="微软雅黑" w:hAnsi="微软雅黑" w:eastAsia="微软雅黑"/>
                <w:b/>
                <w:color w:val="FFFFFF"/>
                <w:sz w:val="20"/>
              </w:rPr>
              <w:t>排列状态</w:t>
            </w:r>
          </w:p>
        </w:tc>
        <w:tc>
          <w:tcPr>
            <w:tcW w:type="dxa" w:w="2268"/>
            <w:shd w:val="clear" w:color="auto" w:fill="2C3E50"/>
          </w:tcPr>
          <w:p>
            <w:r/>
            <w:r>
              <w:rPr>
                <w:rFonts w:ascii="微软雅黑" w:hAnsi="微软雅黑" w:eastAsia="微软雅黑"/>
                <w:b/>
                <w:color w:val="FFFFFF"/>
                <w:sz w:val="20"/>
              </w:rPr>
              <w:t>均线关系</w:t>
            </w:r>
          </w:p>
        </w:tc>
        <w:tc>
          <w:tcPr>
            <w:tcW w:type="dxa" w:w="1701"/>
            <w:shd w:val="clear" w:color="auto" w:fill="2C3E50"/>
          </w:tcPr>
          <w:p>
            <w:r/>
            <w:r>
              <w:rPr>
                <w:rFonts w:ascii="微软雅黑" w:hAnsi="微软雅黑" w:eastAsia="微软雅黑"/>
                <w:b/>
                <w:color w:val="FFFFFF"/>
                <w:sz w:val="20"/>
              </w:rPr>
              <w:t>市场含义</w:t>
            </w:r>
          </w:p>
        </w:tc>
        <w:tc>
          <w:tcPr>
            <w:tcW w:type="dxa" w:w="2835"/>
            <w:shd w:val="clear" w:color="auto" w:fill="2C3E50"/>
          </w:tcPr>
          <w:p>
            <w:r/>
            <w:r>
              <w:rPr>
                <w:rFonts w:ascii="微软雅黑" w:hAnsi="微软雅黑" w:eastAsia="微软雅黑"/>
                <w:b/>
                <w:color w:val="FFFFFF"/>
                <w:sz w:val="20"/>
              </w:rPr>
              <w:t>操作策略</w:t>
            </w:r>
          </w:p>
        </w:tc>
      </w:tr>
      <w:tr>
        <w:tc>
          <w:tcPr>
            <w:tcW w:type="dxa" w:w="1701"/>
            <w:shd w:val="clear" w:color="auto" w:fill="F0F4F8"/>
          </w:tcPr>
          <w:p>
            <w:r/>
            <w:r>
              <w:rPr>
                <w:rFonts w:ascii="微软雅黑" w:hAnsi="微软雅黑" w:eastAsia="微软雅黑"/>
                <w:sz w:val="20"/>
              </w:rPr>
              <w:t>纯多头排列</w:t>
            </w:r>
          </w:p>
        </w:tc>
        <w:tc>
          <w:tcPr>
            <w:tcW w:type="dxa" w:w="2268"/>
            <w:shd w:val="clear" w:color="auto" w:fill="F0F4F8"/>
          </w:tcPr>
          <w:p>
            <w:r/>
            <w:r>
              <w:rPr>
                <w:rFonts w:ascii="微软雅黑" w:hAnsi="微软雅黑" w:eastAsia="微软雅黑"/>
                <w:sz w:val="20"/>
              </w:rPr>
              <w:t>20日&gt;50日&gt;120日&gt;250日</w:t>
              <w:br/>
              <w:t>四线向上，间距大</w:t>
            </w:r>
          </w:p>
        </w:tc>
        <w:tc>
          <w:tcPr>
            <w:tcW w:type="dxa" w:w="1701"/>
            <w:shd w:val="clear" w:color="auto" w:fill="F0F4F8"/>
          </w:tcPr>
          <w:p>
            <w:r/>
            <w:r>
              <w:rPr>
                <w:rFonts w:ascii="微软雅黑" w:hAnsi="微软雅黑" w:eastAsia="微软雅黑"/>
                <w:sz w:val="20"/>
              </w:rPr>
              <w:t>最强多头格局</w:t>
            </w:r>
          </w:p>
        </w:tc>
        <w:tc>
          <w:tcPr>
            <w:tcW w:type="dxa" w:w="2835"/>
            <w:shd w:val="clear" w:color="auto" w:fill="F0F4F8"/>
          </w:tcPr>
          <w:p>
            <w:r/>
            <w:r>
              <w:rPr>
                <w:rFonts w:ascii="微软雅黑" w:hAnsi="微软雅黑" w:eastAsia="微软雅黑"/>
                <w:sz w:val="20"/>
              </w:rPr>
              <w:t>重仓持有，回踩买入</w:t>
            </w:r>
          </w:p>
        </w:tc>
      </w:tr>
      <w:tr>
        <w:tc>
          <w:tcPr>
            <w:tcW w:type="dxa" w:w="1701"/>
          </w:tcPr>
          <w:p>
            <w:r/>
            <w:r>
              <w:rPr>
                <w:rFonts w:ascii="微软雅黑" w:hAnsi="微软雅黑" w:eastAsia="微软雅黑"/>
                <w:sz w:val="20"/>
              </w:rPr>
              <w:t>多头排列</w:t>
            </w:r>
          </w:p>
        </w:tc>
        <w:tc>
          <w:tcPr>
            <w:tcW w:type="dxa" w:w="2268"/>
          </w:tcPr>
          <w:p>
            <w:r/>
            <w:r>
              <w:rPr>
                <w:rFonts w:ascii="微软雅黑" w:hAnsi="微软雅黑" w:eastAsia="微软雅黑"/>
                <w:sz w:val="20"/>
              </w:rPr>
              <w:t>20日&gt;50日&gt;120日</w:t>
              <w:br/>
              <w:t>250日位置灵活</w:t>
            </w:r>
          </w:p>
        </w:tc>
        <w:tc>
          <w:tcPr>
            <w:tcW w:type="dxa" w:w="1701"/>
          </w:tcPr>
          <w:p>
            <w:r/>
            <w:r>
              <w:rPr>
                <w:rFonts w:ascii="微软雅黑" w:hAnsi="微软雅黑" w:eastAsia="微软雅黑"/>
                <w:sz w:val="20"/>
              </w:rPr>
              <w:t>标准多头格局</w:t>
            </w:r>
          </w:p>
        </w:tc>
        <w:tc>
          <w:tcPr>
            <w:tcW w:type="dxa" w:w="2835"/>
          </w:tcPr>
          <w:p>
            <w:r/>
            <w:r>
              <w:rPr>
                <w:rFonts w:ascii="微软雅黑" w:hAnsi="微软雅黑" w:eastAsia="微软雅黑"/>
                <w:sz w:val="20"/>
              </w:rPr>
              <w:t>持有为主，回踩50日线买入</w:t>
            </w:r>
          </w:p>
        </w:tc>
      </w:tr>
      <w:tr>
        <w:tc>
          <w:tcPr>
            <w:tcW w:type="dxa" w:w="1701"/>
            <w:shd w:val="clear" w:color="auto" w:fill="F0F4F8"/>
          </w:tcPr>
          <w:p>
            <w:r/>
            <w:r>
              <w:rPr>
                <w:rFonts w:ascii="微软雅黑" w:hAnsi="微软雅黑" w:eastAsia="微软雅黑"/>
                <w:sz w:val="20"/>
              </w:rPr>
              <w:t>弱多头排列</w:t>
            </w:r>
          </w:p>
        </w:tc>
        <w:tc>
          <w:tcPr>
            <w:tcW w:type="dxa" w:w="2268"/>
            <w:shd w:val="clear" w:color="auto" w:fill="F0F4F8"/>
          </w:tcPr>
          <w:p>
            <w:r/>
            <w:r>
              <w:rPr>
                <w:rFonts w:ascii="微软雅黑" w:hAnsi="微软雅黑" w:eastAsia="微软雅黑"/>
                <w:sz w:val="20"/>
              </w:rPr>
              <w:t>20日&gt;50日</w:t>
              <w:br/>
              <w:t>120日方向不明</w:t>
            </w:r>
          </w:p>
        </w:tc>
        <w:tc>
          <w:tcPr>
            <w:tcW w:type="dxa" w:w="1701"/>
            <w:shd w:val="clear" w:color="auto" w:fill="F0F4F8"/>
          </w:tcPr>
          <w:p>
            <w:r/>
            <w:r>
              <w:rPr>
                <w:rFonts w:ascii="微软雅黑" w:hAnsi="微软雅黑" w:eastAsia="微软雅黑"/>
                <w:sz w:val="20"/>
              </w:rPr>
              <w:t>多头力量偏弱</w:t>
            </w:r>
          </w:p>
        </w:tc>
        <w:tc>
          <w:tcPr>
            <w:tcW w:type="dxa" w:w="2835"/>
            <w:shd w:val="clear" w:color="auto" w:fill="F0F4F8"/>
          </w:tcPr>
          <w:p>
            <w:r/>
            <w:r>
              <w:rPr>
                <w:rFonts w:ascii="微软雅黑" w:hAnsi="微软雅黑" w:eastAsia="微软雅黑"/>
                <w:sz w:val="20"/>
              </w:rPr>
              <w:t>轻仓操作，密切关注</w:t>
            </w:r>
          </w:p>
        </w:tc>
      </w:tr>
      <w:tr>
        <w:tc>
          <w:tcPr>
            <w:tcW w:type="dxa" w:w="1701"/>
          </w:tcPr>
          <w:p>
            <w:r/>
            <w:r>
              <w:rPr>
                <w:rFonts w:ascii="微软雅黑" w:hAnsi="微软雅黑" w:eastAsia="微软雅黑"/>
                <w:sz w:val="20"/>
              </w:rPr>
              <w:t>混沌排列</w:t>
            </w:r>
          </w:p>
        </w:tc>
        <w:tc>
          <w:tcPr>
            <w:tcW w:type="dxa" w:w="2268"/>
          </w:tcPr>
          <w:p>
            <w:r/>
            <w:r>
              <w:rPr>
                <w:rFonts w:ascii="微软雅黑" w:hAnsi="微软雅黑" w:eastAsia="微软雅黑"/>
                <w:sz w:val="20"/>
              </w:rPr>
              <w:t>四线交织无序</w:t>
            </w:r>
          </w:p>
        </w:tc>
        <w:tc>
          <w:tcPr>
            <w:tcW w:type="dxa" w:w="1701"/>
          </w:tcPr>
          <w:p>
            <w:r/>
            <w:r>
              <w:rPr>
                <w:rFonts w:ascii="微软雅黑" w:hAnsi="微软雅黑" w:eastAsia="微软雅黑"/>
                <w:sz w:val="20"/>
              </w:rPr>
              <w:t>多空力量平衡</w:t>
            </w:r>
          </w:p>
        </w:tc>
        <w:tc>
          <w:tcPr>
            <w:tcW w:type="dxa" w:w="2835"/>
          </w:tcPr>
          <w:p>
            <w:r/>
            <w:r>
              <w:rPr>
                <w:rFonts w:ascii="微软雅黑" w:hAnsi="微软雅黑" w:eastAsia="微软雅黑"/>
                <w:sz w:val="20"/>
              </w:rPr>
              <w:t>观望等待方向</w:t>
            </w:r>
          </w:p>
        </w:tc>
      </w:tr>
      <w:tr>
        <w:tc>
          <w:tcPr>
            <w:tcW w:type="dxa" w:w="1701"/>
            <w:shd w:val="clear" w:color="auto" w:fill="F0F4F8"/>
          </w:tcPr>
          <w:p>
            <w:r/>
            <w:r>
              <w:rPr>
                <w:rFonts w:ascii="微软雅黑" w:hAnsi="微软雅黑" w:eastAsia="微软雅黑"/>
                <w:sz w:val="20"/>
              </w:rPr>
              <w:t>弱空头排列</w:t>
            </w:r>
          </w:p>
        </w:tc>
        <w:tc>
          <w:tcPr>
            <w:tcW w:type="dxa" w:w="2268"/>
            <w:shd w:val="clear" w:color="auto" w:fill="F0F4F8"/>
          </w:tcPr>
          <w:p>
            <w:r/>
            <w:r>
              <w:rPr>
                <w:rFonts w:ascii="微软雅黑" w:hAnsi="微软雅黑" w:eastAsia="微软雅黑"/>
                <w:sz w:val="20"/>
              </w:rPr>
              <w:t>50日&gt;20日</w:t>
              <w:br/>
              <w:t>120日方向不明</w:t>
            </w:r>
          </w:p>
        </w:tc>
        <w:tc>
          <w:tcPr>
            <w:tcW w:type="dxa" w:w="1701"/>
            <w:shd w:val="clear" w:color="auto" w:fill="F0F4F8"/>
          </w:tcPr>
          <w:p>
            <w:r/>
            <w:r>
              <w:rPr>
                <w:rFonts w:ascii="微软雅黑" w:hAnsi="微软雅黑" w:eastAsia="微软雅黑"/>
                <w:sz w:val="20"/>
              </w:rPr>
              <w:t>空头力量偏弱</w:t>
            </w:r>
          </w:p>
        </w:tc>
        <w:tc>
          <w:tcPr>
            <w:tcW w:type="dxa" w:w="2835"/>
            <w:shd w:val="clear" w:color="auto" w:fill="F0F4F8"/>
          </w:tcPr>
          <w:p>
            <w:r/>
            <w:r>
              <w:rPr>
                <w:rFonts w:ascii="微软雅黑" w:hAnsi="微软雅黑" w:eastAsia="微软雅黑"/>
                <w:sz w:val="20"/>
              </w:rPr>
              <w:t>减仓观望</w:t>
            </w:r>
          </w:p>
        </w:tc>
      </w:tr>
      <w:tr>
        <w:tc>
          <w:tcPr>
            <w:tcW w:type="dxa" w:w="1701"/>
          </w:tcPr>
          <w:p>
            <w:r/>
            <w:r>
              <w:rPr>
                <w:rFonts w:ascii="微软雅黑" w:hAnsi="微软雅黑" w:eastAsia="微软雅黑"/>
                <w:sz w:val="20"/>
              </w:rPr>
              <w:t>空头排列</w:t>
            </w:r>
          </w:p>
        </w:tc>
        <w:tc>
          <w:tcPr>
            <w:tcW w:type="dxa" w:w="2268"/>
          </w:tcPr>
          <w:p>
            <w:r/>
            <w:r>
              <w:rPr>
                <w:rFonts w:ascii="微软雅黑" w:hAnsi="微软雅黑" w:eastAsia="微软雅黑"/>
                <w:sz w:val="20"/>
              </w:rPr>
              <w:t>120日&gt;50日&gt;20日</w:t>
              <w:br/>
              <w:t>250日在最上方</w:t>
            </w:r>
          </w:p>
        </w:tc>
        <w:tc>
          <w:tcPr>
            <w:tcW w:type="dxa" w:w="1701"/>
          </w:tcPr>
          <w:p>
            <w:r/>
            <w:r>
              <w:rPr>
                <w:rFonts w:ascii="微软雅黑" w:hAnsi="微软雅黑" w:eastAsia="微软雅黑"/>
                <w:sz w:val="20"/>
              </w:rPr>
              <w:t>标准空头格局</w:t>
            </w:r>
          </w:p>
        </w:tc>
        <w:tc>
          <w:tcPr>
            <w:tcW w:type="dxa" w:w="2835"/>
          </w:tcPr>
          <w:p>
            <w:r/>
            <w:r>
              <w:rPr>
                <w:rFonts w:ascii="微软雅黑" w:hAnsi="微软雅黑" w:eastAsia="微软雅黑"/>
                <w:sz w:val="20"/>
              </w:rPr>
              <w:t>空仓，反弹卖出</w:t>
            </w:r>
          </w:p>
        </w:tc>
      </w:tr>
      <w:tr>
        <w:tc>
          <w:tcPr>
            <w:tcW w:type="dxa" w:w="1701"/>
            <w:shd w:val="clear" w:color="auto" w:fill="F0F4F8"/>
          </w:tcPr>
          <w:p>
            <w:r/>
            <w:r>
              <w:rPr>
                <w:rFonts w:ascii="微软雅黑" w:hAnsi="微软雅黑" w:eastAsia="微软雅黑"/>
                <w:sz w:val="20"/>
              </w:rPr>
              <w:t>纯空头排列</w:t>
            </w:r>
          </w:p>
        </w:tc>
        <w:tc>
          <w:tcPr>
            <w:tcW w:type="dxa" w:w="2268"/>
            <w:shd w:val="clear" w:color="auto" w:fill="F0F4F8"/>
          </w:tcPr>
          <w:p>
            <w:r/>
            <w:r>
              <w:rPr>
                <w:rFonts w:ascii="微软雅黑" w:hAnsi="微软雅黑" w:eastAsia="微软雅黑"/>
                <w:sz w:val="20"/>
              </w:rPr>
              <w:t>250日&gt;120日&gt;50日&gt;20日</w:t>
              <w:br/>
              <w:t>四线向下，间距大</w:t>
            </w:r>
          </w:p>
        </w:tc>
        <w:tc>
          <w:tcPr>
            <w:tcW w:type="dxa" w:w="1701"/>
            <w:shd w:val="clear" w:color="auto" w:fill="F0F4F8"/>
          </w:tcPr>
          <w:p>
            <w:r/>
            <w:r>
              <w:rPr>
                <w:rFonts w:ascii="微软雅黑" w:hAnsi="微软雅黑" w:eastAsia="微软雅黑"/>
                <w:sz w:val="20"/>
              </w:rPr>
              <w:t>最强空头格局</w:t>
            </w:r>
          </w:p>
        </w:tc>
        <w:tc>
          <w:tcPr>
            <w:tcW w:type="dxa" w:w="2835"/>
            <w:shd w:val="clear" w:color="auto" w:fill="F0F4F8"/>
          </w:tcPr>
          <w:p>
            <w:r/>
            <w:r>
              <w:rPr>
                <w:rFonts w:ascii="微软雅黑" w:hAnsi="微软雅黑" w:eastAsia="微软雅黑"/>
                <w:sz w:val="20"/>
              </w:rPr>
              <w:t>远离市场</w:t>
            </w:r>
          </w:p>
        </w:tc>
      </w:tr>
    </w:tbl>
    <w:p>
      <w:pPr>
        <w:pStyle w:val="Heading2"/>
      </w:pPr>
      <w:r>
        <w:t>6.3 三线开花详细规则</w:t>
      </w:r>
    </w:p>
    <w:p>
      <w:r>
        <w:rPr>
          <w:rFonts w:ascii="微软雅黑" w:hAnsi="微软雅黑" w:eastAsia="微软雅黑"/>
        </w:rPr>
        <w:t>三线开花是1250系统中最具价值的多头信号形态，具体分为以下几种类型：</w:t>
      </w:r>
    </w:p>
    <w:p>
      <w:pPr>
        <w:pStyle w:val="Heading3"/>
      </w:pPr>
      <w:r>
        <w:t>6.3.1 初次三线开花</w:t>
      </w:r>
    </w:p>
    <w:p>
      <w:r>
        <w:rPr>
          <w:rFonts w:ascii="微软雅黑" w:hAnsi="微软雅黑" w:eastAsia="微软雅黑"/>
        </w:rPr>
        <w:t>条件：20日均线首次上穿50日和120日均线，50日均线也上穿120日均线，三线同时开始向上发散。这是新趋势启动的信号，可靠性高，往往出现在长期下跌后的底部反转阶段。操作建议是在三线开花形成时积极买入，止损设在三线开花形态下方。</w:t>
      </w:r>
    </w:p>
    <w:p>
      <w:pPr>
        <w:pStyle w:val="Heading3"/>
      </w:pPr>
      <w:r>
        <w:t>6.3.2 二次三线开花</w:t>
      </w:r>
    </w:p>
    <w:p>
      <w:r>
        <w:rPr>
          <w:rFonts w:ascii="微软雅黑" w:hAnsi="微软雅黑" w:eastAsia="微软雅黑"/>
        </w:rPr>
        <w:t>条件：在首次三线开花后经历回调整理，三线再次粘合后第二次向上开花。这种形态的可靠性比初次更高，因为已经过一次确认。上涨幅度通常也更大。</w:t>
      </w:r>
    </w:p>
    <w:p>
      <w:pPr>
        <w:pStyle w:val="Heading3"/>
      </w:pPr>
      <w:r>
        <w:t>6.3.3 三线开花的失败形态</w:t>
      </w:r>
    </w:p>
    <w:p>
      <w:r>
        <w:rPr>
          <w:rFonts w:ascii="微软雅黑" w:hAnsi="微软雅黑" w:eastAsia="微软雅黑"/>
        </w:rPr>
        <w:t>并非所有三线开花都能成功。失败的特征包括：开花后迅速闭合，三线未能持续发散；开花时成交量萎靡，缺乏资金推动；开花角度过于平缓，上升动力不足。出现这些特征时应及时止损。</w:t>
      </w:r>
    </w:p>
    <w:p>
      <w:pPr>
        <w:pStyle w:val="Heading2"/>
      </w:pPr>
      <w:r>
        <w:t>6.4 1250系统的买卖规则</w:t>
      </w:r>
    </w:p>
    <w:p>
      <w:r>
        <w:rPr>
          <w:rFonts w:ascii="微软雅黑" w:hAnsi="微软雅黑" w:eastAsia="微软雅黑"/>
        </w:rPr>
        <w:t>买入规则：三线开花形成时买入（最佳买点）；股价回踩50日均线不破时买入；股价跌破20日均线但在50日均线处获得支撑时买入；120日均线和250日均线形成金叉时为战略买入点。</w:t>
      </w:r>
    </w:p>
    <w:p>
      <w:r>
        <w:rPr>
          <w:rFonts w:ascii="微软雅黑" w:hAnsi="微软雅黑" w:eastAsia="微软雅黑"/>
        </w:rPr>
        <w:t>卖出规则：三线闭合时卖出（均线间距缩小到3%以内）；股价有效跌破120日均线时卖出；20日均线死叉50日均线时卖出；反向排列开始形成时分批卖出。</w:t>
      </w:r>
    </w:p>
    <w:p>
      <w:r>
        <w:br w:type="page"/>
      </w:r>
    </w:p>
    <w:p>
      <w:pPr>
        <w:pStyle w:val="Heading1"/>
      </w:pPr>
      <w:r>
        <w:t>第七章  大均线系统（MA120/MA250/MA850）</w:t>
      </w:r>
    </w:p>
    <w:p>
      <w:pPr>
        <w:pStyle w:val="Heading2"/>
      </w:pPr>
      <w:r>
        <w:t>7.1 大均线的定义与特殊价值</w:t>
      </w:r>
    </w:p>
    <w:p>
      <w:r>
        <w:rPr>
          <w:rFonts w:ascii="微软雅黑" w:hAnsi="微软雅黑" w:eastAsia="微软雅黑"/>
        </w:rPr>
        <w:t>大均线是指周期在100日以上的长周期移动平均线，主要包括MA120（半年线）、MA250（年线）和MA850（约3.4年线）。大均线的特殊价值在于它反映了更长时间范围内市场参与者的平均持仓成本，其方向变化和支撑/阻力作用远比短期均线更加可靠和有力。</w:t>
      </w:r>
    </w:p>
    <w:p>
      <w:pPr>
        <w:pStyle w:val="Heading2"/>
      </w:pPr>
      <w:r>
        <w:t>7.2 MA120（半年线）多空规则</w:t>
      </w:r>
    </w:p>
    <w:p>
      <w:r>
        <w:rPr>
          <w:rFonts w:ascii="微软雅黑" w:hAnsi="微软雅黑" w:eastAsia="微软雅黑"/>
        </w:rPr>
        <w:t>MA120向上运行：中期看多。股价在MA120上方运行时，说明近半年的买入者整体获利，市场情绪乐观，中期趋势向上。</w:t>
      </w:r>
    </w:p>
    <w:p>
      <w:r>
        <w:rPr>
          <w:rFonts w:ascii="微软雅黑" w:hAnsi="微软雅黑" w:eastAsia="微软雅黑"/>
        </w:rPr>
        <w:t>MA120向下运行：中期看空。股价在MA120下方运行时，说明近半年的买入者整体亏损，市场情绪悲观，中期趋势向下。</w:t>
      </w:r>
    </w:p>
    <w:p>
      <w:r>
        <w:rPr>
          <w:rFonts w:ascii="微软雅黑" w:hAnsi="微软雅黑" w:eastAsia="微软雅黑"/>
        </w:rPr>
        <w:t>股价有效突破MA120：这是中期趋势反转的重要信号。所谓"有效突破"，一般要求股价连续3个交易日站稳在MA120上方，且突破时成交量放大。</w:t>
      </w:r>
    </w:p>
    <w:p>
      <w:r>
        <w:rPr>
          <w:rFonts w:ascii="微软雅黑" w:hAnsi="微软雅黑" w:eastAsia="微软雅黑"/>
        </w:rPr>
        <w:t>股价有效跌破MA120：这是中期趋势走弱的重要信号，应及时减仓或清仓。</w:t>
      </w:r>
    </w:p>
    <w:p>
      <w:pPr>
        <w:pStyle w:val="Heading2"/>
      </w:pPr>
      <w:r>
        <w:t>7.3 MA250（年线）多空规则</w:t>
      </w:r>
    </w:p>
    <w:p>
      <w:r>
        <w:rPr>
          <w:rFonts w:ascii="微软雅黑" w:hAnsi="微软雅黑" w:eastAsia="微软雅黑"/>
        </w:rPr>
        <w:t>MA250被称为"牛熊分界线"，是判断长期趋势最重要的均线之一。</w:t>
      </w:r>
    </w:p>
    <w:p>
      <w:r>
        <w:rPr>
          <w:rFonts w:ascii="微软雅黑" w:hAnsi="微软雅黑" w:eastAsia="微软雅黑"/>
        </w:rPr>
        <w:t>股价在MA250上方运行：长期多头格局，市场处于牛市或牛市的调整阶段。即使出现短期回调，只要不有效跌破MA250，长期趋势依然向好。</w:t>
      </w:r>
    </w:p>
    <w:p>
      <w:r>
        <w:rPr>
          <w:rFonts w:ascii="微软雅黑" w:hAnsi="微软雅黑" w:eastAsia="微软雅黑"/>
        </w:rPr>
        <w:t>股价在MA250下方运行：长期空头格局，市场处于熊市或熊市的反弹阶段。即使出现短期反弹，只要不有效突破MA250，长期趋势依然向下。</w:t>
      </w:r>
    </w:p>
    <w:p>
      <w:r>
        <w:rPr>
          <w:rFonts w:ascii="微软雅黑" w:hAnsi="微软雅黑" w:eastAsia="微软雅黑"/>
        </w:rPr>
        <w:t>MA250的支撑是最强的支撑之一。股价首次回踩MA250获得支撑时，往往是中长期的战略买入点。但若MA250被有效跌破，则变为强力阻力，后续反弹至MA250附近时应果断卖出。</w:t>
      </w:r>
    </w:p>
    <w:p>
      <w:pPr>
        <w:pStyle w:val="Heading2"/>
      </w:pPr>
      <w:r>
        <w:t>7.4 MA850多空预测法</w:t>
      </w:r>
    </w:p>
    <w:p>
      <w:r>
        <w:rPr>
          <w:rFonts w:ascii="微软雅黑" w:hAnsi="微软雅黑" w:eastAsia="微软雅黑"/>
        </w:rPr>
        <w:t>MA850均线系统是洪灝等研究者提出的超长期趋势预测工具。850日约等于3.4年，接近一个完整的基钦周期（库存周期），因此MA850能够较好地反映经济周期的影响。</w:t>
      </w:r>
    </w:p>
    <w:p>
      <w:r>
        <w:rPr>
          <w:rFonts w:ascii="微软雅黑" w:hAnsi="微软雅黑" w:eastAsia="微软雅黑"/>
        </w:rPr>
        <w:t>核心规则如下：</w:t>
      </w:r>
    </w:p>
    <w:p>
      <w:r>
        <w:rPr>
          <w:rFonts w:ascii="微软雅黑" w:hAnsi="微软雅黑" w:eastAsia="微软雅黑"/>
        </w:rPr>
        <w:t>股价在MA850上方运行：超长期上升趋势确立，整体格局向好。即使出现阶段性的大幅回调，只要股价仍在MA850上方，市场的长期方向仍然是向上的。</w:t>
      </w:r>
    </w:p>
    <w:p>
      <w:r>
        <w:rPr>
          <w:rFonts w:ascii="微软雅黑" w:hAnsi="微软雅黑" w:eastAsia="微软雅黑"/>
        </w:rPr>
        <w:t>股价在MA850下方运行：超长期下降趋势确立，整体格局偏弱。即使出现阶段性的大幅反弹，只要股价仍在MA850下方，市场的长期方向仍然是向下的。</w:t>
      </w:r>
    </w:p>
    <w:p>
      <w:r>
        <w:rPr>
          <w:rFonts w:ascii="微软雅黑" w:hAnsi="微软雅黑" w:eastAsia="微软雅黑"/>
        </w:rPr>
        <w:t>股价向上穿越MA850：这是极其重要的长期趋势反转信号，标志着新一轮大牛市的可能开始。历史上每次股价突破MA850后，都迎来了持续多年的上涨行情。</w:t>
      </w:r>
    </w:p>
    <w:p>
      <w:r>
        <w:rPr>
          <w:rFonts w:ascii="微软雅黑" w:hAnsi="微软雅黑" w:eastAsia="微软雅黑"/>
        </w:rPr>
        <w:t>股价向下跌破MA850：这是极其危险的长期趋势反转信号，标志着大熊市的可能开始。</w:t>
      </w:r>
    </w:p>
    <w:p>
      <w:pPr>
        <w:pStyle w:val="Heading2"/>
      </w:pPr>
      <w:r>
        <w:t>7.5 大均线综合应用规则</w:t>
      </w:r>
    </w:p>
    <w:p>
      <w:r>
        <w:rPr>
          <w:rFonts w:ascii="微软雅黑" w:hAnsi="微软雅黑" w:eastAsia="微软雅黑"/>
        </w:rPr>
        <w:t>当MA120、MA250、MA850三条大均线同时向上运行，且股价在三者上方时，市场处于最强势的多头格局，应积极做多。当20日、50日、120日均线全部在250日均线上方时，是综合来看最强的买入信号。当三条大均线同时向下运行，且股价在三者下方时，是最弱势的空头格局，应绝对空仓。</w:t>
      </w:r>
    </w:p>
    <w:p>
      <w:r>
        <w:br w:type="page"/>
      </w:r>
    </w:p>
    <w:p>
      <w:pPr>
        <w:pStyle w:val="Heading1"/>
      </w:pPr>
      <w:r>
        <w:t>第八章  量价配合与均线综合判断</w:t>
      </w:r>
    </w:p>
    <w:p>
      <w:pPr>
        <w:pStyle w:val="Heading2"/>
      </w:pPr>
      <w:r>
        <w:t>8.1 成交量对均线信号的确认作用</w:t>
      </w:r>
    </w:p>
    <w:p>
      <w:r>
        <w:rPr>
          <w:rFonts w:ascii="微软雅黑" w:hAnsi="微软雅黑" w:eastAsia="微软雅黑"/>
        </w:rPr>
        <w:t>均线信号的可靠性很大程度上取决于成交量的配合情况。成交量是市场资金活动的直接体现，是检验均线信号真伪的"试金石"。</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val="clear" w:color="auto" w:fill="2C3E50"/>
          </w:tcPr>
          <w:p>
            <w:r/>
            <w:r>
              <w:rPr>
                <w:rFonts w:ascii="微软雅黑" w:hAnsi="微软雅黑" w:eastAsia="微软雅黑"/>
                <w:b/>
                <w:color w:val="FFFFFF"/>
                <w:sz w:val="20"/>
              </w:rPr>
              <w:t>均线信号</w:t>
            </w:r>
          </w:p>
        </w:tc>
        <w:tc>
          <w:tcPr>
            <w:tcW w:type="dxa" w:w="2268"/>
            <w:shd w:val="clear" w:color="auto" w:fill="2C3E50"/>
          </w:tcPr>
          <w:p>
            <w:r/>
            <w:r>
              <w:rPr>
                <w:rFonts w:ascii="微软雅黑" w:hAnsi="微软雅黑" w:eastAsia="微软雅黑"/>
                <w:b/>
                <w:color w:val="FFFFFF"/>
                <w:sz w:val="20"/>
              </w:rPr>
              <w:t>成交量配合</w:t>
            </w:r>
          </w:p>
        </w:tc>
        <w:tc>
          <w:tcPr>
            <w:tcW w:type="dxa" w:w="1984"/>
            <w:shd w:val="clear" w:color="auto" w:fill="2C3E50"/>
          </w:tcPr>
          <w:p>
            <w:r/>
            <w:r>
              <w:rPr>
                <w:rFonts w:ascii="微软雅黑" w:hAnsi="微软雅黑" w:eastAsia="微软雅黑"/>
                <w:b/>
                <w:color w:val="FFFFFF"/>
                <w:sz w:val="20"/>
              </w:rPr>
              <w:t>信号判断</w:t>
            </w:r>
          </w:p>
        </w:tc>
        <w:tc>
          <w:tcPr>
            <w:tcW w:type="dxa" w:w="2551"/>
            <w:shd w:val="clear" w:color="auto" w:fill="2C3E50"/>
          </w:tcPr>
          <w:p>
            <w:r/>
            <w:r>
              <w:rPr>
                <w:rFonts w:ascii="微软雅黑" w:hAnsi="微软雅黑" w:eastAsia="微软雅黑"/>
                <w:b/>
                <w:color w:val="FFFFFF"/>
                <w:sz w:val="20"/>
              </w:rPr>
              <w:t>操作建议</w:t>
            </w:r>
          </w:p>
        </w:tc>
      </w:tr>
      <w:tr>
        <w:tc>
          <w:tcPr>
            <w:tcW w:type="dxa" w:w="1701"/>
            <w:shd w:val="clear" w:color="auto" w:fill="F0F4F8"/>
          </w:tcPr>
          <w:p>
            <w:r/>
            <w:r>
              <w:rPr>
                <w:rFonts w:ascii="微软雅黑" w:hAnsi="微软雅黑" w:eastAsia="微软雅黑"/>
                <w:sz w:val="20"/>
              </w:rPr>
              <w:t>金叉形成</w:t>
            </w:r>
          </w:p>
        </w:tc>
        <w:tc>
          <w:tcPr>
            <w:tcW w:type="dxa" w:w="2268"/>
            <w:shd w:val="clear" w:color="auto" w:fill="F0F4F8"/>
          </w:tcPr>
          <w:p>
            <w:r/>
            <w:r>
              <w:rPr>
                <w:rFonts w:ascii="微软雅黑" w:hAnsi="微软雅黑" w:eastAsia="微软雅黑"/>
                <w:sz w:val="20"/>
              </w:rPr>
              <w:t>成交量明显放大（&gt;1.5倍均量）</w:t>
            </w:r>
          </w:p>
        </w:tc>
        <w:tc>
          <w:tcPr>
            <w:tcW w:type="dxa" w:w="1984"/>
            <w:shd w:val="clear" w:color="auto" w:fill="F0F4F8"/>
          </w:tcPr>
          <w:p>
            <w:r/>
            <w:r>
              <w:rPr>
                <w:rFonts w:ascii="微软雅黑" w:hAnsi="微软雅黑" w:eastAsia="微软雅黑"/>
                <w:sz w:val="20"/>
              </w:rPr>
              <w:t>有效金叉，信号可靠</w:t>
            </w:r>
          </w:p>
        </w:tc>
        <w:tc>
          <w:tcPr>
            <w:tcW w:type="dxa" w:w="2551"/>
            <w:shd w:val="clear" w:color="auto" w:fill="F0F4F8"/>
          </w:tcPr>
          <w:p>
            <w:r/>
            <w:r>
              <w:rPr>
                <w:rFonts w:ascii="微软雅黑" w:hAnsi="微软雅黑" w:eastAsia="微软雅黑"/>
                <w:sz w:val="20"/>
              </w:rPr>
              <w:t>积极买入</w:t>
            </w:r>
          </w:p>
        </w:tc>
      </w:tr>
      <w:tr>
        <w:tc>
          <w:tcPr>
            <w:tcW w:type="dxa" w:w="1701"/>
          </w:tcPr>
          <w:p>
            <w:r/>
            <w:r>
              <w:rPr>
                <w:rFonts w:ascii="微软雅黑" w:hAnsi="微软雅黑" w:eastAsia="微软雅黑"/>
                <w:sz w:val="20"/>
              </w:rPr>
              <w:t>金叉形成</w:t>
            </w:r>
          </w:p>
        </w:tc>
        <w:tc>
          <w:tcPr>
            <w:tcW w:type="dxa" w:w="2268"/>
          </w:tcPr>
          <w:p>
            <w:r/>
            <w:r>
              <w:rPr>
                <w:rFonts w:ascii="微软雅黑" w:hAnsi="微软雅黑" w:eastAsia="微软雅黑"/>
                <w:sz w:val="20"/>
              </w:rPr>
              <w:t>成交量萎靡</w:t>
            </w:r>
          </w:p>
        </w:tc>
        <w:tc>
          <w:tcPr>
            <w:tcW w:type="dxa" w:w="1984"/>
          </w:tcPr>
          <w:p>
            <w:r/>
            <w:r>
              <w:rPr>
                <w:rFonts w:ascii="微软雅黑" w:hAnsi="微软雅黑" w:eastAsia="微软雅黑"/>
                <w:sz w:val="20"/>
              </w:rPr>
              <w:t>可能是假金叉</w:t>
            </w:r>
          </w:p>
        </w:tc>
        <w:tc>
          <w:tcPr>
            <w:tcW w:type="dxa" w:w="2551"/>
          </w:tcPr>
          <w:p>
            <w:r/>
            <w:r>
              <w:rPr>
                <w:rFonts w:ascii="微软雅黑" w:hAnsi="微软雅黑" w:eastAsia="微软雅黑"/>
                <w:sz w:val="20"/>
              </w:rPr>
              <w:t>观望确认</w:t>
            </w:r>
          </w:p>
        </w:tc>
      </w:tr>
      <w:tr>
        <w:tc>
          <w:tcPr>
            <w:tcW w:type="dxa" w:w="1701"/>
            <w:shd w:val="clear" w:color="auto" w:fill="F0F4F8"/>
          </w:tcPr>
          <w:p>
            <w:r/>
            <w:r>
              <w:rPr>
                <w:rFonts w:ascii="微软雅黑" w:hAnsi="微软雅黑" w:eastAsia="微软雅黑"/>
                <w:sz w:val="20"/>
              </w:rPr>
              <w:t>死叉形成</w:t>
            </w:r>
          </w:p>
        </w:tc>
        <w:tc>
          <w:tcPr>
            <w:tcW w:type="dxa" w:w="2268"/>
            <w:shd w:val="clear" w:color="auto" w:fill="F0F4F8"/>
          </w:tcPr>
          <w:p>
            <w:r/>
            <w:r>
              <w:rPr>
                <w:rFonts w:ascii="微软雅黑" w:hAnsi="微软雅黑" w:eastAsia="微软雅黑"/>
                <w:sz w:val="20"/>
              </w:rPr>
              <w:t>成交量放大</w:t>
            </w:r>
          </w:p>
        </w:tc>
        <w:tc>
          <w:tcPr>
            <w:tcW w:type="dxa" w:w="1984"/>
            <w:shd w:val="clear" w:color="auto" w:fill="F0F4F8"/>
          </w:tcPr>
          <w:p>
            <w:r/>
            <w:r>
              <w:rPr>
                <w:rFonts w:ascii="微软雅黑" w:hAnsi="微软雅黑" w:eastAsia="微软雅黑"/>
                <w:sz w:val="20"/>
              </w:rPr>
              <w:t>有效死叉，信号可靠</w:t>
            </w:r>
          </w:p>
        </w:tc>
        <w:tc>
          <w:tcPr>
            <w:tcW w:type="dxa" w:w="2551"/>
            <w:shd w:val="clear" w:color="auto" w:fill="F0F4F8"/>
          </w:tcPr>
          <w:p>
            <w:r/>
            <w:r>
              <w:rPr>
                <w:rFonts w:ascii="微软雅黑" w:hAnsi="微软雅黑" w:eastAsia="微软雅黑"/>
                <w:sz w:val="20"/>
              </w:rPr>
              <w:t>果断卖出</w:t>
            </w:r>
          </w:p>
        </w:tc>
      </w:tr>
      <w:tr>
        <w:tc>
          <w:tcPr>
            <w:tcW w:type="dxa" w:w="1701"/>
          </w:tcPr>
          <w:p>
            <w:r/>
            <w:r>
              <w:rPr>
                <w:rFonts w:ascii="微软雅黑" w:hAnsi="微软雅黑" w:eastAsia="微软雅黑"/>
                <w:sz w:val="20"/>
              </w:rPr>
              <w:t>死叉形成</w:t>
            </w:r>
          </w:p>
        </w:tc>
        <w:tc>
          <w:tcPr>
            <w:tcW w:type="dxa" w:w="2268"/>
          </w:tcPr>
          <w:p>
            <w:r/>
            <w:r>
              <w:rPr>
                <w:rFonts w:ascii="微软雅黑" w:hAnsi="微软雅黑" w:eastAsia="微软雅黑"/>
                <w:sz w:val="20"/>
              </w:rPr>
              <w:t>成交量萎靡</w:t>
            </w:r>
          </w:p>
        </w:tc>
        <w:tc>
          <w:tcPr>
            <w:tcW w:type="dxa" w:w="1984"/>
          </w:tcPr>
          <w:p>
            <w:r/>
            <w:r>
              <w:rPr>
                <w:rFonts w:ascii="微软雅黑" w:hAnsi="微软雅黑" w:eastAsia="微软雅黑"/>
                <w:sz w:val="20"/>
              </w:rPr>
              <w:t>可能是假死叉（洗盘）</w:t>
            </w:r>
          </w:p>
        </w:tc>
        <w:tc>
          <w:tcPr>
            <w:tcW w:type="dxa" w:w="2551"/>
          </w:tcPr>
          <w:p>
            <w:r/>
            <w:r>
              <w:rPr>
                <w:rFonts w:ascii="微软雅黑" w:hAnsi="微软雅黑" w:eastAsia="微软雅黑"/>
                <w:sz w:val="20"/>
              </w:rPr>
              <w:t>减仓但不清仓</w:t>
            </w:r>
          </w:p>
        </w:tc>
      </w:tr>
      <w:tr>
        <w:tc>
          <w:tcPr>
            <w:tcW w:type="dxa" w:w="1701"/>
            <w:shd w:val="clear" w:color="auto" w:fill="F0F4F8"/>
          </w:tcPr>
          <w:p>
            <w:r/>
            <w:r>
              <w:rPr>
                <w:rFonts w:ascii="微软雅黑" w:hAnsi="微软雅黑" w:eastAsia="微软雅黑"/>
                <w:sz w:val="20"/>
              </w:rPr>
              <w:t>突破均线阻力</w:t>
            </w:r>
          </w:p>
        </w:tc>
        <w:tc>
          <w:tcPr>
            <w:tcW w:type="dxa" w:w="2268"/>
            <w:shd w:val="clear" w:color="auto" w:fill="F0F4F8"/>
          </w:tcPr>
          <w:p>
            <w:r/>
            <w:r>
              <w:rPr>
                <w:rFonts w:ascii="微软雅黑" w:hAnsi="微软雅黑" w:eastAsia="微软雅黑"/>
                <w:sz w:val="20"/>
              </w:rPr>
              <w:t>成交量大幅放大（&gt;2倍均量）</w:t>
            </w:r>
          </w:p>
        </w:tc>
        <w:tc>
          <w:tcPr>
            <w:tcW w:type="dxa" w:w="1984"/>
            <w:shd w:val="clear" w:color="auto" w:fill="F0F4F8"/>
          </w:tcPr>
          <w:p>
            <w:r/>
            <w:r>
              <w:rPr>
                <w:rFonts w:ascii="微软雅黑" w:hAnsi="微软雅黑" w:eastAsia="微软雅黑"/>
                <w:sz w:val="20"/>
              </w:rPr>
              <w:t>有效突破</w:t>
            </w:r>
          </w:p>
        </w:tc>
        <w:tc>
          <w:tcPr>
            <w:tcW w:type="dxa" w:w="2551"/>
            <w:shd w:val="clear" w:color="auto" w:fill="F0F4F8"/>
          </w:tcPr>
          <w:p>
            <w:r/>
            <w:r>
              <w:rPr>
                <w:rFonts w:ascii="微软雅黑" w:hAnsi="微软雅黑" w:eastAsia="微软雅黑"/>
                <w:sz w:val="20"/>
              </w:rPr>
              <w:t>积极买入</w:t>
            </w:r>
          </w:p>
        </w:tc>
      </w:tr>
      <w:tr>
        <w:tc>
          <w:tcPr>
            <w:tcW w:type="dxa" w:w="1701"/>
          </w:tcPr>
          <w:p>
            <w:r/>
            <w:r>
              <w:rPr>
                <w:rFonts w:ascii="微软雅黑" w:hAnsi="微软雅黑" w:eastAsia="微软雅黑"/>
                <w:sz w:val="20"/>
              </w:rPr>
              <w:t>突破均线阻力</w:t>
            </w:r>
          </w:p>
        </w:tc>
        <w:tc>
          <w:tcPr>
            <w:tcW w:type="dxa" w:w="2268"/>
          </w:tcPr>
          <w:p>
            <w:r/>
            <w:r>
              <w:rPr>
                <w:rFonts w:ascii="微软雅黑" w:hAnsi="微软雅黑" w:eastAsia="微软雅黑"/>
                <w:sz w:val="20"/>
              </w:rPr>
              <w:t>成交量未放大</w:t>
            </w:r>
          </w:p>
        </w:tc>
        <w:tc>
          <w:tcPr>
            <w:tcW w:type="dxa" w:w="1984"/>
          </w:tcPr>
          <w:p>
            <w:r/>
            <w:r>
              <w:rPr>
                <w:rFonts w:ascii="微软雅黑" w:hAnsi="微软雅黑" w:eastAsia="微软雅黑"/>
                <w:sz w:val="20"/>
              </w:rPr>
              <w:t>假突破概率大</w:t>
            </w:r>
          </w:p>
        </w:tc>
        <w:tc>
          <w:tcPr>
            <w:tcW w:type="dxa" w:w="2551"/>
          </w:tcPr>
          <w:p>
            <w:r/>
            <w:r>
              <w:rPr>
                <w:rFonts w:ascii="微软雅黑" w:hAnsi="微软雅黑" w:eastAsia="微软雅黑"/>
                <w:sz w:val="20"/>
              </w:rPr>
              <w:t>不追高</w:t>
            </w:r>
          </w:p>
        </w:tc>
      </w:tr>
      <w:tr>
        <w:tc>
          <w:tcPr>
            <w:tcW w:type="dxa" w:w="1701"/>
            <w:shd w:val="clear" w:color="auto" w:fill="F0F4F8"/>
          </w:tcPr>
          <w:p>
            <w:r/>
            <w:r>
              <w:rPr>
                <w:rFonts w:ascii="微软雅黑" w:hAnsi="微软雅黑" w:eastAsia="微软雅黑"/>
                <w:sz w:val="20"/>
              </w:rPr>
              <w:t>跌破均线支撑</w:t>
            </w:r>
          </w:p>
        </w:tc>
        <w:tc>
          <w:tcPr>
            <w:tcW w:type="dxa" w:w="2268"/>
            <w:shd w:val="clear" w:color="auto" w:fill="F0F4F8"/>
          </w:tcPr>
          <w:p>
            <w:r/>
            <w:r>
              <w:rPr>
                <w:rFonts w:ascii="微软雅黑" w:hAnsi="微软雅黑" w:eastAsia="微软雅黑"/>
                <w:sz w:val="20"/>
              </w:rPr>
              <w:t>成交量放大</w:t>
            </w:r>
          </w:p>
        </w:tc>
        <w:tc>
          <w:tcPr>
            <w:tcW w:type="dxa" w:w="1984"/>
            <w:shd w:val="clear" w:color="auto" w:fill="F0F4F8"/>
          </w:tcPr>
          <w:p>
            <w:r/>
            <w:r>
              <w:rPr>
                <w:rFonts w:ascii="微软雅黑" w:hAnsi="微软雅黑" w:eastAsia="微软雅黑"/>
                <w:sz w:val="20"/>
              </w:rPr>
              <w:t>有效跌破</w:t>
            </w:r>
          </w:p>
        </w:tc>
        <w:tc>
          <w:tcPr>
            <w:tcW w:type="dxa" w:w="2551"/>
            <w:shd w:val="clear" w:color="auto" w:fill="F0F4F8"/>
          </w:tcPr>
          <w:p>
            <w:r/>
            <w:r>
              <w:rPr>
                <w:rFonts w:ascii="微软雅黑" w:hAnsi="微软雅黑" w:eastAsia="微软雅黑"/>
                <w:sz w:val="20"/>
              </w:rPr>
              <w:t>止损卖出</w:t>
            </w:r>
          </w:p>
        </w:tc>
      </w:tr>
      <w:tr>
        <w:tc>
          <w:tcPr>
            <w:tcW w:type="dxa" w:w="1701"/>
          </w:tcPr>
          <w:p>
            <w:r/>
            <w:r>
              <w:rPr>
                <w:rFonts w:ascii="微软雅黑" w:hAnsi="微软雅黑" w:eastAsia="微软雅黑"/>
                <w:sz w:val="20"/>
              </w:rPr>
              <w:t>跌破均线支撑</w:t>
            </w:r>
          </w:p>
        </w:tc>
        <w:tc>
          <w:tcPr>
            <w:tcW w:type="dxa" w:w="2268"/>
          </w:tcPr>
          <w:p>
            <w:r/>
            <w:r>
              <w:rPr>
                <w:rFonts w:ascii="微软雅黑" w:hAnsi="微软雅黑" w:eastAsia="微软雅黑"/>
                <w:sz w:val="20"/>
              </w:rPr>
              <w:t>成交量萎缩</w:t>
            </w:r>
          </w:p>
        </w:tc>
        <w:tc>
          <w:tcPr>
            <w:tcW w:type="dxa" w:w="1984"/>
          </w:tcPr>
          <w:p>
            <w:r/>
            <w:r>
              <w:rPr>
                <w:rFonts w:ascii="微软雅黑" w:hAnsi="微软雅黑" w:eastAsia="微软雅黑"/>
                <w:sz w:val="20"/>
              </w:rPr>
              <w:t>可能是假跌破</w:t>
            </w:r>
          </w:p>
        </w:tc>
        <w:tc>
          <w:tcPr>
            <w:tcW w:type="dxa" w:w="2551"/>
          </w:tcPr>
          <w:p>
            <w:r/>
            <w:r>
              <w:rPr>
                <w:rFonts w:ascii="微软雅黑" w:hAnsi="微软雅黑" w:eastAsia="微软雅黑"/>
                <w:sz w:val="20"/>
              </w:rPr>
              <w:t>减仓观察</w:t>
            </w:r>
          </w:p>
        </w:tc>
      </w:tr>
      <w:tr>
        <w:tc>
          <w:tcPr>
            <w:tcW w:type="dxa" w:w="1701"/>
            <w:shd w:val="clear" w:color="auto" w:fill="F0F4F8"/>
          </w:tcPr>
          <w:p>
            <w:r/>
            <w:r>
              <w:rPr>
                <w:rFonts w:ascii="微软雅黑" w:hAnsi="微软雅黑" w:eastAsia="微软雅黑"/>
                <w:sz w:val="20"/>
              </w:rPr>
              <w:t>多头排列运行</w:t>
            </w:r>
          </w:p>
        </w:tc>
        <w:tc>
          <w:tcPr>
            <w:tcW w:type="dxa" w:w="2268"/>
            <w:shd w:val="clear" w:color="auto" w:fill="F0F4F8"/>
          </w:tcPr>
          <w:p>
            <w:r/>
            <w:r>
              <w:rPr>
                <w:rFonts w:ascii="微软雅黑" w:hAnsi="微软雅黑" w:eastAsia="微软雅黑"/>
                <w:sz w:val="20"/>
              </w:rPr>
              <w:t>成交量温和放大</w:t>
            </w:r>
          </w:p>
        </w:tc>
        <w:tc>
          <w:tcPr>
            <w:tcW w:type="dxa" w:w="1984"/>
            <w:shd w:val="clear" w:color="auto" w:fill="F0F4F8"/>
          </w:tcPr>
          <w:p>
            <w:r/>
            <w:r>
              <w:rPr>
                <w:rFonts w:ascii="微软雅黑" w:hAnsi="微软雅黑" w:eastAsia="微软雅黑"/>
                <w:sz w:val="20"/>
              </w:rPr>
              <w:t>趋势健康</w:t>
            </w:r>
          </w:p>
        </w:tc>
        <w:tc>
          <w:tcPr>
            <w:tcW w:type="dxa" w:w="2551"/>
            <w:shd w:val="clear" w:color="auto" w:fill="F0F4F8"/>
          </w:tcPr>
          <w:p>
            <w:r/>
            <w:r>
              <w:rPr>
                <w:rFonts w:ascii="微软雅黑" w:hAnsi="微软雅黑" w:eastAsia="微软雅黑"/>
                <w:sz w:val="20"/>
              </w:rPr>
              <w:t>持有不动</w:t>
            </w:r>
          </w:p>
        </w:tc>
      </w:tr>
      <w:tr>
        <w:tc>
          <w:tcPr>
            <w:tcW w:type="dxa" w:w="1701"/>
          </w:tcPr>
          <w:p>
            <w:r/>
            <w:r>
              <w:rPr>
                <w:rFonts w:ascii="微软雅黑" w:hAnsi="微软雅黑" w:eastAsia="微软雅黑"/>
                <w:sz w:val="20"/>
              </w:rPr>
              <w:t>多头排列运行</w:t>
            </w:r>
          </w:p>
        </w:tc>
        <w:tc>
          <w:tcPr>
            <w:tcW w:type="dxa" w:w="2268"/>
          </w:tcPr>
          <w:p>
            <w:r/>
            <w:r>
              <w:rPr>
                <w:rFonts w:ascii="微软雅黑" w:hAnsi="微软雅黑" w:eastAsia="微软雅黑"/>
                <w:sz w:val="20"/>
              </w:rPr>
              <w:t>成交量急剧萎缩</w:t>
            </w:r>
          </w:p>
        </w:tc>
        <w:tc>
          <w:tcPr>
            <w:tcW w:type="dxa" w:w="1984"/>
          </w:tcPr>
          <w:p>
            <w:r/>
            <w:r>
              <w:rPr>
                <w:rFonts w:ascii="微软雅黑" w:hAnsi="微软雅黑" w:eastAsia="微软雅黑"/>
                <w:sz w:val="20"/>
              </w:rPr>
              <w:t>上涨动力不足</w:t>
            </w:r>
          </w:p>
        </w:tc>
        <w:tc>
          <w:tcPr>
            <w:tcW w:type="dxa" w:w="2551"/>
          </w:tcPr>
          <w:p>
            <w:r/>
            <w:r>
              <w:rPr>
                <w:rFonts w:ascii="微软雅黑" w:hAnsi="微软雅黑" w:eastAsia="微软雅黑"/>
                <w:sz w:val="20"/>
              </w:rPr>
              <w:t>注意风险</w:t>
            </w:r>
          </w:p>
        </w:tc>
      </w:tr>
    </w:tbl>
    <w:p>
      <w:pPr>
        <w:pStyle w:val="Heading2"/>
      </w:pPr>
      <w:r>
        <w:t>8.2 量能与均线的综合判断规则</w:t>
      </w:r>
    </w:p>
    <w:p>
      <w:r>
        <w:rPr>
          <w:rFonts w:ascii="微软雅黑" w:hAnsi="微软雅黑" w:eastAsia="微软雅黑"/>
        </w:rPr>
        <w:t>价升量增 + 多头排列：最健康的上涨形态，趋势可持续。股价上涨伴随成交量同步放大，同时均线系统保持多头排列，表明市场买入意愿强烈，多头力量充沛。</w:t>
      </w:r>
    </w:p>
    <w:p>
      <w:r>
        <w:rPr>
          <w:rFonts w:ascii="微软雅黑" w:hAnsi="微软雅黑" w:eastAsia="微软雅黑"/>
        </w:rPr>
        <w:t>价升量缩 + 多头排列：上涨动力可能不足。虽然均线排列仍为多头，但成交量在上涨过程中反而萎缩，表明追涨意愿减弱，需要警惕趋势可能转向。</w:t>
      </w:r>
    </w:p>
    <w:p>
      <w:r>
        <w:rPr>
          <w:rFonts w:ascii="微软雅黑" w:hAnsi="微软雅黑" w:eastAsia="微软雅黑"/>
        </w:rPr>
        <w:t>价跌量缩 + 多头排列：正常的缩量回踩。在多头排列中，股价回落但成交量同步萎缩，表明卖出压力不大，回踩大概率获得支撑，是较好的买入时机。</w:t>
      </w:r>
    </w:p>
    <w:p>
      <w:r>
        <w:rPr>
          <w:rFonts w:ascii="微软雅黑" w:hAnsi="微软雅黑" w:eastAsia="微软雅黑"/>
        </w:rPr>
        <w:t>价跌量增 + 多头排列：需要高度警惕。股价下跌伴随成交量放大，说明有大资金在出逃，均线系统可能面临从多头转空头的风险。</w:t>
      </w:r>
    </w:p>
    <w:p>
      <w:r>
        <w:rPr>
          <w:rFonts w:ascii="微软雅黑" w:hAnsi="微软雅黑" w:eastAsia="微软雅黑"/>
        </w:rPr>
        <w:t>价跌量增 + 空头排列：最危险的下跌形态，应远离。空头排列本身就表明趋势向下，加上放量下跌说明恐慌性抛售正在发生。</w:t>
      </w:r>
    </w:p>
    <w:p>
      <w:r>
        <w:rPr>
          <w:rFonts w:ascii="微软雅黑" w:hAnsi="微软雅黑" w:eastAsia="微软雅黑"/>
        </w:rPr>
        <w:t>价跌量缩 + 空头排列：阴跌走势，不可抄底。虽然没有恐慌性抛售，但持续的阴跌同样会造成严重亏损。</w:t>
      </w:r>
    </w:p>
    <w:p>
      <w:pPr>
        <w:pStyle w:val="Heading2"/>
      </w:pPr>
      <w:r>
        <w:t>8.3 均线乖离率的应用</w:t>
      </w:r>
    </w:p>
    <w:p>
      <w:r>
        <w:rPr>
          <w:rFonts w:ascii="微软雅黑" w:hAnsi="微软雅黑" w:eastAsia="微软雅黑"/>
        </w:rPr>
        <w:t>乖离率（BIAS）衡量股价偏离均线的程度，计算公式为：BIAS = (股价 - MA) / MA × 100%。乖离率过大意味着股价偏离均线过远，存在向均线回归的内在趋势。</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134"/>
            <w:shd w:val="clear" w:color="auto" w:fill="2C3E50"/>
          </w:tcPr>
          <w:p>
            <w:r/>
            <w:r>
              <w:rPr>
                <w:rFonts w:ascii="微软雅黑" w:hAnsi="微软雅黑" w:eastAsia="微软雅黑"/>
                <w:b/>
                <w:color w:val="FFFFFF"/>
                <w:sz w:val="20"/>
              </w:rPr>
              <w:t>均线</w:t>
            </w:r>
          </w:p>
        </w:tc>
        <w:tc>
          <w:tcPr>
            <w:tcW w:type="dxa" w:w="1984"/>
            <w:shd w:val="clear" w:color="auto" w:fill="2C3E50"/>
          </w:tcPr>
          <w:p>
            <w:r/>
            <w:r>
              <w:rPr>
                <w:rFonts w:ascii="微软雅黑" w:hAnsi="微软雅黑" w:eastAsia="微软雅黑"/>
                <w:b/>
                <w:color w:val="FFFFFF"/>
                <w:sz w:val="20"/>
              </w:rPr>
              <w:t>正乖离率警戒值</w:t>
            </w:r>
          </w:p>
        </w:tc>
        <w:tc>
          <w:tcPr>
            <w:tcW w:type="dxa" w:w="1984"/>
            <w:shd w:val="clear" w:color="auto" w:fill="2C3E50"/>
          </w:tcPr>
          <w:p>
            <w:r/>
            <w:r>
              <w:rPr>
                <w:rFonts w:ascii="微软雅黑" w:hAnsi="微软雅黑" w:eastAsia="微软雅黑"/>
                <w:b/>
                <w:color w:val="FFFFFF"/>
                <w:sz w:val="20"/>
              </w:rPr>
              <w:t>负乖离率警戒值</w:t>
            </w:r>
          </w:p>
        </w:tc>
        <w:tc>
          <w:tcPr>
            <w:tcW w:type="dxa" w:w="3402"/>
            <w:shd w:val="clear" w:color="auto" w:fill="2C3E50"/>
          </w:tcPr>
          <w:p>
            <w:r/>
            <w:r>
              <w:rPr>
                <w:rFonts w:ascii="微软雅黑" w:hAnsi="微软雅黑" w:eastAsia="微软雅黑"/>
                <w:b/>
                <w:color w:val="FFFFFF"/>
                <w:sz w:val="20"/>
              </w:rPr>
              <w:t>操作含义</w:t>
            </w:r>
          </w:p>
        </w:tc>
      </w:tr>
      <w:tr>
        <w:tc>
          <w:tcPr>
            <w:tcW w:type="dxa" w:w="1134"/>
            <w:shd w:val="clear" w:color="auto" w:fill="F0F4F8"/>
          </w:tcPr>
          <w:p>
            <w:r/>
            <w:r>
              <w:rPr>
                <w:rFonts w:ascii="微软雅黑" w:hAnsi="微软雅黑" w:eastAsia="微软雅黑"/>
                <w:sz w:val="20"/>
              </w:rPr>
              <w:t>MA5</w:t>
            </w:r>
          </w:p>
        </w:tc>
        <w:tc>
          <w:tcPr>
            <w:tcW w:type="dxa" w:w="1984"/>
            <w:shd w:val="clear" w:color="auto" w:fill="F0F4F8"/>
          </w:tcPr>
          <w:p>
            <w:r/>
            <w:r>
              <w:rPr>
                <w:rFonts w:ascii="微软雅黑" w:hAnsi="微软雅黑" w:eastAsia="微软雅黑"/>
                <w:sz w:val="20"/>
              </w:rPr>
              <w:t>+5%以上</w:t>
            </w:r>
          </w:p>
        </w:tc>
        <w:tc>
          <w:tcPr>
            <w:tcW w:type="dxa" w:w="1984"/>
            <w:shd w:val="clear" w:color="auto" w:fill="F0F4F8"/>
          </w:tcPr>
          <w:p>
            <w:r/>
            <w:r>
              <w:rPr>
                <w:rFonts w:ascii="微软雅黑" w:hAnsi="微软雅黑" w:eastAsia="微软雅黑"/>
                <w:sz w:val="20"/>
              </w:rPr>
              <w:t>-5%以下</w:t>
            </w:r>
          </w:p>
        </w:tc>
        <w:tc>
          <w:tcPr>
            <w:tcW w:type="dxa" w:w="3402"/>
            <w:shd w:val="clear" w:color="auto" w:fill="F0F4F8"/>
          </w:tcPr>
          <w:p>
            <w:r/>
            <w:r>
              <w:rPr>
                <w:rFonts w:ascii="微软雅黑" w:hAnsi="微软雅黑" w:eastAsia="微软雅黑"/>
                <w:sz w:val="20"/>
              </w:rPr>
              <w:t>短线超买/超卖，注意短期回调/反弹</w:t>
            </w:r>
          </w:p>
        </w:tc>
      </w:tr>
      <w:tr>
        <w:tc>
          <w:tcPr>
            <w:tcW w:type="dxa" w:w="1134"/>
          </w:tcPr>
          <w:p>
            <w:r/>
            <w:r>
              <w:rPr>
                <w:rFonts w:ascii="微软雅黑" w:hAnsi="微软雅黑" w:eastAsia="微软雅黑"/>
                <w:sz w:val="20"/>
              </w:rPr>
              <w:t>MA10</w:t>
            </w:r>
          </w:p>
        </w:tc>
        <w:tc>
          <w:tcPr>
            <w:tcW w:type="dxa" w:w="1984"/>
          </w:tcPr>
          <w:p>
            <w:r/>
            <w:r>
              <w:rPr>
                <w:rFonts w:ascii="微软雅黑" w:hAnsi="微软雅黑" w:eastAsia="微软雅黑"/>
                <w:sz w:val="20"/>
              </w:rPr>
              <w:t>+8%以上</w:t>
            </w:r>
          </w:p>
        </w:tc>
        <w:tc>
          <w:tcPr>
            <w:tcW w:type="dxa" w:w="1984"/>
          </w:tcPr>
          <w:p>
            <w:r/>
            <w:r>
              <w:rPr>
                <w:rFonts w:ascii="微软雅黑" w:hAnsi="微软雅黑" w:eastAsia="微软雅黑"/>
                <w:sz w:val="20"/>
              </w:rPr>
              <w:t>-8%以下</w:t>
            </w:r>
          </w:p>
        </w:tc>
        <w:tc>
          <w:tcPr>
            <w:tcW w:type="dxa" w:w="3402"/>
          </w:tcPr>
          <w:p>
            <w:r/>
            <w:r>
              <w:rPr>
                <w:rFonts w:ascii="微软雅黑" w:hAnsi="微软雅黑" w:eastAsia="微软雅黑"/>
                <w:sz w:val="20"/>
              </w:rPr>
              <w:t>短线严重超买/超卖</w:t>
            </w:r>
          </w:p>
        </w:tc>
      </w:tr>
      <w:tr>
        <w:tc>
          <w:tcPr>
            <w:tcW w:type="dxa" w:w="1134"/>
            <w:shd w:val="clear" w:color="auto" w:fill="F0F4F8"/>
          </w:tcPr>
          <w:p>
            <w:r/>
            <w:r>
              <w:rPr>
                <w:rFonts w:ascii="微软雅黑" w:hAnsi="微软雅黑" w:eastAsia="微软雅黑"/>
                <w:sz w:val="20"/>
              </w:rPr>
              <w:t>MA20</w:t>
            </w:r>
          </w:p>
        </w:tc>
        <w:tc>
          <w:tcPr>
            <w:tcW w:type="dxa" w:w="1984"/>
            <w:shd w:val="clear" w:color="auto" w:fill="F0F4F8"/>
          </w:tcPr>
          <w:p>
            <w:r/>
            <w:r>
              <w:rPr>
                <w:rFonts w:ascii="微软雅黑" w:hAnsi="微软雅黑" w:eastAsia="微软雅黑"/>
                <w:sz w:val="20"/>
              </w:rPr>
              <w:t>+10%以上</w:t>
            </w:r>
          </w:p>
        </w:tc>
        <w:tc>
          <w:tcPr>
            <w:tcW w:type="dxa" w:w="1984"/>
            <w:shd w:val="clear" w:color="auto" w:fill="F0F4F8"/>
          </w:tcPr>
          <w:p>
            <w:r/>
            <w:r>
              <w:rPr>
                <w:rFonts w:ascii="微软雅黑" w:hAnsi="微软雅黑" w:eastAsia="微软雅黑"/>
                <w:sz w:val="20"/>
              </w:rPr>
              <w:t>-10%以下</w:t>
            </w:r>
          </w:p>
        </w:tc>
        <w:tc>
          <w:tcPr>
            <w:tcW w:type="dxa" w:w="3402"/>
            <w:shd w:val="clear" w:color="auto" w:fill="F0F4F8"/>
          </w:tcPr>
          <w:p>
            <w:r/>
            <w:r>
              <w:rPr>
                <w:rFonts w:ascii="微软雅黑" w:hAnsi="微软雅黑" w:eastAsia="微软雅黑"/>
                <w:sz w:val="20"/>
              </w:rPr>
              <w:t>中短线超买/超卖，考虑减仓/建仓</w:t>
            </w:r>
          </w:p>
        </w:tc>
      </w:tr>
      <w:tr>
        <w:tc>
          <w:tcPr>
            <w:tcW w:type="dxa" w:w="1134"/>
          </w:tcPr>
          <w:p>
            <w:r/>
            <w:r>
              <w:rPr>
                <w:rFonts w:ascii="微软雅黑" w:hAnsi="微软雅黑" w:eastAsia="微软雅黑"/>
                <w:sz w:val="20"/>
              </w:rPr>
              <w:t>MA60</w:t>
            </w:r>
          </w:p>
        </w:tc>
        <w:tc>
          <w:tcPr>
            <w:tcW w:type="dxa" w:w="1984"/>
          </w:tcPr>
          <w:p>
            <w:r/>
            <w:r>
              <w:rPr>
                <w:rFonts w:ascii="微软雅黑" w:hAnsi="微软雅黑" w:eastAsia="微软雅黑"/>
                <w:sz w:val="20"/>
              </w:rPr>
              <w:t>+15%以上</w:t>
            </w:r>
          </w:p>
        </w:tc>
        <w:tc>
          <w:tcPr>
            <w:tcW w:type="dxa" w:w="1984"/>
          </w:tcPr>
          <w:p>
            <w:r/>
            <w:r>
              <w:rPr>
                <w:rFonts w:ascii="微软雅黑" w:hAnsi="微软雅黑" w:eastAsia="微软雅黑"/>
                <w:sz w:val="20"/>
              </w:rPr>
              <w:t>-15%以下</w:t>
            </w:r>
          </w:p>
        </w:tc>
        <w:tc>
          <w:tcPr>
            <w:tcW w:type="dxa" w:w="3402"/>
          </w:tcPr>
          <w:p>
            <w:r/>
            <w:r>
              <w:rPr>
                <w:rFonts w:ascii="微软雅黑" w:hAnsi="微软雅黑" w:eastAsia="微软雅黑"/>
                <w:sz w:val="20"/>
              </w:rPr>
              <w:t>中线超买/超卖，重要的减仓/买入信号</w:t>
            </w:r>
          </w:p>
        </w:tc>
      </w:tr>
      <w:tr>
        <w:tc>
          <w:tcPr>
            <w:tcW w:type="dxa" w:w="1134"/>
            <w:shd w:val="clear" w:color="auto" w:fill="F0F4F8"/>
          </w:tcPr>
          <w:p>
            <w:r/>
            <w:r>
              <w:rPr>
                <w:rFonts w:ascii="微软雅黑" w:hAnsi="微软雅黑" w:eastAsia="微软雅黑"/>
                <w:sz w:val="20"/>
              </w:rPr>
              <w:t>MA120</w:t>
            </w:r>
          </w:p>
        </w:tc>
        <w:tc>
          <w:tcPr>
            <w:tcW w:type="dxa" w:w="1984"/>
            <w:shd w:val="clear" w:color="auto" w:fill="F0F4F8"/>
          </w:tcPr>
          <w:p>
            <w:r/>
            <w:r>
              <w:rPr>
                <w:rFonts w:ascii="微软雅黑" w:hAnsi="微软雅黑" w:eastAsia="微软雅黑"/>
                <w:sz w:val="20"/>
              </w:rPr>
              <w:t>+25%以上</w:t>
            </w:r>
          </w:p>
        </w:tc>
        <w:tc>
          <w:tcPr>
            <w:tcW w:type="dxa" w:w="1984"/>
            <w:shd w:val="clear" w:color="auto" w:fill="F0F4F8"/>
          </w:tcPr>
          <w:p>
            <w:r/>
            <w:r>
              <w:rPr>
                <w:rFonts w:ascii="微软雅黑" w:hAnsi="微软雅黑" w:eastAsia="微软雅黑"/>
                <w:sz w:val="20"/>
              </w:rPr>
              <w:t>-25%以下</w:t>
            </w:r>
          </w:p>
        </w:tc>
        <w:tc>
          <w:tcPr>
            <w:tcW w:type="dxa" w:w="3402"/>
            <w:shd w:val="clear" w:color="auto" w:fill="F0F4F8"/>
          </w:tcPr>
          <w:p>
            <w:r/>
            <w:r>
              <w:rPr>
                <w:rFonts w:ascii="微软雅黑" w:hAnsi="微软雅黑" w:eastAsia="微软雅黑"/>
                <w:sz w:val="20"/>
              </w:rPr>
              <w:t>中长线超买/超卖，战略性卖出/买入</w:t>
            </w:r>
          </w:p>
        </w:tc>
      </w:tr>
      <w:tr>
        <w:tc>
          <w:tcPr>
            <w:tcW w:type="dxa" w:w="1134"/>
          </w:tcPr>
          <w:p>
            <w:r/>
            <w:r>
              <w:rPr>
                <w:rFonts w:ascii="微软雅黑" w:hAnsi="微软雅黑" w:eastAsia="微软雅黑"/>
                <w:sz w:val="20"/>
              </w:rPr>
              <w:t>MA250</w:t>
            </w:r>
          </w:p>
        </w:tc>
        <w:tc>
          <w:tcPr>
            <w:tcW w:type="dxa" w:w="1984"/>
          </w:tcPr>
          <w:p>
            <w:r/>
            <w:r>
              <w:rPr>
                <w:rFonts w:ascii="微软雅黑" w:hAnsi="微软雅黑" w:eastAsia="微软雅黑"/>
                <w:sz w:val="20"/>
              </w:rPr>
              <w:t>+30%以上</w:t>
            </w:r>
          </w:p>
        </w:tc>
        <w:tc>
          <w:tcPr>
            <w:tcW w:type="dxa" w:w="1984"/>
          </w:tcPr>
          <w:p>
            <w:r/>
            <w:r>
              <w:rPr>
                <w:rFonts w:ascii="微软雅黑" w:hAnsi="微软雅黑" w:eastAsia="微软雅黑"/>
                <w:sz w:val="20"/>
              </w:rPr>
              <w:t>-30%以下</w:t>
            </w:r>
          </w:p>
        </w:tc>
        <w:tc>
          <w:tcPr>
            <w:tcW w:type="dxa" w:w="3402"/>
          </w:tcPr>
          <w:p>
            <w:r/>
            <w:r>
              <w:rPr>
                <w:rFonts w:ascii="微软雅黑" w:hAnsi="微软雅黑" w:eastAsia="微软雅黑"/>
                <w:sz w:val="20"/>
              </w:rPr>
              <w:t>长线极端超买/超卖，极罕见的交易机会</w:t>
            </w:r>
          </w:p>
        </w:tc>
      </w:tr>
    </w:tbl>
    <w:p>
      <w:r>
        <w:br w:type="page"/>
      </w:r>
    </w:p>
    <w:p>
      <w:pPr>
        <w:pStyle w:val="Heading1"/>
      </w:pPr>
      <w:r>
        <w:t>第九章  实战买卖点规则汇总</w:t>
      </w:r>
    </w:p>
    <w:p>
      <w:pPr>
        <w:pStyle w:val="Heading2"/>
      </w:pPr>
      <w:r>
        <w:t>9.1 买入规则汇总（由强到弱排列）</w:t>
      </w:r>
    </w:p>
    <w:p>
      <w:pPr>
        <w:pStyle w:val="Heading3"/>
      </w:pPr>
      <w:r>
        <w:t>9.1.1 最强买入信号</w:t>
      </w:r>
    </w:p>
    <w:p>
      <w:r>
        <w:rPr>
          <w:rFonts w:ascii="微软雅黑" w:hAnsi="微软雅黑" w:eastAsia="微软雅黑"/>
        </w:rPr>
        <w:t>信号一：完整多头排列 + 股价回踩MA20获支撑 + 成交量温和放大。这是最可靠的买入信号，成功率极高。条件要求MA5&gt;MA10&gt;MA20&gt;MA60&gt;MA120均向上，股价回踩MA20止跌，且成交量在支撑位温和放大。</w:t>
      </w:r>
    </w:p>
    <w:p>
      <w:r>
        <w:rPr>
          <w:rFonts w:ascii="微软雅黑" w:hAnsi="微软雅黑" w:eastAsia="微软雅黑"/>
        </w:rPr>
        <w:t>信号二：多条均线金叉同时出现（连锁金叉）。当MA10与MA20金叉的同时MA20与MA60也在金叉，意味着多个时间维度同时转向多头，信号极为可靠。</w:t>
      </w:r>
    </w:p>
    <w:p>
      <w:r>
        <w:rPr>
          <w:rFonts w:ascii="微软雅黑" w:hAnsi="微软雅黑" w:eastAsia="微软雅黑"/>
        </w:rPr>
        <w:t>信号三：三线开花形成。20日、50日、120日均线完成三线开花形态，成功率在90%以上，历史回测显示可获30%-300%收益。</w:t>
      </w:r>
    </w:p>
    <w:p>
      <w:r>
        <w:rPr>
          <w:rFonts w:ascii="微软雅黑" w:hAnsi="微软雅黑" w:eastAsia="微软雅黑"/>
        </w:rPr>
        <w:t>信号四：长期均线（MA120或MA250）首次支撑成功。股价在长期下跌后首次回踩MA120或MA250获得有效支撑，是战略性的底部买入机会。</w:t>
      </w:r>
    </w:p>
    <w:p>
      <w:pPr>
        <w:pStyle w:val="Heading3"/>
      </w:pPr>
      <w:r>
        <w:t>9.1.2 较强买入信号</w:t>
      </w:r>
    </w:p>
    <w:p>
      <w:r>
        <w:rPr>
          <w:rFonts w:ascii="微软雅黑" w:hAnsi="微软雅黑" w:eastAsia="微软雅黑"/>
        </w:rPr>
        <w:t>信号五：金叉 + 多头排列。短期均线形成金叉，同时中长期均线保持多头排列，表明短期回调结束、上升趋势恢复。</w:t>
      </w:r>
    </w:p>
    <w:p>
      <w:r>
        <w:rPr>
          <w:rFonts w:ascii="微软雅黑" w:hAnsi="微软雅黑" w:eastAsia="微软雅黑"/>
        </w:rPr>
        <w:t>信号六：均线粘合后向上突破。多条均线粘合后选择向上突破，成交量配合放大，是新一轮上涨的起点。</w:t>
      </w:r>
    </w:p>
    <w:p>
      <w:r>
        <w:rPr>
          <w:rFonts w:ascii="微软雅黑" w:hAnsi="微软雅黑" w:eastAsia="微软雅黑"/>
        </w:rPr>
        <w:t>信号七：金山谷形成。继银山谷之后出现的第二个均线交叉三角形区域，经过回踩确认，可靠性高。</w:t>
      </w:r>
    </w:p>
    <w:p>
      <w:pPr>
        <w:pStyle w:val="Heading3"/>
      </w:pPr>
      <w:r>
        <w:t>9.1.3 一般买入信号</w:t>
      </w:r>
    </w:p>
    <w:p>
      <w:r>
        <w:rPr>
          <w:rFonts w:ascii="微软雅黑" w:hAnsi="微软雅黑" w:eastAsia="微软雅黑"/>
        </w:rPr>
        <w:t>信号八：短期金叉（MA5金叉MA10）。信号灵敏但可靠性一般，适合配合其他指标使用。</w:t>
      </w:r>
    </w:p>
    <w:p>
      <w:r>
        <w:rPr>
          <w:rFonts w:ascii="微软雅黑" w:hAnsi="微软雅黑" w:eastAsia="微软雅黑"/>
        </w:rPr>
        <w:t>信号九：股价跌破短期均线后快速收复（假跌破）。通常是主力洗盘行为，后续上涨概率较高。</w:t>
      </w:r>
    </w:p>
    <w:p>
      <w:r>
        <w:rPr>
          <w:rFonts w:ascii="微软雅黑" w:hAnsi="微软雅黑" w:eastAsia="微软雅黑"/>
        </w:rPr>
        <w:t>信号十：负乖离率过大后的超跌反弹。股价远离均线、负乖离率超过警戒值时的反弹买入。</w:t>
      </w:r>
    </w:p>
    <w:p>
      <w:pPr>
        <w:pStyle w:val="Heading2"/>
      </w:pPr>
      <w:r>
        <w:t>9.2 卖出规则汇总（由强到弱排列）</w:t>
      </w:r>
    </w:p>
    <w:p>
      <w:pPr>
        <w:pStyle w:val="Heading3"/>
      </w:pPr>
      <w:r>
        <w:t>9.2.1 最强卖出信号</w:t>
      </w:r>
    </w:p>
    <w:p>
      <w:r>
        <w:rPr>
          <w:rFonts w:ascii="微软雅黑" w:hAnsi="微软雅黑" w:eastAsia="微软雅黑"/>
        </w:rPr>
        <w:t>信号一：完整空头排列 + 股价反弹至MA20受阻 + 成交量萎靡。这是最可靠的卖出信号。</w:t>
      </w:r>
    </w:p>
    <w:p>
      <w:r>
        <w:rPr>
          <w:rFonts w:ascii="微软雅黑" w:hAnsi="微软雅黑" w:eastAsia="微软雅黑"/>
        </w:rPr>
        <w:t>信号二：多条均线死叉同时出现（连锁死叉）。多个时间维度同时转向空头，下跌的确定性极高。</w:t>
      </w:r>
    </w:p>
    <w:p>
      <w:r>
        <w:rPr>
          <w:rFonts w:ascii="微软雅黑" w:hAnsi="微软雅黑" w:eastAsia="微软雅黑"/>
        </w:rPr>
        <w:t>信号三：死亡谷形成。短中长期均线交叉向下形成封闭三角形，是极强的空头信号。</w:t>
      </w:r>
    </w:p>
    <w:p>
      <w:r>
        <w:rPr>
          <w:rFonts w:ascii="微软雅黑" w:hAnsi="微软雅黑" w:eastAsia="微软雅黑"/>
        </w:rPr>
        <w:t>信号四：股价有效跌破MA120或MA250。长期支撑被破坏，趋势面临根本性反转。</w:t>
      </w:r>
    </w:p>
    <w:p>
      <w:pPr>
        <w:pStyle w:val="Heading3"/>
      </w:pPr>
      <w:r>
        <w:t>9.2.2 较强卖出信号</w:t>
      </w:r>
    </w:p>
    <w:p>
      <w:r>
        <w:rPr>
          <w:rFonts w:ascii="微软雅黑" w:hAnsi="微软雅黑" w:eastAsia="微软雅黑"/>
        </w:rPr>
        <w:t>信号五：死叉 + 空头排列。短期死叉出现，同时中长期均线已转为空头排列。</w:t>
      </w:r>
    </w:p>
    <w:p>
      <w:r>
        <w:rPr>
          <w:rFonts w:ascii="微软雅黑" w:hAnsi="微软雅黑" w:eastAsia="微软雅黑"/>
        </w:rPr>
        <w:t>信号六：三线闭合。20日、50日、120日均线由发散转为收敛聚拢。</w:t>
      </w:r>
    </w:p>
    <w:p>
      <w:r>
        <w:rPr>
          <w:rFonts w:ascii="微软雅黑" w:hAnsi="微软雅黑" w:eastAsia="微软雅黑"/>
        </w:rPr>
        <w:t>信号七：均线粘合后向下突破。蓄势后空头胜出，下跌空间大。</w:t>
      </w:r>
    </w:p>
    <w:p>
      <w:pPr>
        <w:pStyle w:val="Heading3"/>
      </w:pPr>
      <w:r>
        <w:t>9.2.3 一般卖出信号</w:t>
      </w:r>
    </w:p>
    <w:p>
      <w:r>
        <w:rPr>
          <w:rFonts w:ascii="微软雅黑" w:hAnsi="微软雅黑" w:eastAsia="微软雅黑"/>
        </w:rPr>
        <w:t>信号八：短期死叉（MA5死叉MA10）。短线卖出信号，可能是洗盘也可能是趋势反转的先兆。</w:t>
      </w:r>
    </w:p>
    <w:p>
      <w:r>
        <w:rPr>
          <w:rFonts w:ascii="微软雅黑" w:hAnsi="微软雅黑" w:eastAsia="微软雅黑"/>
        </w:rPr>
        <w:t>信号九：股价突破短期均线阻力后快速回落（假突破）。多头力量不足的表现。</w:t>
      </w:r>
    </w:p>
    <w:p>
      <w:r>
        <w:rPr>
          <w:rFonts w:ascii="微软雅黑" w:hAnsi="微软雅黑" w:eastAsia="微软雅黑"/>
        </w:rPr>
        <w:t>信号十：正乖离率过大后的高位回落。股价远离均线、正乖离率超过警戒值时的回调卖出。</w:t>
      </w:r>
    </w:p>
    <w:p>
      <w:pPr>
        <w:pStyle w:val="Heading2"/>
      </w:pPr>
      <w:r>
        <w:t>9.3 不同操作周期的均线战法</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134"/>
            <w:shd w:val="clear" w:color="auto" w:fill="2C3E50"/>
          </w:tcPr>
          <w:p>
            <w:r/>
            <w:r>
              <w:rPr>
                <w:rFonts w:ascii="微软雅黑" w:hAnsi="微软雅黑" w:eastAsia="微软雅黑"/>
                <w:b/>
                <w:color w:val="FFFFFF"/>
                <w:sz w:val="20"/>
              </w:rPr>
              <w:t>操作周期</w:t>
            </w:r>
          </w:p>
        </w:tc>
        <w:tc>
          <w:tcPr>
            <w:tcW w:type="dxa" w:w="1417"/>
            <w:shd w:val="clear" w:color="auto" w:fill="2C3E50"/>
          </w:tcPr>
          <w:p>
            <w:r/>
            <w:r>
              <w:rPr>
                <w:rFonts w:ascii="微软雅黑" w:hAnsi="微软雅黑" w:eastAsia="微软雅黑"/>
                <w:b/>
                <w:color w:val="FFFFFF"/>
                <w:sz w:val="20"/>
              </w:rPr>
              <w:t>核心均线</w:t>
            </w:r>
          </w:p>
        </w:tc>
        <w:tc>
          <w:tcPr>
            <w:tcW w:type="dxa" w:w="1701"/>
            <w:shd w:val="clear" w:color="auto" w:fill="2C3E50"/>
          </w:tcPr>
          <w:p>
            <w:r/>
            <w:r>
              <w:rPr>
                <w:rFonts w:ascii="微软雅黑" w:hAnsi="微软雅黑" w:eastAsia="微软雅黑"/>
                <w:b/>
                <w:color w:val="FFFFFF"/>
                <w:sz w:val="20"/>
              </w:rPr>
              <w:t>买入条件</w:t>
            </w:r>
          </w:p>
        </w:tc>
        <w:tc>
          <w:tcPr>
            <w:tcW w:type="dxa" w:w="1701"/>
            <w:shd w:val="clear" w:color="auto" w:fill="2C3E50"/>
          </w:tcPr>
          <w:p>
            <w:r/>
            <w:r>
              <w:rPr>
                <w:rFonts w:ascii="微软雅黑" w:hAnsi="微软雅黑" w:eastAsia="微软雅黑"/>
                <w:b/>
                <w:color w:val="FFFFFF"/>
                <w:sz w:val="20"/>
              </w:rPr>
              <w:t>持仓条件</w:t>
            </w:r>
          </w:p>
        </w:tc>
        <w:tc>
          <w:tcPr>
            <w:tcW w:type="dxa" w:w="1701"/>
            <w:shd w:val="clear" w:color="auto" w:fill="2C3E50"/>
          </w:tcPr>
          <w:p>
            <w:r/>
            <w:r>
              <w:rPr>
                <w:rFonts w:ascii="微软雅黑" w:hAnsi="微软雅黑" w:eastAsia="微软雅黑"/>
                <w:b/>
                <w:color w:val="FFFFFF"/>
                <w:sz w:val="20"/>
              </w:rPr>
              <w:t>卖出条件</w:t>
            </w:r>
          </w:p>
        </w:tc>
        <w:tc>
          <w:tcPr>
            <w:tcW w:type="dxa" w:w="850"/>
            <w:shd w:val="clear" w:color="auto" w:fill="2C3E50"/>
          </w:tcPr>
          <w:p>
            <w:r/>
            <w:r>
              <w:rPr>
                <w:rFonts w:ascii="微软雅黑" w:hAnsi="微软雅黑" w:eastAsia="微软雅黑"/>
                <w:b/>
                <w:color w:val="FFFFFF"/>
                <w:sz w:val="20"/>
              </w:rPr>
              <w:t>持仓时间</w:t>
            </w:r>
          </w:p>
        </w:tc>
      </w:tr>
      <w:tr>
        <w:tc>
          <w:tcPr>
            <w:tcW w:type="dxa" w:w="1134"/>
            <w:shd w:val="clear" w:color="auto" w:fill="F0F4F8"/>
          </w:tcPr>
          <w:p>
            <w:r/>
            <w:r>
              <w:rPr>
                <w:rFonts w:ascii="微软雅黑" w:hAnsi="微软雅黑" w:eastAsia="微软雅黑"/>
                <w:sz w:val="20"/>
              </w:rPr>
              <w:t>超短线</w:t>
            </w:r>
          </w:p>
        </w:tc>
        <w:tc>
          <w:tcPr>
            <w:tcW w:type="dxa" w:w="1417"/>
            <w:shd w:val="clear" w:color="auto" w:fill="F0F4F8"/>
          </w:tcPr>
          <w:p>
            <w:r/>
            <w:r>
              <w:rPr>
                <w:rFonts w:ascii="微软雅黑" w:hAnsi="微软雅黑" w:eastAsia="微软雅黑"/>
                <w:sz w:val="20"/>
              </w:rPr>
              <w:t>MA5/MA10</w:t>
            </w:r>
          </w:p>
        </w:tc>
        <w:tc>
          <w:tcPr>
            <w:tcW w:type="dxa" w:w="1701"/>
            <w:shd w:val="clear" w:color="auto" w:fill="F0F4F8"/>
          </w:tcPr>
          <w:p>
            <w:r/>
            <w:r>
              <w:rPr>
                <w:rFonts w:ascii="微软雅黑" w:hAnsi="微软雅黑" w:eastAsia="微软雅黑"/>
                <w:sz w:val="20"/>
              </w:rPr>
              <w:t>MA5金叉MA10</w:t>
              <w:br/>
              <w:t>股价站上两线</w:t>
            </w:r>
          </w:p>
        </w:tc>
        <w:tc>
          <w:tcPr>
            <w:tcW w:type="dxa" w:w="1701"/>
            <w:shd w:val="clear" w:color="auto" w:fill="F0F4F8"/>
          </w:tcPr>
          <w:p>
            <w:r/>
            <w:r>
              <w:rPr>
                <w:rFonts w:ascii="微软雅黑" w:hAnsi="微软雅黑" w:eastAsia="微软雅黑"/>
                <w:sz w:val="20"/>
              </w:rPr>
              <w:t>MA5在MA10上方</w:t>
            </w:r>
          </w:p>
        </w:tc>
        <w:tc>
          <w:tcPr>
            <w:tcW w:type="dxa" w:w="1701"/>
            <w:shd w:val="clear" w:color="auto" w:fill="F0F4F8"/>
          </w:tcPr>
          <w:p>
            <w:r/>
            <w:r>
              <w:rPr>
                <w:rFonts w:ascii="微软雅黑" w:hAnsi="微软雅黑" w:eastAsia="微软雅黑"/>
                <w:sz w:val="20"/>
              </w:rPr>
              <w:t>MA5死叉MA10</w:t>
              <w:br/>
              <w:t>或股价跌破MA10</w:t>
            </w:r>
          </w:p>
        </w:tc>
        <w:tc>
          <w:tcPr>
            <w:tcW w:type="dxa" w:w="850"/>
            <w:shd w:val="clear" w:color="auto" w:fill="F0F4F8"/>
          </w:tcPr>
          <w:p>
            <w:r/>
            <w:r>
              <w:rPr>
                <w:rFonts w:ascii="微软雅黑" w:hAnsi="微软雅黑" w:eastAsia="微软雅黑"/>
                <w:sz w:val="20"/>
              </w:rPr>
              <w:t>3-10天</w:t>
            </w:r>
          </w:p>
        </w:tc>
      </w:tr>
      <w:tr>
        <w:tc>
          <w:tcPr>
            <w:tcW w:type="dxa" w:w="1134"/>
          </w:tcPr>
          <w:p>
            <w:r/>
            <w:r>
              <w:rPr>
                <w:rFonts w:ascii="微软雅黑" w:hAnsi="微软雅黑" w:eastAsia="微软雅黑"/>
                <w:sz w:val="20"/>
              </w:rPr>
              <w:t>短线</w:t>
            </w:r>
          </w:p>
        </w:tc>
        <w:tc>
          <w:tcPr>
            <w:tcW w:type="dxa" w:w="1417"/>
          </w:tcPr>
          <w:p>
            <w:r/>
            <w:r>
              <w:rPr>
                <w:rFonts w:ascii="微软雅黑" w:hAnsi="微软雅黑" w:eastAsia="微软雅黑"/>
                <w:sz w:val="20"/>
              </w:rPr>
              <w:t>MA10/MA20</w:t>
            </w:r>
          </w:p>
        </w:tc>
        <w:tc>
          <w:tcPr>
            <w:tcW w:type="dxa" w:w="1701"/>
          </w:tcPr>
          <w:p>
            <w:r/>
            <w:r>
              <w:rPr>
                <w:rFonts w:ascii="微软雅黑" w:hAnsi="微软雅黑" w:eastAsia="微软雅黑"/>
                <w:sz w:val="20"/>
              </w:rPr>
              <w:t>MA10金叉MA20</w:t>
              <w:br/>
              <w:t>股价回踩MA20不破</w:t>
            </w:r>
          </w:p>
        </w:tc>
        <w:tc>
          <w:tcPr>
            <w:tcW w:type="dxa" w:w="1701"/>
          </w:tcPr>
          <w:p>
            <w:r/>
            <w:r>
              <w:rPr>
                <w:rFonts w:ascii="微软雅黑" w:hAnsi="微软雅黑" w:eastAsia="微软雅黑"/>
                <w:sz w:val="20"/>
              </w:rPr>
              <w:t>MA10在MA20上方</w:t>
              <w:br/>
              <w:t>均线向上</w:t>
            </w:r>
          </w:p>
        </w:tc>
        <w:tc>
          <w:tcPr>
            <w:tcW w:type="dxa" w:w="1701"/>
          </w:tcPr>
          <w:p>
            <w:r/>
            <w:r>
              <w:rPr>
                <w:rFonts w:ascii="微软雅黑" w:hAnsi="微软雅黑" w:eastAsia="微软雅黑"/>
                <w:sz w:val="20"/>
              </w:rPr>
              <w:t>MA10死叉MA20</w:t>
              <w:br/>
              <w:t>或股价跌破MA20</w:t>
            </w:r>
          </w:p>
        </w:tc>
        <w:tc>
          <w:tcPr>
            <w:tcW w:type="dxa" w:w="850"/>
          </w:tcPr>
          <w:p>
            <w:r/>
            <w:r>
              <w:rPr>
                <w:rFonts w:ascii="微软雅黑" w:hAnsi="微软雅黑" w:eastAsia="微软雅黑"/>
                <w:sz w:val="20"/>
              </w:rPr>
              <w:t>10-20天</w:t>
            </w:r>
          </w:p>
        </w:tc>
      </w:tr>
      <w:tr>
        <w:tc>
          <w:tcPr>
            <w:tcW w:type="dxa" w:w="1134"/>
            <w:shd w:val="clear" w:color="auto" w:fill="F0F4F8"/>
          </w:tcPr>
          <w:p>
            <w:r/>
            <w:r>
              <w:rPr>
                <w:rFonts w:ascii="微软雅黑" w:hAnsi="微软雅黑" w:eastAsia="微软雅黑"/>
                <w:sz w:val="20"/>
              </w:rPr>
              <w:t>中短线</w:t>
            </w:r>
          </w:p>
        </w:tc>
        <w:tc>
          <w:tcPr>
            <w:tcW w:type="dxa" w:w="1417"/>
            <w:shd w:val="clear" w:color="auto" w:fill="F0F4F8"/>
          </w:tcPr>
          <w:p>
            <w:r/>
            <w:r>
              <w:rPr>
                <w:rFonts w:ascii="微软雅黑" w:hAnsi="微软雅黑" w:eastAsia="微软雅黑"/>
                <w:sz w:val="20"/>
              </w:rPr>
              <w:t>MA20/MA30</w:t>
            </w:r>
          </w:p>
        </w:tc>
        <w:tc>
          <w:tcPr>
            <w:tcW w:type="dxa" w:w="1701"/>
            <w:shd w:val="clear" w:color="auto" w:fill="F0F4F8"/>
          </w:tcPr>
          <w:p>
            <w:r/>
            <w:r>
              <w:rPr>
                <w:rFonts w:ascii="微软雅黑" w:hAnsi="微软雅黑" w:eastAsia="微软雅黑"/>
                <w:sz w:val="20"/>
              </w:rPr>
              <w:t>MA20金叉MA30</w:t>
              <w:br/>
              <w:t>成交量放大</w:t>
            </w:r>
          </w:p>
        </w:tc>
        <w:tc>
          <w:tcPr>
            <w:tcW w:type="dxa" w:w="1701"/>
            <w:shd w:val="clear" w:color="auto" w:fill="F0F4F8"/>
          </w:tcPr>
          <w:p>
            <w:r/>
            <w:r>
              <w:rPr>
                <w:rFonts w:ascii="微软雅黑" w:hAnsi="微软雅黑" w:eastAsia="微软雅黑"/>
                <w:sz w:val="20"/>
              </w:rPr>
              <w:t>MA20在MA30上方</w:t>
            </w:r>
          </w:p>
        </w:tc>
        <w:tc>
          <w:tcPr>
            <w:tcW w:type="dxa" w:w="1701"/>
            <w:shd w:val="clear" w:color="auto" w:fill="F0F4F8"/>
          </w:tcPr>
          <w:p>
            <w:r/>
            <w:r>
              <w:rPr>
                <w:rFonts w:ascii="微软雅黑" w:hAnsi="微软雅黑" w:eastAsia="微软雅黑"/>
                <w:sz w:val="20"/>
              </w:rPr>
              <w:t>股价跌破MA20</w:t>
              <w:br/>
              <w:t>且不能收复</w:t>
            </w:r>
          </w:p>
        </w:tc>
        <w:tc>
          <w:tcPr>
            <w:tcW w:type="dxa" w:w="850"/>
            <w:shd w:val="clear" w:color="auto" w:fill="F0F4F8"/>
          </w:tcPr>
          <w:p>
            <w:r/>
            <w:r>
              <w:rPr>
                <w:rFonts w:ascii="微软雅黑" w:hAnsi="微软雅黑" w:eastAsia="微软雅黑"/>
                <w:sz w:val="20"/>
              </w:rPr>
              <w:t>15-30天</w:t>
            </w:r>
          </w:p>
        </w:tc>
      </w:tr>
      <w:tr>
        <w:tc>
          <w:tcPr>
            <w:tcW w:type="dxa" w:w="1134"/>
          </w:tcPr>
          <w:p>
            <w:r/>
            <w:r>
              <w:rPr>
                <w:rFonts w:ascii="微软雅黑" w:hAnsi="微软雅黑" w:eastAsia="微软雅黑"/>
                <w:sz w:val="20"/>
              </w:rPr>
              <w:t>中线</w:t>
            </w:r>
          </w:p>
        </w:tc>
        <w:tc>
          <w:tcPr>
            <w:tcW w:type="dxa" w:w="1417"/>
          </w:tcPr>
          <w:p>
            <w:r/>
            <w:r>
              <w:rPr>
                <w:rFonts w:ascii="微软雅黑" w:hAnsi="微软雅黑" w:eastAsia="微软雅黑"/>
                <w:sz w:val="20"/>
              </w:rPr>
              <w:t>MA30/MA60</w:t>
            </w:r>
          </w:p>
        </w:tc>
        <w:tc>
          <w:tcPr>
            <w:tcW w:type="dxa" w:w="1701"/>
          </w:tcPr>
          <w:p>
            <w:r/>
            <w:r>
              <w:rPr>
                <w:rFonts w:ascii="微软雅黑" w:hAnsi="微软雅黑" w:eastAsia="微软雅黑"/>
                <w:sz w:val="20"/>
              </w:rPr>
              <w:t>MA30金叉MA60</w:t>
              <w:br/>
              <w:t>三线开花</w:t>
            </w:r>
          </w:p>
        </w:tc>
        <w:tc>
          <w:tcPr>
            <w:tcW w:type="dxa" w:w="1701"/>
          </w:tcPr>
          <w:p>
            <w:r/>
            <w:r>
              <w:rPr>
                <w:rFonts w:ascii="微软雅黑" w:hAnsi="微软雅黑" w:eastAsia="微软雅黑"/>
                <w:sz w:val="20"/>
              </w:rPr>
              <w:t>MA30在MA60上方</w:t>
              <w:br/>
              <w:t>且均向上</w:t>
            </w:r>
          </w:p>
        </w:tc>
        <w:tc>
          <w:tcPr>
            <w:tcW w:type="dxa" w:w="1701"/>
          </w:tcPr>
          <w:p>
            <w:r/>
            <w:r>
              <w:rPr>
                <w:rFonts w:ascii="微软雅黑" w:hAnsi="微软雅黑" w:eastAsia="微软雅黑"/>
                <w:sz w:val="20"/>
              </w:rPr>
              <w:t>MA30死叉MA60</w:t>
              <w:br/>
              <w:t>或跌破MA60</w:t>
            </w:r>
          </w:p>
        </w:tc>
        <w:tc>
          <w:tcPr>
            <w:tcW w:type="dxa" w:w="850"/>
          </w:tcPr>
          <w:p>
            <w:r/>
            <w:r>
              <w:rPr>
                <w:rFonts w:ascii="微软雅黑" w:hAnsi="微软雅黑" w:eastAsia="微软雅黑"/>
                <w:sz w:val="20"/>
              </w:rPr>
              <w:t>1-3个月</w:t>
            </w:r>
          </w:p>
        </w:tc>
      </w:tr>
      <w:tr>
        <w:tc>
          <w:tcPr>
            <w:tcW w:type="dxa" w:w="1134"/>
            <w:shd w:val="clear" w:color="auto" w:fill="F0F4F8"/>
          </w:tcPr>
          <w:p>
            <w:r/>
            <w:r>
              <w:rPr>
                <w:rFonts w:ascii="微软雅黑" w:hAnsi="微软雅黑" w:eastAsia="微软雅黑"/>
                <w:sz w:val="20"/>
              </w:rPr>
              <w:t>中长线</w:t>
            </w:r>
          </w:p>
        </w:tc>
        <w:tc>
          <w:tcPr>
            <w:tcW w:type="dxa" w:w="1417"/>
            <w:shd w:val="clear" w:color="auto" w:fill="F0F4F8"/>
          </w:tcPr>
          <w:p>
            <w:r/>
            <w:r>
              <w:rPr>
                <w:rFonts w:ascii="微软雅黑" w:hAnsi="微软雅黑" w:eastAsia="微软雅黑"/>
                <w:sz w:val="20"/>
              </w:rPr>
              <w:t>MA60/MA120</w:t>
            </w:r>
          </w:p>
        </w:tc>
        <w:tc>
          <w:tcPr>
            <w:tcW w:type="dxa" w:w="1701"/>
            <w:shd w:val="clear" w:color="auto" w:fill="F0F4F8"/>
          </w:tcPr>
          <w:p>
            <w:r/>
            <w:r>
              <w:rPr>
                <w:rFonts w:ascii="微软雅黑" w:hAnsi="微软雅黑" w:eastAsia="微软雅黑"/>
                <w:sz w:val="20"/>
              </w:rPr>
              <w:t>MA60金叉MA120</w:t>
            </w:r>
          </w:p>
        </w:tc>
        <w:tc>
          <w:tcPr>
            <w:tcW w:type="dxa" w:w="1701"/>
            <w:shd w:val="clear" w:color="auto" w:fill="F0F4F8"/>
          </w:tcPr>
          <w:p>
            <w:r/>
            <w:r>
              <w:rPr>
                <w:rFonts w:ascii="微软雅黑" w:hAnsi="微软雅黑" w:eastAsia="微软雅黑"/>
                <w:sz w:val="20"/>
              </w:rPr>
              <w:t>股价不破MA60</w:t>
              <w:br/>
              <w:t>MA60保持向上</w:t>
            </w:r>
          </w:p>
        </w:tc>
        <w:tc>
          <w:tcPr>
            <w:tcW w:type="dxa" w:w="1701"/>
            <w:shd w:val="clear" w:color="auto" w:fill="F0F4F8"/>
          </w:tcPr>
          <w:p>
            <w:r/>
            <w:r>
              <w:rPr>
                <w:rFonts w:ascii="微软雅黑" w:hAnsi="微软雅黑" w:eastAsia="微软雅黑"/>
                <w:sz w:val="20"/>
              </w:rPr>
              <w:t>MA60死叉MA120</w:t>
              <w:br/>
              <w:t>或跌破MA120</w:t>
            </w:r>
          </w:p>
        </w:tc>
        <w:tc>
          <w:tcPr>
            <w:tcW w:type="dxa" w:w="850"/>
            <w:shd w:val="clear" w:color="auto" w:fill="F0F4F8"/>
          </w:tcPr>
          <w:p>
            <w:r/>
            <w:r>
              <w:rPr>
                <w:rFonts w:ascii="微软雅黑" w:hAnsi="微软雅黑" w:eastAsia="微软雅黑"/>
                <w:sz w:val="20"/>
              </w:rPr>
              <w:t>3-6个月</w:t>
            </w:r>
          </w:p>
        </w:tc>
      </w:tr>
      <w:tr>
        <w:tc>
          <w:tcPr>
            <w:tcW w:type="dxa" w:w="1134"/>
          </w:tcPr>
          <w:p>
            <w:r/>
            <w:r>
              <w:rPr>
                <w:rFonts w:ascii="微软雅黑" w:hAnsi="微软雅黑" w:eastAsia="微软雅黑"/>
                <w:sz w:val="20"/>
              </w:rPr>
              <w:t>长线</w:t>
            </w:r>
          </w:p>
        </w:tc>
        <w:tc>
          <w:tcPr>
            <w:tcW w:type="dxa" w:w="1417"/>
          </w:tcPr>
          <w:p>
            <w:r/>
            <w:r>
              <w:rPr>
                <w:rFonts w:ascii="微软雅黑" w:hAnsi="微软雅黑" w:eastAsia="微软雅黑"/>
                <w:sz w:val="20"/>
              </w:rPr>
              <w:t>MA120/MA250</w:t>
            </w:r>
          </w:p>
        </w:tc>
        <w:tc>
          <w:tcPr>
            <w:tcW w:type="dxa" w:w="1701"/>
          </w:tcPr>
          <w:p>
            <w:r/>
            <w:r>
              <w:rPr>
                <w:rFonts w:ascii="微软雅黑" w:hAnsi="微软雅黑" w:eastAsia="微软雅黑"/>
                <w:sz w:val="20"/>
              </w:rPr>
              <w:t>MA120金叉MA250</w:t>
              <w:br/>
              <w:t>牛市确认</w:t>
            </w:r>
          </w:p>
        </w:tc>
        <w:tc>
          <w:tcPr>
            <w:tcW w:type="dxa" w:w="1701"/>
          </w:tcPr>
          <w:p>
            <w:r/>
            <w:r>
              <w:rPr>
                <w:rFonts w:ascii="微软雅黑" w:hAnsi="微软雅黑" w:eastAsia="微软雅黑"/>
                <w:sz w:val="20"/>
              </w:rPr>
              <w:t>股价不破MA120</w:t>
            </w:r>
          </w:p>
        </w:tc>
        <w:tc>
          <w:tcPr>
            <w:tcW w:type="dxa" w:w="1701"/>
          </w:tcPr>
          <w:p>
            <w:r/>
            <w:r>
              <w:rPr>
                <w:rFonts w:ascii="微软雅黑" w:hAnsi="微软雅黑" w:eastAsia="微软雅黑"/>
                <w:sz w:val="20"/>
              </w:rPr>
              <w:t>MA120死叉MA250</w:t>
            </w:r>
          </w:p>
        </w:tc>
        <w:tc>
          <w:tcPr>
            <w:tcW w:type="dxa" w:w="850"/>
          </w:tcPr>
          <w:p>
            <w:r/>
            <w:r>
              <w:rPr>
                <w:rFonts w:ascii="微软雅黑" w:hAnsi="微软雅黑" w:eastAsia="微软雅黑"/>
                <w:sz w:val="20"/>
              </w:rPr>
              <w:t>6个月以上</w:t>
            </w:r>
          </w:p>
        </w:tc>
      </w:tr>
    </w:tbl>
    <w:p>
      <w:pPr>
        <w:pStyle w:val="Heading2"/>
      </w:pPr>
      <w:r>
        <w:t>9.4 完整交易流程示例</w:t>
      </w:r>
    </w:p>
    <w:p>
      <w:pPr>
        <w:pStyle w:val="Heading3"/>
      </w:pPr>
      <w:r>
        <w:t>9.4.1 多头买入流程</w:t>
      </w:r>
    </w:p>
    <w:p>
      <w:r>
        <w:rPr>
          <w:rFonts w:ascii="微软雅黑" w:hAnsi="微软雅黑" w:eastAsia="微软雅黑"/>
        </w:rPr>
        <w:t>第一步：判断长期趋势——观察MA120与MA250的关系。若MA120&gt;MA250且均向上，确认长期多头格局。</w:t>
      </w:r>
    </w:p>
    <w:p>
      <w:r>
        <w:rPr>
          <w:rFonts w:ascii="微软雅黑" w:hAnsi="微软雅黑" w:eastAsia="微软雅黑"/>
        </w:rPr>
        <w:t>第二步：判断中期趋势——观察MA20与MA60的关系。若MA20&gt;MA60且均向上，确认中期多头格局。</w:t>
      </w:r>
    </w:p>
    <w:p>
      <w:r>
        <w:rPr>
          <w:rFonts w:ascii="微软雅黑" w:hAnsi="微软雅黑" w:eastAsia="微软雅黑"/>
        </w:rPr>
        <w:t>第三步：等待短期信号——观察MA5和MA10的排列。若MA5&gt;MA10&gt;MA20形成完整短期多头排列，且股价回踩MA20获支撑，则为买入时机。</w:t>
      </w:r>
    </w:p>
    <w:p>
      <w:r>
        <w:rPr>
          <w:rFonts w:ascii="微软雅黑" w:hAnsi="微软雅黑" w:eastAsia="微软雅黑"/>
        </w:rPr>
        <w:t>第四步：确认成交量——要求回踩时缩量，止跌时温和放大。</w:t>
      </w:r>
    </w:p>
    <w:p>
      <w:r>
        <w:rPr>
          <w:rFonts w:ascii="微软雅黑" w:hAnsi="微软雅黑" w:eastAsia="微软雅黑"/>
        </w:rPr>
        <w:t>第五步：执行买入——在MA20支撑位附近买入，止损设在MA60下方，目标价根据前期高点和阻力位设定。</w:t>
      </w:r>
    </w:p>
    <w:p>
      <w:pPr>
        <w:pStyle w:val="Heading3"/>
      </w:pPr>
      <w:r>
        <w:t>9.4.2 空头卖出流程</w:t>
      </w:r>
    </w:p>
    <w:p>
      <w:r>
        <w:rPr>
          <w:rFonts w:ascii="微软雅黑" w:hAnsi="微软雅黑" w:eastAsia="微软雅黑"/>
        </w:rPr>
        <w:t>第一步：判断长期趋势——观察MA120与MA250的关系。若MA120&lt;MA250且均向下，确认长期空头格局。</w:t>
      </w:r>
    </w:p>
    <w:p>
      <w:r>
        <w:rPr>
          <w:rFonts w:ascii="微软雅黑" w:hAnsi="微软雅黑" w:eastAsia="微软雅黑"/>
        </w:rPr>
        <w:t>第二步：判断中期趋势——观察MA20与MA60的关系。若MA20&lt;MA60且均向下，确认中期空头格局。</w:t>
      </w:r>
    </w:p>
    <w:p>
      <w:r>
        <w:rPr>
          <w:rFonts w:ascii="微软雅黑" w:hAnsi="微软雅黑" w:eastAsia="微软雅黑"/>
        </w:rPr>
        <w:t>第三步：观察短期信号——若MA5&lt;MA10&lt;MA20形成空头排列，且股价反弹至MA20受阻，则为卖出时机。</w:t>
      </w:r>
    </w:p>
    <w:p>
      <w:r>
        <w:rPr>
          <w:rFonts w:ascii="微软雅黑" w:hAnsi="微软雅黑" w:eastAsia="微软雅黑"/>
        </w:rPr>
        <w:t>第四步：确认成交量——要求反弹时缩量，显示上攻无力。</w:t>
      </w:r>
    </w:p>
    <w:p>
      <w:r>
        <w:rPr>
          <w:rFonts w:ascii="微软雅黑" w:hAnsi="微软雅黑" w:eastAsia="微软雅黑"/>
        </w:rPr>
        <w:t>第五步：执行卖出——在MA20阻力位附近卖出。</w:t>
      </w:r>
    </w:p>
    <w:p>
      <w:r>
        <w:br w:type="page"/>
      </w:r>
    </w:p>
    <w:p>
      <w:pPr>
        <w:pStyle w:val="Heading1"/>
      </w:pPr>
      <w:r>
        <w:t>第十章  风险管理与常见误区</w:t>
      </w:r>
    </w:p>
    <w:p>
      <w:pPr>
        <w:pStyle w:val="Heading2"/>
      </w:pPr>
      <w:r>
        <w:t>10.1 均线交易的风险管理规则</w:t>
      </w:r>
    </w:p>
    <w:p>
      <w:pPr>
        <w:pStyle w:val="Heading3"/>
      </w:pPr>
      <w:r>
        <w:t>10.1.1 止损规则</w:t>
      </w:r>
    </w:p>
    <w:p>
      <w:r>
        <w:rPr>
          <w:rFonts w:ascii="微软雅黑" w:hAnsi="微软雅黑" w:eastAsia="微软雅黑"/>
        </w:rPr>
        <w:t>固定均线止损法：以某条关键均线作为止损位。例如以MA20买入则以MA60为止损位，以MA60买入则以MA120为止损位。一旦股价有效跌破止损均线（连续2-3个交易日收盘于其下方），立即止损出场。</w:t>
      </w:r>
    </w:p>
    <w:p>
      <w:r>
        <w:rPr>
          <w:rFonts w:ascii="微软雅黑" w:hAnsi="微软雅黑" w:eastAsia="微软雅黑"/>
        </w:rPr>
        <w:t>均线排列破坏止损法：当多头排列开始瓦解（如MA5死叉MA10，随后MA10死叉MA20），在第二个死叉确认时止损。</w:t>
      </w:r>
    </w:p>
    <w:p>
      <w:r>
        <w:rPr>
          <w:rFonts w:ascii="微软雅黑" w:hAnsi="微软雅黑" w:eastAsia="微软雅黑"/>
        </w:rPr>
        <w:t>三线闭合止损法：在1250系统中，当三线开花形态开始闭合（均线间距缩小到3%以内），即触发止损。</w:t>
      </w:r>
    </w:p>
    <w:p>
      <w:pPr>
        <w:pStyle w:val="Heading3"/>
      </w:pPr>
      <w:r>
        <w:t>10.1.2 仓位管理规则</w:t>
      </w:r>
    </w:p>
    <w:p>
      <w:r>
        <w:rPr>
          <w:rFonts w:ascii="微软雅黑" w:hAnsi="微软雅黑" w:eastAsia="微软雅黑"/>
        </w:rPr>
        <w:t>根据均线排列状态确定仓位：纯多头排列时可持有80%-100%仓位；标准多头排列时持有60%-80%仓位；弱多头排列时持有30%-50%仓位；混沌排列时持有0%-20%仓位；空头排列时保持空仓。</w:t>
      </w:r>
    </w:p>
    <w:p>
      <w:pPr>
        <w:pStyle w:val="Heading3"/>
      </w:pPr>
      <w:r>
        <w:t>10.1.3 顺势操作原则</w:t>
      </w:r>
    </w:p>
    <w:p>
      <w:r>
        <w:rPr>
          <w:rFonts w:ascii="微软雅黑" w:hAnsi="微软雅黑" w:eastAsia="微软雅黑"/>
        </w:rPr>
        <w:t>在多头排列中只做多、不做空，每次回踩都是潜在的买入机会；在空头排列中只观望或做空，每次反弹都是潜在的卖出或减仓机会；在均线粘合混沌状态中保持观望，等待方向明确后再行动。</w:t>
      </w:r>
    </w:p>
    <w:p>
      <w:pPr>
        <w:pStyle w:val="Heading2"/>
      </w:pPr>
      <w:r>
        <w:t>10.2 常见误区与修正</w:t>
      </w:r>
    </w:p>
    <w:p>
      <w:pPr>
        <w:pStyle w:val="Heading3"/>
      </w:pPr>
      <w:r>
        <w:t>10.2.1 误区一：单纯依赖金叉/死叉</w:t>
      </w:r>
    </w:p>
    <w:p>
      <w:r>
        <w:rPr>
          <w:rFonts w:ascii="微软雅黑" w:hAnsi="微软雅黑" w:eastAsia="微软雅黑"/>
        </w:rPr>
        <w:t>许多投资者机械地认为"金叉就买、死叉就卖"。实际上，在震荡市中金叉和死叉会频繁出现，导致反复止损亏损。正确做法是将金叉/死叉与均线排列、成交量、乖离率等多个因素综合判断，并且优先使用较长周期均线的交叉信号。</w:t>
      </w:r>
    </w:p>
    <w:p>
      <w:pPr>
        <w:pStyle w:val="Heading3"/>
      </w:pPr>
      <w:r>
        <w:t>10.2.2 误区二：忽视均线的滞后性</w:t>
      </w:r>
    </w:p>
    <w:p>
      <w:r>
        <w:rPr>
          <w:rFonts w:ascii="微软雅黑" w:hAnsi="微软雅黑" w:eastAsia="微软雅黑"/>
        </w:rPr>
        <w:t>均线本质上是滞后指标，等信号完全确认时往往已经错过最佳入场点。修正方法是：学会"预判交叉"，即在均线间距持续缩小时提前预判可能的交叉方向；结合K线形态、成交量等领先指标辅助判断。</w:t>
      </w:r>
    </w:p>
    <w:p>
      <w:pPr>
        <w:pStyle w:val="Heading3"/>
      </w:pPr>
      <w:r>
        <w:t>10.2.3 误区三：忽视成交量</w:t>
      </w:r>
    </w:p>
    <w:p>
      <w:r>
        <w:rPr>
          <w:rFonts w:ascii="微软雅黑" w:hAnsi="微软雅黑" w:eastAsia="微软雅黑"/>
        </w:rPr>
        <w:t>只看价格和均线而不看成交量是非常危险的。成交量是确认均线信号的关键因素——没有量的配合，任何均线突破或跌破都可能是假信号。正确做法是将成交量作为均线信号的"确认开关"，有量才确认，无量则存疑。</w:t>
      </w:r>
    </w:p>
    <w:p>
      <w:pPr>
        <w:pStyle w:val="Heading3"/>
      </w:pPr>
      <w:r>
        <w:t>10.2.4 误区四：在空头排列中抄底</w:t>
      </w:r>
    </w:p>
    <w:p>
      <w:r>
        <w:rPr>
          <w:rFonts w:ascii="微软雅黑" w:hAnsi="微软雅黑" w:eastAsia="微软雅黑"/>
        </w:rPr>
        <w:t>许多投资者在空头排列明显时试图抄底，认为"跌得够多了"。这是非常危险的行为。正确做法是等待均线系统出现实质性的转变信号（如粘合后向上突破、长期均线开始走平等），而不是在空头趋势仍在延续时盲目抄底。</w:t>
      </w:r>
    </w:p>
    <w:p>
      <w:pPr>
        <w:pStyle w:val="Heading3"/>
      </w:pPr>
      <w:r>
        <w:t>10.2.5 误区五：频繁更换均线参数</w:t>
      </w:r>
    </w:p>
    <w:p>
      <w:r>
        <w:rPr>
          <w:rFonts w:ascii="微软雅黑" w:hAnsi="微软雅黑" w:eastAsia="微软雅黑"/>
        </w:rPr>
        <w:t>有些投资者在均线信号不准时就更换参数，试图找到"完美参数"。实际上不存在万能的参数设置。正确做法是选定一套均线系统后坚持使用，通过优化操作策略（如仓位管理、止损规则）来适应不同市场环境，而不是频繁改参数。</w:t>
      </w:r>
    </w:p>
    <w:p>
      <w:pPr>
        <w:pStyle w:val="Heading3"/>
      </w:pPr>
      <w:r>
        <w:t>10.2.6 误区六：不同周期信号矛盾时的处理</w:t>
      </w:r>
    </w:p>
    <w:p>
      <w:r>
        <w:rPr>
          <w:rFonts w:ascii="微软雅黑" w:hAnsi="微软雅黑" w:eastAsia="微软雅黑"/>
        </w:rPr>
        <w:t>当短期均线显示多头、长期均线显示空头时，许多投资者不知所措。正确原则是"长期服从、短期验证"——以长期均线方向为主导判断趋势方向，短期均线信号仅用于确定具体的操作时机。当长短期信号矛盾时，宁可观望也不冒进。</w:t>
      </w:r>
    </w:p>
    <w:p>
      <w:pPr>
        <w:pStyle w:val="Heading2"/>
      </w:pPr>
      <w:r>
        <w:t>10.3 核心法则总结</w:t>
      </w:r>
    </w:p>
    <w:p>
      <w:r>
        <w:rPr>
          <w:rFonts w:ascii="微软雅黑" w:hAnsi="微软雅黑" w:eastAsia="微软雅黑"/>
        </w:rPr>
        <w:t>法则一：排列优于交叉。均线的排列状态比单个金叉/死叉更重要。完整的多头排列中出现一个短期死叉不必恐慌，完整的空头排列中出现一个短期金叉也不应盲目乐观。</w:t>
      </w:r>
    </w:p>
    <w:p>
      <w:r>
        <w:rPr>
          <w:rFonts w:ascii="微软雅黑" w:hAnsi="微软雅黑" w:eastAsia="微软雅黑"/>
        </w:rPr>
        <w:t>法则二：长期优于短期。长期均线的信号比短期均线更可靠。MA120的支撑远比MA10的支撑可靠，MA250的趋势方向远比MA5的方向重要。</w:t>
      </w:r>
    </w:p>
    <w:p>
      <w:r>
        <w:rPr>
          <w:rFonts w:ascii="微软雅黑" w:hAnsi="微软雅黑" w:eastAsia="微软雅黑"/>
        </w:rPr>
        <w:t>法则三：趋势优于反转。顺应已确立的趋势操作，成功率远高于逆势抄底或逃顶。</w:t>
      </w:r>
    </w:p>
    <w:p>
      <w:r>
        <w:rPr>
          <w:rFonts w:ascii="微软雅黑" w:hAnsi="微软雅黑" w:eastAsia="微软雅黑"/>
        </w:rPr>
        <w:t>法则四：多重确认优于单一信号。综合均线排列、交叉信号、成交量、乖离率等多个维度确认，比单一依赖某个信号可靠得多。</w:t>
      </w:r>
    </w:p>
    <w:p>
      <w:r>
        <w:rPr>
          <w:rFonts w:ascii="微软雅黑" w:hAnsi="微软雅黑" w:eastAsia="微软雅黑"/>
        </w:rPr>
        <w:t>法则五：风险控制优于获利追求。任何均线信号都可能失败，预设好止损并严格执行是长期生存的根本保障。</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微软雅黑" w:hAnsi="微软雅黑" w:eastAsia="微软雅黑"/>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微软雅黑" w:hAnsi="微软雅黑" w:eastAsia="微软雅黑"/>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微软雅黑" w:hAnsi="微软雅黑" w:eastAsia="微软雅黑"/>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A1A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