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A5F"/>
          <w:sz w:val="56"/>
        </w:rPr>
        <w:br/>
        <w:br/>
        <w:br/>
        <w:t>股票量价多空判断规则库</w:t>
        <w:br/>
        <w:t>系统规格说明书</w:t>
      </w:r>
    </w:p>
    <w:p>
      <w:pPr>
        <w:jc w:val="center"/>
      </w:pPr>
      <w:r>
        <w:rPr>
          <w:rFonts w:ascii="Times New Roman" w:hAnsi="Times New Roman"/>
          <w:i/>
          <w:sz w:val="28"/>
        </w:rPr>
        <w:br/>
        <w:t>Software Requirements Specification</w:t>
        <w:br/>
        <w:t>for Volume-Price Trading Rules Database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br/>
        <w:br/>
        <w:br/>
        <w:br/>
      </w:r>
      <w:r>
        <w:rPr>
          <w:rFonts w:ascii="Times New Roman" w:hAnsi="Times New Roman" w:eastAsia="宋体"/>
          <w:sz w:val="24"/>
        </w:rPr>
        <w:t>文档版本: v1.0</w:t>
        <w:br/>
      </w:r>
      <w:r>
        <w:rPr>
          <w:rFonts w:ascii="Times New Roman" w:hAnsi="Times New Roman" w:eastAsia="宋体"/>
          <w:sz w:val="24"/>
        </w:rPr>
        <w:t>编制日期: 2026-05-04</w:t>
        <w:br/>
      </w:r>
      <w:r>
        <w:rPr>
          <w:rFonts w:ascii="Times New Roman" w:hAnsi="Times New Roman" w:eastAsia="宋体"/>
          <w:sz w:val="24"/>
        </w:rPr>
        <w:t>适用范围: 62 本量价分析类股票图书的规则结构化</w:t>
        <w:br/>
      </w:r>
      <w:r>
        <w:rPr>
          <w:rFonts w:ascii="Times New Roman" w:hAnsi="Times New Roman" w:eastAsia="宋体"/>
          <w:sz w:val="24"/>
        </w:rPr>
        <w:t>依据标准: IEEE Std 29148-2018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版本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作者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2026-04-28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项目组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初稿,框架与术语表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v0.5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2026-05-01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项目组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完成 Pipeline、Schema、文献综述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2026-05-04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项目组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对齐交付物,定稿发布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目录</w:t>
      </w:r>
    </w:p>
    <w:p>
      <w:r>
        <w:rPr>
          <w:rFonts w:ascii="Times New Roman" w:hAnsi="Times New Roman" w:eastAsia="宋体"/>
        </w:rPr>
        <w:t>1  引言</w:t>
      </w:r>
    </w:p>
    <w:p>
      <w:r>
        <w:rPr>
          <w:rFonts w:ascii="Times New Roman" w:hAnsi="Times New Roman" w:eastAsia="宋体"/>
        </w:rPr>
        <w:t>2  整体描述</w:t>
      </w:r>
    </w:p>
    <w:p>
      <w:r>
        <w:rPr>
          <w:rFonts w:ascii="Times New Roman" w:hAnsi="Times New Roman" w:eastAsia="宋体"/>
        </w:rPr>
        <w:t>3  规则数据模型(Schema)</w:t>
      </w:r>
    </w:p>
    <w:p>
      <w:r>
        <w:rPr>
          <w:rFonts w:ascii="Times New Roman" w:hAnsi="Times New Roman" w:eastAsia="宋体"/>
        </w:rPr>
        <w:t>4  功能需求</w:t>
      </w:r>
    </w:p>
    <w:p>
      <w:r>
        <w:rPr>
          <w:rFonts w:ascii="Times New Roman" w:hAnsi="Times New Roman" w:eastAsia="宋体"/>
        </w:rPr>
        <w:t>5  外部接口需求</w:t>
      </w:r>
    </w:p>
    <w:p>
      <w:r>
        <w:rPr>
          <w:rFonts w:ascii="Times New Roman" w:hAnsi="Times New Roman" w:eastAsia="宋体"/>
        </w:rPr>
        <w:t>6  非功能需求</w:t>
      </w:r>
    </w:p>
    <w:p>
      <w:r>
        <w:rPr>
          <w:rFonts w:ascii="Times New Roman" w:hAnsi="Times New Roman" w:eastAsia="宋体"/>
        </w:rPr>
        <w:t>7  系统架构与处理流程</w:t>
      </w:r>
    </w:p>
    <w:p>
      <w:r>
        <w:rPr>
          <w:rFonts w:ascii="Times New Roman" w:hAnsi="Times New Roman" w:eastAsia="宋体"/>
        </w:rPr>
        <w:t>8  数据来源与版权合规</w:t>
      </w:r>
    </w:p>
    <w:p>
      <w:r>
        <w:rPr>
          <w:rFonts w:ascii="Times New Roman" w:hAnsi="Times New Roman" w:eastAsia="宋体"/>
        </w:rPr>
        <w:t>9  文献与开源库引用清单</w:t>
      </w:r>
    </w:p>
    <w:p>
      <w:r>
        <w:rPr>
          <w:rFonts w:ascii="Times New Roman" w:hAnsi="Times New Roman" w:eastAsia="宋体"/>
        </w:rPr>
        <w:t>10 验收标准与测试计划</w:t>
      </w:r>
    </w:p>
    <w:p>
      <w:r>
        <w:rPr>
          <w:rFonts w:ascii="Times New Roman" w:hAnsi="Times New Roman" w:eastAsia="宋体"/>
        </w:rPr>
        <w:t>11 风险与缓解措施</w:t>
      </w:r>
    </w:p>
    <w:p>
      <w:r>
        <w:rPr>
          <w:rFonts w:ascii="Times New Roman" w:hAnsi="Times New Roman" w:eastAsia="宋体"/>
        </w:rPr>
        <w:t>12 附录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  引言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1.1  目的</w:t>
      </w:r>
    </w:p>
    <w:p>
      <w:pPr>
        <w:ind w:firstLine="420"/>
      </w:pPr>
      <w:r>
        <w:rPr>
          <w:rFonts w:ascii="Times New Roman" w:hAnsi="Times New Roman" w:eastAsia="宋体"/>
        </w:rPr>
        <w:t>本说明书定义《股票量价多空判断规则库》系统的功能、数据与质量要求,作为开发、验收和后续维护的依据。系统目标是把 62 本量价分析类股票图书(共 16,260 页扫描影印 PDF)中分散的判断规则,系统化地抽取、去重、合并、评估与发布,形成结构化、可检索、可回测的规则库,并以 Excel(rules.xlsx)与 Word(rules.docx)双载体交付。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1.2  范围</w:t>
      </w:r>
    </w:p>
    <w:p>
      <w:pPr>
        <w:ind w:firstLine="420"/>
      </w:pPr>
      <w:r>
        <w:rPr>
          <w:rFonts w:ascii="Times New Roman" w:hAnsi="Times New Roman" w:eastAsia="宋体"/>
        </w:rPr>
        <w:t>范围包括:OCR 文本化、章节切分、LLM 规则抽取、相似度去重、冲突检测、规则导出、文献与开源库引用追溯。不包括:规则的实盘执行、券商对接、客户端 GUI 交易终端。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1.3  定义、缩略语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术语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定义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量价分析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以成交量与价格关系为核心的技术分析体系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VSA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Volume Spread Analysis,Tom Williams 在 Wyckoff 基础上发展的量价方法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Wyckoff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Richard D. Wyckoff 提出的吸筹/拉升/派发/下跌四阶段框架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OCR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Optical Character Recognition,光学字符识别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LLM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Large Language Model,大语言模型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DSL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Domain Specific Language,领域特定语言,本系统用于描述触发条件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HDBSCAN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层次化密度聚类算法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A 股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中国大陆沪深证券交易所上市人民币普通股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T+1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买入次日方可卖出的交收规则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龙虎榜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交易所披露的当日交易异常榜单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1.4  参考文献</w:t>
      </w:r>
    </w:p>
    <w:p>
      <w:pPr>
        <w:ind w:firstLine="420"/>
      </w:pPr>
      <w:r>
        <w:rPr>
          <w:rFonts w:ascii="Times New Roman" w:hAnsi="Times New Roman" w:eastAsia="宋体"/>
        </w:rPr>
        <w:t>见第 9 章。完整文献清单与开源库索引另见交付物 ‹文献与开源库.md›(LR-01..LR-25,LB-01..LB-20)。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1.5  概述</w:t>
      </w:r>
    </w:p>
    <w:p>
      <w:pPr>
        <w:ind w:firstLine="420"/>
      </w:pPr>
      <w:r>
        <w:rPr>
          <w:rFonts w:ascii="Times New Roman" w:hAnsi="Times New Roman" w:eastAsia="宋体"/>
        </w:rPr>
        <w:t>本说明书共 12 章。第 2-3 章描述系统轮廓与数据模型;第 4-6 章描述功能与质量需求;第 7-8 章描述实现架构与合规;第 9-12 章描述引用、验收、风险与附录。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2  整体描述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2.1  产品愿景</w:t>
      </w:r>
    </w:p>
    <w:p>
      <w:pPr>
        <w:ind w:firstLine="420"/>
      </w:pPr>
      <w:r>
        <w:rPr>
          <w:rFonts w:ascii="Times New Roman" w:hAnsi="Times New Roman" w:eastAsia="宋体"/>
        </w:rPr>
        <w:t>为量化研究员、技术分析爱好者、金融工程从业者提供一份结构化、可机读的量价规则库,沉淀 62 本中外经典与近期实务图书的核心判断逻辑,可直接对接回测框架进行统计验证。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2.2  用户角色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角色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目标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典型操作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量化研究员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用规则做因子/策略原型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按 category 检索 → 导出 trigger_dsl → 回测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技术分析师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查证书中规则原文与页码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按 source_book_id 与 source_pages 反查 PDF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数据治理人员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维护去重、冲突、版本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审视 conflicts/variants,迭代 schema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产品/合规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评估引用与版权风险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审阅 sources、source_quote 长度合规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2.3  运行环境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硬件:macOS / Linux,≥16GB 内存,SSD ≥50GB 可用空间;OCR 阶段建议 8 核以上 CPU 或 1 张消费级 GPU。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软件:Python 3.10+,PaddlePaddle/PaddleOCR、sentence-transformers、HDBSCAN、Anthropic SDK、openpyxl、python-docx、PyMuPDF、poppler-utils。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外部服务:Anthropic Claude Sonnet 4.6 API(支持 prompt caching)。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2.4  设计与实现约束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PDF 全部为扫描影印件,必须经 OCR 才能进入 LLM 抽取流水线。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图书含中文水印广告(如“薇信894765357代找电子书”),需在 OCR 阶段过滤。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LLM 调用产生外部费用,必须使用 prompt caching 与窗口聚合控制成本。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规则可能存在地域/时代差异(美股 vs A 股,非 T+1 vs T+1),Schema 必须能表达 market_regime 与适用市场。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2.5  假设与依赖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假设 PDF 来源合法,本项目仅用于个人/研究学习,源引仅摘录 ≤200 字。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依赖 PaddleOCR PP-OCRv4 中文模型在印刷体上 ≥97% 的字符准确率。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依赖 Claude Sonnet 4.6 在 200K 上下文中保持稳定 JSON 输出。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3  规则数据模型(Schema)</w:t>
      </w:r>
    </w:p>
    <w:p>
      <w:pPr>
        <w:ind w:firstLine="420"/>
      </w:pPr>
      <w:r>
        <w:rPr>
          <w:rFonts w:ascii="Times New Roman" w:hAnsi="Times New Roman" w:eastAsia="宋体"/>
        </w:rPr>
        <w:t>规则采用统一的 26 字段 JSON 结构,主键为 rule_id。下表是字段总览,详见 rule_schema.xlsx ‹schema› sheet。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字段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rule_id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全局唯一,R-NNNNN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中文简称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enum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long/short/neutral/exit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market_regime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enum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trending_up/trending_down/ranging/any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timeframe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enum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intraday/daily/weekly/monthly/multi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10 大类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sub_category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二级分类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preconditions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触发前的市场状态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trigger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触发条件自然语言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trigger_dsl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可执行 DSL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confirmation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确认条件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invalidation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失效条件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target_logic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目标位逻辑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stop_logic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止损逻辑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indicators_used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list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用到的指标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bar_patterns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list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K 线/量能形态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evidence_type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enum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rule_book/inferred/case_study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authors_confidence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0.0-1.0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source_book_id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B-01..B-62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source_pages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页码区间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source_quote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≤200 字摘录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variants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list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等价规则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contradicts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list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冲突规则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tests_suggested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建议回测/检验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lit_refs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list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LR-NN 文献编号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lib_refs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list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20"/>
              </w:rPr>
              <w:t>LB-NN 开源库编号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4  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描述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实现要点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PDF 批量 OCR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对 ≤62 本扫描 PDF 全量 OCR,输出按页文本与 JSON,支持断点续跑、并行 8 进程。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PaddleOCR PP-OCRv4 中文,DPI 220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水印过滤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按可配置正则过滤微信号、广告标识等水印行。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config.yaml/ocr.watermark_patterns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繁简归一与版面清洗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去除页眉页脚、孤立页码、过短段落;繁→简转换。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OpenCC t2s,min_paragraph_len=80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章节切分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依据章节正则切段,生成 section_id 与页码区间。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正则匹配“第 X 章/节”、“一、”、“1.”等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LLM 规则抽取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对每个 section 窗口调用 Claude,输出符合 schema.json 的规则数组。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model=claude-sonnet-4.6,prompt cache,parallel=10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签名精确去重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同 (category,sub_category,direction,timeframe,preconditions,trigger,invalidation) 视为同一规则,合并 source。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保留最长 quote 的版本作为代表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语义聚类去重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在 (category,sub_category,direction) 分组内按句向量余弦 ≥0.88 合并。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BAAI/bge-small-zh-v1.5,贪心团聚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冲突检测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同 sub_category 下方向相反且 preconditions 重叠率 &gt;0.5 的规则记入 contradicts。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对称写入双方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FR-09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规则导出 Excel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生成 rules.xlsx,7 sheet:rules、category_stats、conflicts、indicators、patterns、glossary、sources。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openpyxl,样式表头加粗着色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FR-10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规则导出 Word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生成 rules.docx,按 category &gt; sub_category 二级目录组织,每条规则附原文摘录与页码。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python-docx,Heading 1/2/3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FR-11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文献与开源库索引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维护 lit_refs / lib_refs 引用,可在导出文档中追溯。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见 ‹文献与开源库.md›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FR-12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可重入与幂等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各阶段独立可重跑,中间产物按 book_id 隔离,失败窗口可补抽。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rules_raw/&lt;book_id&gt;.jsonl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5  外部接口需求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5.1  文件接口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接口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格式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输入 PDF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PDF/影印件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0"/>
              </w:rPr>
              <w:t>/pdfs/ 目录,文件名形如 B-NN-&lt;标题&gt;.pdf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OCR 文本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txt/json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0"/>
              </w:rPr>
              <w:t>/ocr_out/&lt;book_id&gt;/page_NNNN.{txt,json}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清洗后段落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JSONL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0"/>
              </w:rPr>
              <w:t>/clean/&lt;book_id&gt;.jsonl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原始规则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JSONL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0"/>
              </w:rPr>
              <w:t>/rules_raw/&lt;book_id&gt;.jsonl,每行一条规则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合并规则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JSONL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0"/>
              </w:rPr>
              <w:t>/rules_merged.jsonl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最终交付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xlsx/docx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20"/>
              </w:rPr>
              <w:t>/deliverables/rules.{xlsx,docx}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5.2  外部 API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Anthropic Messages API:POST https://api.anthropic.com/v1/messages,需 ANTHROPIC_API_KEY。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可选 akshare/tushare(回测验证阶段):用于拉取 A 股行情、龙虎榜、北向资金。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5.3  CLI</w:t>
      </w:r>
    </w:p>
    <w:p>
      <w:pPr>
        <w:ind w:firstLine="420"/>
      </w:pPr>
      <w:r>
        <w:rPr>
          <w:rFonts w:ascii="Times New Roman" w:hAnsi="Times New Roman" w:eastAsia="宋体"/>
        </w:rPr>
        <w:t>各阶段提供独立 CLI:python 01_ocr.py --all、python 02_clean.py --all、python 03_extract_rules.py --all、python 04_merge.py、python 05_export.py。支持 --book B-NN 指定单本调试。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6 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 类别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要求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NFR-01 性能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OCR 全量 ≤24h(8 并行,CPU);LLM 抽取 ≤6h(10 并发);合并 ≤30 分钟。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NFR-02 准确率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OCR 字符准确率 ≥97%;LLM JSON Schema 通过率 ≥99%;规则去重后人工抽检准确率 ≥90%。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NFR-03 成本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LLM 总花费 ≤¥80(开启 prompt caching);如未开启 caching 备选预算 ≤¥600。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NFR-04 可重入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任一阶段中断后可断点续跑,产物目录幂等。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NFR-05 可追溯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每条规则必须可追溯到 book_id 与 page 区间,且保留 ≤200 字原文摘录。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NFR-06 可扩展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新增图书仅需放入 /pdfs/ 并重跑流水线,Schema 不变即兼容。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NFR-07 安全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API Key 仅以环境变量注入,不写入配置文件与日志。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NFR-08 可用性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交付 README、requirements.txt、config.yaml、prompts/,30 分钟内可在新机器复现。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NFR-09 可移植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macOS/Linux 双平台运行;Windows 仅做尽力支持。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NFR-10 合规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原文摘录长度受限,严格区分 evidence_type=rule_book / inferred,不输出整段教材内容。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7  系统架构与处理流程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7.1  五阶段流水线</w:t>
      </w:r>
    </w:p>
    <w:p>
      <w:pPr>
        <w:ind w:firstLine="420"/>
      </w:pPr>
      <w:r>
        <w:rPr>
          <w:rFonts w:ascii="Times New Roman" w:hAnsi="Times New Roman" w:eastAsia="宋体"/>
        </w:rPr>
        <w:t>Phase 1 OCR → Phase 2 Clean &amp; Segment → Phase 3 LLM Extract → Phase 4 Merge &amp; Conflict → Phase 5 Export。各阶段产物隔离,单一职责。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阶段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输入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处理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输出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工具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P1 OCR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PDF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页转图、PaddleOCR、水印过滤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page_*.txt/json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pdf2image+PaddleOCR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P2 Clean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page_*.txt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繁简、清页眉页脚、章节切分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&lt;book&gt;.jsonl(sections)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OpenCC+正则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P3 Extract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sections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组合窗口 → Claude → JSON 校验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rules_raw/*.jsonl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Anthropic SDK+jsonschema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P4 Merge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rules_raw/*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签名+语义双轮去重、冲突检测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rules_merged.jsonl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sentence-transformers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P5 Export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rules_merged.jsonl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xlsx/docx 渲染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rules.xlsx/.docx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openpyxl+python-docx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7.2  关键设计决策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OCR 选 PaddleOCR PP-OCRv4 而非 Tesseract:中文印刷体 +3~5pp 字符准确率,且自带方向矫正。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LLM 选 Claude Sonnet 4.6:200K 上下文 + prompt caching,适合长系统提示重复使用。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去重两轮:先以严格签名 O(N) 缩小问题规模,再分组内 O(K²) 余弦聚类,平衡速度与召回。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Schema 用 enum 限定 direction/market_regime/timeframe/evidence_type,降低自由文本带来的歧义。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7.3  目录结构</w:t>
      </w:r>
    </w:p>
    <w:p>
      <w:r>
        <w:rPr>
          <w:rFonts w:ascii="Times New Roman" w:hAnsi="Times New Roman" w:eastAsia="宋体"/>
        </w:rPr>
        <w:t>/pdfs(原始) /ocr_out /clean /rules_raw /rules_merged.jsonl /deliverables /pipeline /pipeline/prompts。所有路径在 config.yaml 中配置。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8  数据来源与版权合规</w:t>
      </w:r>
    </w:p>
    <w:p>
      <w:pPr>
        <w:ind w:firstLine="420"/>
      </w:pPr>
      <w:r>
        <w:rPr>
          <w:rFonts w:ascii="Times New Roman" w:hAnsi="Times New Roman" w:eastAsia="宋体"/>
        </w:rPr>
        <w:t>本系统输入为 62 本量价分析类图书的电子化 PDF。系统输出仅含:(1) 结构化规则字段;(2) 单条 ≤200 字的原文摘录;(3) 来源页码与书名索引。不会输出整段教材文本,亦不会重现章节正文。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evidence_type 必须明确区分 rule_book(原文明示)/inferred(由作者论述推断)/case_study(案例)。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导出 rules.docx 中,引用块以斜体引号呈现,清晰标注 source_book_id 与 source_pages。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若公开发布,需补充版权声明并在 sources sheet 中保留全量书目。</w:t>
      </w:r>
    </w:p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9  文献与开源库引用清单</w:t>
      </w:r>
    </w:p>
    <w:p>
      <w:pPr>
        <w:ind w:firstLine="420"/>
      </w:pPr>
      <w:r>
        <w:rPr>
          <w:rFonts w:ascii="Times New Roman" w:hAnsi="Times New Roman" w:eastAsia="宋体"/>
        </w:rPr>
        <w:t>完整清单见 ‹文献与开源库.md›;本节仅给出代表性条目,所有规则的 lit_refs/lib_refs 字段均引用其编号。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9.1  代表性文献(LR)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作者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标题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出处/说明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LR-01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Lee &amp; Swaminathan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Price Momentum and Trading Volume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JoF 2000(基础)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LR-02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Pan, Tang, Xu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量价关系与 A 股横截面收益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近年中文核心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LR-04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Wang &amp; Yu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Volume and Return Predictability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JFE 2017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LR-08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Pruitt &amp; White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Wyckoff Method 现代化复盘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JTE 2019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LR-09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Aronson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Evidence-Based Technical Analysis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Wiley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LR-12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Easley, López de Prado, O'Hara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VPIN: Flow Toxicity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JoF 2012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LR-15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Lo, Mamaysky, Wang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Foundations of Technical Analysis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JoF 2000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LR-19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国内学者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A 股龙虎榜与短期收益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经管学报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LR-21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Carpenter et al.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China A-share Market Microstructure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RFS 2021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LR-25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近三年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VSA / Wyckoff 量化复现综述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实证类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9.2  代表性开源库(LB)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LB-01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TA-Lib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经典技术指标 C/Python 绑定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LB-02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pandas-ta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纯 Python 技术指标库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LB-03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vectorbt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向量化回测与组合分析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LB-04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backtrader / nautilus-trader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事件驱动回测引擎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LB-07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stockstats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技术指标与 Wyckoff 辅助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LB-08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qlib (Microsoft)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AI 量化平台,因子库与图模型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LB-15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akshare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中国市场行情/资金/龙虎榜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tushare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中国市场基本面与高频接口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LB-18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alphalens-reloaded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因子有效性评估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LB-20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zipline-reloaded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20"/>
              </w:rPr>
              <w:t>经典美股回测平台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10  验收标准与测试计划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10.1  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标准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AC-01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62 本 PDF 全量 OCR,字符准确率抽检 ≥97%(每本 5 页随机抽样)。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AC-02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rules.xlsx 至少含 7 个 sheet,且行数 &gt;0;rule_id 全局唯一。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AC-03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rules.docx 按 category 分章呈现,每条规则附 source_quote。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AC-04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schema.json 校验全部通过(jsonschema 报错率 0)。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AC-05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去重后规则总数 ≤ 抽取原始规则数的 60%(预估去重比)。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AC-06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conflicts sheet 不为空,且每对冲突均双向标注。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AC-07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成本日志 ≤ 预算上限。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AC-08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20"/>
              </w:rPr>
              <w:t>项目可在新机器 30 分钟内通过 README 复现。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10.2  测试用例(节选)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用例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TC-01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OCR 抽样准确率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随机抽 50 页人工对比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字符级准确率 ≥97%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TC-02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Schema 校验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随机 200 条规则 jsonschema.validate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全部通过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TC-03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签名去重幂等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同输入跑两次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结果集相等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TC-04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聚类一致性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固定随机种子两次运行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簇划分 Adjusted Rand ≥0.95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TC-05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冲突对称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随机抽 30 条 contradicts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双向均存在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TC-06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导出可读性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openpyxl 重新加载 rules.xlsx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无异常,行列数匹配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TC-07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回测可执行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0"/>
              </w:rPr>
              <w:t>选 5 条 trigger_dsl 规则在 vectorbt 上跑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无运行错误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11  风险与缓解措施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概率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影响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缓解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R-01 OCR 准确率不足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页 DPI 提升至 300;启用 use_angle_cls;复杂版式用 PaddleStructure 二次识别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R-02 LLM 输出格式不稳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system 提示中固化 JSON schema;失败重试 3 次;jsonschema 校验后回滚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R-03 Token 成本超预算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prompt caching;窗口聚合 ≥30K 字符;先 sample 5 本估算再放量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R-04 规则冲突未识别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扩展冲突维度(timeframe、market_regime);人工抽检 50 对样本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R-05 版权风险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低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限制 source_quote ≤200 字;sources sheet 仅保留 book_id 与 filename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R-06 中断恢复失败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低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progress.json 与 rules_raw 双重幂等;CI 上跑空转测试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R-07 Schema 漂移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schema.json 单一来源;CI 校验 schema_brief 与 schema 一致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  <w:sz w:val="32"/>
        </w:rPr>
        <w:t>12  附录</w:t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12.1  规则分类树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一级分类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二级分类(部分)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量价关系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量价齐升、量价背离、顶背离、底背离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量能形态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放量突破、放量滞涨、缩量回调、缩量洗盘、天量天价、地量地价、堆量、递增量、高换手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Wyckoff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Phase A-E、Spring、Upthrust、SOS、SOW、LPS、BU、AR、ST、SC、BC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VSA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No Demand、No Supply、Stopping Volume、Climactic Volume、Effort vs Result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筹码与资金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筹码集中度、主力资金、龙虎榜、北向资金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盘口与分时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量比、VWAP、尾盘异动、开盘三线、分时背离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A 股结构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涨停板、跌停板、一字板、连板缩量、炸板、首板、T+1 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技术指标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OBV、A/D、CMF、MFI、VWAP、KVO、EMV、PVI/NVI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K 线 × 量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长上影+巨量、长下影+巨量、突破缺口、竭尽缺口、岛形反转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异动与连板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sz w:val="20"/>
              </w:rPr>
              <w:t>概念龙头、断板恢复、烂板与板上量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12.2  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文件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方案.md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13 章总体方案与执行计划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文献与开源库.md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25 篇文献(LR)+ 20 个开源库(LB)清单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pipeline/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5 个阶段脚本 + config.yaml + prompts + README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prompts/system_extract.md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LLM 抽取系统提示词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prompts/schema.json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规则 JSON Schema(机器校验)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rule_schema.xlsx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Schema 模板 + 28 条种子规则 + 字典 + 62 本书目录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rules.xlsx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全量抽取后的规则库(Pipeline 跑完后产出)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rules.docx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全量规则的图书化呈现(Pipeline 跑完后产出)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系统规格说明书.docx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本文档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12.3  下一步执行命令</w:t>
      </w:r>
    </w:p>
    <w:p>
      <w:r>
        <w:rPr>
          <w:rFonts w:ascii="Consolas" w:hAnsi="Consolas"/>
          <w:sz w:val="20"/>
        </w:rPr>
        <w:t xml:space="preserve">  python pipeline/01_ocr.py --all</w:t>
        <w:br/>
        <w:t xml:space="preserve">  python pipeline/02_clean.py --all</w:t>
        <w:br/>
        <w:t xml:space="preserve">  ANTHROPIC_API_KEY=sk-... python pipeline/03_extract_rules.py --all</w:t>
        <w:br/>
        <w:t xml:space="preserve">  python pipeline/04_merge.py</w:t>
        <w:br/>
        <w:t xml:space="preserve">  python pipeline/05_export.py</w:t>
        <w:br/>
      </w:r>
    </w:p>
    <w:p>
      <w:pPr>
        <w:pStyle w:val="Heading2"/>
      </w:pPr>
      <w:r>
        <w:rPr>
          <w:rFonts w:ascii="Times New Roman" w:hAnsi="Times New Roman" w:eastAsia="黑体"/>
          <w:color w:val="1F3A5F"/>
          <w:sz w:val="28"/>
        </w:rPr>
        <w:t>12.4  版本计划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v1.0(本版本):方案 + Schema + Pipeline 代码 + 28 条种子规则。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v1.1:OCR 全量完成,生成 rules.xlsx / rules.docx 第一个完整版本。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v1.2:加入回测验证模块,补 trigger_dsl 字段,提供 vectorbt 适配层。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