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A5F"/>
          <w:sz w:val="60"/>
        </w:rPr>
        <w:br/>
        <w:br/>
        <w:br/>
        <w:t>量价多空判断系统</w:t>
        <w:br/>
        <w:t>规格说明书</w:t>
      </w:r>
    </w:p>
    <w:p>
      <w:pPr>
        <w:jc w:val="center"/>
      </w:pPr>
      <w:r>
        <w:rPr>
          <w:rFonts w:ascii="Times New Roman" w:hAnsi="Times New Roman"/>
          <w:i/>
          <w:sz w:val="28"/>
        </w:rPr>
        <w:br/>
        <w:t>Volume-Price Long/Short Decision System</w:t>
        <w:br/>
        <w:t>System Requirements Specification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br/>
        <w:br/>
        <w:br/>
        <w:br/>
      </w:r>
      <w:r>
        <w:rPr>
          <w:rFonts w:ascii="Times New Roman" w:hAnsi="Times New Roman" w:eastAsia="宋体"/>
          <w:sz w:val="24"/>
        </w:rPr>
        <w:t>文档版本: v1.0</w:t>
        <w:br/>
      </w:r>
      <w:r>
        <w:rPr>
          <w:rFonts w:ascii="Times New Roman" w:hAnsi="Times New Roman" w:eastAsia="宋体"/>
          <w:sz w:val="24"/>
        </w:rPr>
        <w:t>编制日期: 2026-05-06</w:t>
        <w:br/>
      </w:r>
      <w:r>
        <w:rPr>
          <w:rFonts w:ascii="Times New Roman" w:hAnsi="Times New Roman" w:eastAsia="宋体"/>
          <w:sz w:val="24"/>
        </w:rPr>
        <w:t>知识来源: 62 本量价分析类图书(16,260 页)</w:t>
        <w:br/>
      </w:r>
      <w:r>
        <w:rPr>
          <w:rFonts w:ascii="Times New Roman" w:hAnsi="Times New Roman" w:eastAsia="宋体"/>
          <w:sz w:val="24"/>
        </w:rPr>
        <w:t>依据标准: IEEE Std 29148-2018</w:t>
        <w:br/>
      </w:r>
      <w:r>
        <w:rPr>
          <w:rFonts w:ascii="Times New Roman" w:hAnsi="Times New Roman" w:eastAsia="宋体"/>
          <w:sz w:val="24"/>
        </w:rPr>
        <w:t>适用市场: 中国 A 股(主板/创业板/科创板/北交所)</w:t>
        <w:br/>
      </w:r>
      <w:r>
        <w:rPr>
          <w:rFonts w:ascii="Times New Roman" w:hAnsi="Times New Roman" w:eastAsia="宋体"/>
          <w:sz w:val="24"/>
        </w:rPr>
        <w:t>扩展市场: 港股、美股(备注差异章节)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版本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作者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2026-05-05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框架搭建,术语与市场模型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v0.5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2026-05-06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多空判断体系、信号合成、风控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2026-05-06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基于 62 本书 R-00001..R-00028 种子规则成稿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目录</w:t>
      </w:r>
    </w:p>
    <w:p>
      <w:r>
        <w:rPr>
          <w:rFonts w:ascii="Times New Roman" w:hAnsi="Times New Roman" w:eastAsia="宋体"/>
        </w:rPr>
        <w:t>1  引言</w:t>
      </w:r>
    </w:p>
    <w:p>
      <w:r>
        <w:rPr>
          <w:rFonts w:ascii="Times New Roman" w:hAnsi="Times New Roman" w:eastAsia="宋体"/>
        </w:rPr>
        <w:t>2  系统总体描述</w:t>
      </w:r>
    </w:p>
    <w:p>
      <w:r>
        <w:rPr>
          <w:rFonts w:ascii="Times New Roman" w:hAnsi="Times New Roman" w:eastAsia="宋体"/>
        </w:rPr>
        <w:t>3  术语、缩略语与符号</w:t>
      </w:r>
    </w:p>
    <w:p>
      <w:r>
        <w:rPr>
          <w:rFonts w:ascii="Times New Roman" w:hAnsi="Times New Roman" w:eastAsia="宋体"/>
        </w:rPr>
        <w:t>4  市场模型与基础假设</w:t>
      </w:r>
    </w:p>
    <w:p>
      <w:r>
        <w:rPr>
          <w:rFonts w:ascii="Times New Roman" w:hAnsi="Times New Roman" w:eastAsia="宋体"/>
        </w:rPr>
        <w:t>5  多空判断总体框架</w:t>
      </w:r>
    </w:p>
    <w:p>
      <w:r>
        <w:rPr>
          <w:rFonts w:ascii="Times New Roman" w:hAnsi="Times New Roman" w:eastAsia="宋体"/>
        </w:rPr>
        <w:t>6  指标体系</w:t>
      </w:r>
    </w:p>
    <w:p>
      <w:r>
        <w:rPr>
          <w:rFonts w:ascii="Times New Roman" w:hAnsi="Times New Roman" w:eastAsia="宋体"/>
        </w:rPr>
        <w:t>7  形态库(Bar Patterns &amp; Volume Patterns)</w:t>
      </w:r>
    </w:p>
    <w:p>
      <w:r>
        <w:rPr>
          <w:rFonts w:ascii="Times New Roman" w:hAnsi="Times New Roman" w:eastAsia="宋体"/>
        </w:rPr>
        <w:t>8  规则层:十大规则族</w:t>
      </w:r>
    </w:p>
    <w:p>
      <w:r>
        <w:rPr>
          <w:rFonts w:ascii="Times New Roman" w:hAnsi="Times New Roman" w:eastAsia="宋体"/>
        </w:rPr>
        <w:t>9  信号合成与打分</w:t>
      </w:r>
    </w:p>
    <w:p>
      <w:r>
        <w:rPr>
          <w:rFonts w:ascii="Times New Roman" w:hAnsi="Times New Roman" w:eastAsia="宋体"/>
        </w:rPr>
        <w:t>10 仓位管理与资金曲线</w:t>
      </w:r>
    </w:p>
    <w:p>
      <w:r>
        <w:rPr>
          <w:rFonts w:ascii="Times New Roman" w:hAnsi="Times New Roman" w:eastAsia="宋体"/>
        </w:rPr>
        <w:t>11 风险控制与失效机制</w:t>
      </w:r>
    </w:p>
    <w:p>
      <w:r>
        <w:rPr>
          <w:rFonts w:ascii="Times New Roman" w:hAnsi="Times New Roman" w:eastAsia="宋体"/>
        </w:rPr>
        <w:t>12 A 股特殊结构处理</w:t>
      </w:r>
    </w:p>
    <w:p>
      <w:r>
        <w:rPr>
          <w:rFonts w:ascii="Times New Roman" w:hAnsi="Times New Roman" w:eastAsia="宋体"/>
        </w:rPr>
        <w:t>13 数据与外部接口</w:t>
      </w:r>
    </w:p>
    <w:p>
      <w:r>
        <w:rPr>
          <w:rFonts w:ascii="Times New Roman" w:hAnsi="Times New Roman" w:eastAsia="宋体"/>
        </w:rPr>
        <w:t>14 非功能需求</w:t>
      </w:r>
    </w:p>
    <w:p>
      <w:r>
        <w:rPr>
          <w:rFonts w:ascii="Times New Roman" w:hAnsi="Times New Roman" w:eastAsia="宋体"/>
        </w:rPr>
        <w:t>15 回测、验收、上线与运维</w:t>
      </w:r>
    </w:p>
    <w:p>
      <w:r>
        <w:rPr>
          <w:rFonts w:ascii="Times New Roman" w:hAnsi="Times New Roman" w:eastAsia="宋体"/>
        </w:rPr>
        <w:t>16 风险登记册</w:t>
      </w:r>
    </w:p>
    <w:p>
      <w:r>
        <w:rPr>
          <w:rFonts w:ascii="Times New Roman" w:hAnsi="Times New Roman" w:eastAsia="宋体"/>
        </w:rPr>
        <w:t>17 附录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  引言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1.1  目的</w:t>
      </w:r>
    </w:p>
    <w:p>
      <w:pPr>
        <w:ind w:firstLine="420"/>
      </w:pPr>
      <w:r>
        <w:rPr>
          <w:rFonts w:ascii="Times New Roman" w:hAnsi="Times New Roman" w:eastAsia="宋体"/>
        </w:rPr>
        <w:t>本规格说明书定义一套基于量价分析的多空判断系统。系统的使命是:给定一只股票及其历史行情、成交量、盘口、龙虎榜、北向资金、筹码分布等数据,在任意时刻 t 输出一个结构化的多空判断——包括方向(long/short/neutral/exit)、置信度、触发规则清单、建议仓位、目标位、止损位、失效条件,以及可审计的推理链。</w:t>
      </w:r>
    </w:p>
    <w:p>
      <w:pPr>
        <w:ind w:firstLine="420"/>
      </w:pPr>
      <w:r>
        <w:rPr>
          <w:rFonts w:ascii="Times New Roman" w:hAnsi="Times New Roman" w:eastAsia="宋体"/>
        </w:rPr>
        <w:t>本系统的知识主干提炼自 62 本经典与近期的量价分析类图书(详见交付物 rule_schema.xlsx 的 sources sheet),涵盖 Wyckoff 学派、VSA(Volume Spread Analysis)学派、经典技术分析、A 股短线实战、筹码分布理论、资金流分析等主要流派;同时融合近 10 年学术文献(LR-01..LR-25)与成熟开源量化库(LB-01..LB-20)。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1.2  范围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范围内(In Scope):规则建模、指标计算、形态识别、信号合成、仓位与风控、回测与评估、输出可解释的多空判断。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范围外(Out of Scope):实盘下单与券商对接、账户撮合、税费结算、图表 GUI 客户端、新闻/舆情情感分析(v2 再议)。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1.3  读者对象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量化研究员 / 策略工程师:理解规则语义,负责 DSL 实现与回测。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技术分析师:复核规则与图书原意是否一致。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产品与合规:审查输出的合规边界与风险揭示。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运维与数据工程:保障行情、资金、筹码数据的稳定与一致。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1.4  文档结构</w:t>
      </w:r>
    </w:p>
    <w:p>
      <w:pPr>
        <w:ind w:firstLine="420"/>
      </w:pPr>
      <w:r>
        <w:rPr>
          <w:rFonts w:ascii="Times New Roman" w:hAnsi="Times New Roman" w:eastAsia="宋体"/>
        </w:rPr>
        <w:t>第 2-4 章给出系统轮廓、术语与市场模型;第 5-9 章是核心——从总体框架、指标、形态到规则族与信号合成;第 10-12 章是风控与 A 股特殊处理;第 13-15 章是接口、质量与运维;第 16-17 章是风险登记与附录。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2  系统总体描述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2.1  产品愿景</w:t>
      </w:r>
    </w:p>
    <w:p>
      <w:pPr>
        <w:ind w:firstLine="420"/>
      </w:pPr>
      <w:r>
        <w:rPr>
          <w:rFonts w:ascii="Times New Roman" w:hAnsi="Times New Roman" w:eastAsia="宋体"/>
        </w:rPr>
        <w:t>把分散在 62 本图书、数以千计的量价判断经验,沉淀为可机读、可审计、可回测的规则引擎,为用户提供从单股到组合、从分时到周线的多空判断服务。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2.2  系统边界(Context Diagram)</w:t>
      </w:r>
    </w:p>
    <w:p>
      <w:r>
        <w:rPr>
          <w:rFonts w:ascii="Times New Roman" w:hAnsi="Times New Roman" w:eastAsia="宋体"/>
        </w:rPr>
        <w:t>系统对外交互如下: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外部实体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行情数据源(akshare/tushare/Wind)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日线/分钟线 OHLCV、分红送股、停牌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资金流数据源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大单/特大单净额、主力资金流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 / 北向资金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席位买卖、沪深港通持股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筹码分布引擎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历史换手衰减估算的持仓成本分布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盘口 Level-1/Level-2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分时、逐笔、委托簿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规则库 rules_merged.jsonl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本项目产出的结构化规则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用户/调度器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IN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查询请求 (symbol, timestamp)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多空判断输出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OUT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JSON + 解释 + 审计日志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回测引擎(vectorbt/qlib)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OUT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trigger_dsl 转事件,历史绩效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监控告警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OUT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失效信号、异常行情、组件健康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2.3  主要使用场景(Use Cases)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描述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单股即时诊断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盘中输入 symbol,返回当前多空判断与置信度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历史信号回放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对过去 N 日逐日生成信号,评估胜率与收益分布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条件选股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全市场扫描满足规则 R 的标的清单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冲突规则解释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当多条规则方向相反时,给出冲突清单与权重分解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规则复核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按 rule_id 追溯原文图书与页码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组合级多空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对一组标的聚合成多空仓位建议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UC-07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盘中失效监控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持仓出现失效条件时立即告警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2.4  总体特征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可解释:每个判断附带触发规则、指标值、来源书目与页码。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可审计:所有输入、中间态、输出持久化,支持回放与归因。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可回测:每条规则必须具备 trigger_dsl 或可由 trigger 派生的判定函数。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可扩展:新增规则仅需符合 schema,不改引擎代码。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保守优先:冲突时默认降级为 neutral;置信度不足时默认 exit/observe。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3  术语、缩略语与符号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术语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定义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OHLCV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Open/High/Low/Close/Volume,一根 K 线的 5 元组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MA(n)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收盘价 n 周期简单均线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EMA(n)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收盘价 n 周期指数均线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ATR(n)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Average True Range,n 周期真实波幅均值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VolumeMA(n)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成交量 n 周期均线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OBV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On Balance Volume,累积量指标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A/D Line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Accumulation/Distribution Line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CMF(n)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Chaikin Money Flow,n 周期资金流入比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MFI(n)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Money Flow Index,带量 RSI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VWAP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 Weighted Average Price,分时成交量加权均价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量比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当日每分钟平均量 ÷ 过去 5 日每分钟平均量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换手率 (Turnover)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成交量 ÷ 流通股本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筹码集中度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90% 持仓成本覆盖的价格区间宽度占现价比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Spread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单根 K 线的高低差(High-Low)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Trading Range (TR)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 中的横盘区间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Phase A-E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 吸筹/派发内部的五个子阶段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Spring/Upthrust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 吸筹/派发末期的关键测试动作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SOS/SOW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Sign of Strength / Sign of Weakness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LPS/LPSY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Last Point of Support / Last Point of Supply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SC/BC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Selling Climax / Buying Climax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 Spread Analysis,Tom Williams 的量价宽幅体系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Effort vs Result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量(努力)与价(结果)不对等产生的信号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VPIN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Volume-Synchronized Probability of Informed Trading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OFI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Order Flow Imbalance,订单流不平衡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T+1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中国 A 股的次日卖出规则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涨跌停板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股主板 ±10%、创业板/科创板 ±20%、ST ±5%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一字板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全天单一价格成交的涨停或跌停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磁吸效应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价格靠近涨跌停板时被加速吸附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4  市场模型与基础假设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4.1  价格-成交量基本关系</w:t>
      </w:r>
    </w:p>
    <w:p>
      <w:r>
        <w:rPr>
          <w:rFonts w:ascii="Times New Roman" w:hAnsi="Times New Roman" w:eastAsia="宋体"/>
        </w:rPr>
        <w:t>量价分析的第一性原理可归纳为三条: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量是因,价是果:成交量的变化领先或同步反映买卖双方力量的对比。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价格变化需要成交量确认:真实趋势必须伴随相应量能;无量上涨/下跌多为假动作。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量价不对等即是信号:大量对应小幅(Effort vs Result)或小量对应大幅,都提示结构性变化。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4.2  市场机制(Market Regime)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状态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识别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多空倾向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典型规则族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trending_up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ADX&gt;25 且 MA20&gt;MA60&gt;MA120,价格位于 MA20 上方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偏多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量价齐升、缩量回调加仓、SOS 突破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trending_down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ADX&gt;25 且 MA20&lt;MA60&lt;MA120,价格位于 MA20 下方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偏空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反弹放量滞涨、No Demand、SOW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ranging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ADX&lt;20,价格在 Bollinger 带内震荡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双向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Spring、Upthrust、区间高低点反转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volatile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ATR% 处于过去 250 日 90 分位以上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降低仓位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全部规则置信度打折,优先观望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4.3  时间框架(Timeframe)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框架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周期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主要用途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月线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战略多空,趋势周期定位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weekly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周线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中期趋势确认,Wyckoff 阶段判定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daily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日线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本系统核心判断频率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intraday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30/15/5/1 分钟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择时入场与盘中失效监控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multi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多周期联合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上下对齐,多空共振信号优先级最高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4.4  基础假设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A1 流动性假设:流通市值 ≥10 亿,日均成交额 ≥3,000 万,避免滑点失真。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A2 数据质量假设:行情经过复权、停牌日去除、ST 状态标记。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A3 无未来函数:所有信号基于 t 时刻及之前可得数据。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A4 成本假设:双边手续费 + 印花税 0.12%~0.15%;冲击成本按 5bp 估计(小市值 10bp)。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A5 T+1 假设:当日买入次日可卖;日内策略只对 ETF、股指期货适用。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A6 涨跌停不可交易假设:一字板无法建仓/止损,策略必须处理这种边界。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5  多空判断总体框架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5.1  判断输出模型(Decision)</w:t>
      </w:r>
    </w:p>
    <w:p>
      <w:r>
        <w:rPr>
          <w:rFonts w:ascii="Times New Roman" w:hAnsi="Times New Roman" w:eastAsia="宋体"/>
        </w:rPr>
        <w:t>系统对每次请求 (symbol, timestamp, timeframe) 返回如下结构化输出:</w:t>
      </w:r>
    </w:p>
    <w:p>
      <w:r>
        <w:rPr>
          <w:rFonts w:ascii="Consolas" w:hAnsi="Consolas"/>
          <w:sz w:val="19"/>
        </w:rPr>
        <w:t>{</w:t>
        <w:br/>
        <w:t xml:space="preserve">  "symbol": "600519.SH",</w:t>
        <w:br/>
        <w:t xml:space="preserve">  "timestamp": "2026-05-06T14:55:00",</w:t>
        <w:br/>
        <w:t xml:space="preserve">  "timeframe": "daily",</w:t>
        <w:br/>
        <w:t xml:space="preserve">  "market_regime": "trending_up",</w:t>
        <w:br/>
        <w:t xml:space="preserve">  "decision": "long",                    // long/short/neutral/exit</w:t>
        <w:br/>
        <w:t xml:space="preserve">  "confidence": 0.78,                    // 0.0-1.0 综合置信度</w:t>
        <w:br/>
        <w:t xml:space="preserve">  "score_long": 2.6,                     // 多头打分 (加权和)</w:t>
        <w:br/>
        <w:t xml:space="preserve">  "score_short": -0.4,                   // 空头打分</w:t>
        <w:br/>
        <w:t xml:space="preserve">  "triggered_rules": [</w:t>
        <w:br/>
        <w:t xml:space="preserve">    {"rule_id": "R-00028", "weight": 0.35, "confidence": 0.85, "direction": "long"},</w:t>
        <w:br/>
        <w:t xml:space="preserve">    {"rule_id": "R-00012", "weight": 0.20, "confidence": 0.80, "direction": "long"},</w:t>
        <w:br/>
        <w:t xml:space="preserve">    {"rule_id": "R-00008", "weight": 0.15, "confidence": 0.60, "direction": "short"}</w:t>
        <w:br/>
        <w:t xml:space="preserve">  ],</w:t>
        <w:br/>
        <w:t xml:space="preserve">  "position_pct": 0.35,                  // 建议仓位占可投资资金比例</w:t>
        <w:br/>
        <w:t xml:space="preserve">  "entry": 1720.0,</w:t>
        <w:br/>
        <w:t xml:space="preserve">  "target": [1790.0, 1860.0],            // 目标位阶梯</w:t>
        <w:br/>
        <w:t xml:space="preserve">  "stop": 1680.0,</w:t>
        <w:br/>
        <w:t xml:space="preserve">  "invalidation": "收盘跌破20日均线 -1ATR",</w:t>
        <w:br/>
        <w:t xml:space="preserve">  "holding_period_hint": "5-15 交易日",</w:t>
        <w:br/>
        <w:t xml:space="preserve">  "explain_tree": { ... },               // 可展开的规则推理链</w:t>
        <w:br/>
        <w:t xml:space="preserve">  "audit_id": "AUD-20260506-145500-600519"</w:t>
        <w:br/>
        <w:t>}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5.2  判断流水线(Decision Pipeline)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作用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输出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数据装配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拉取 OHLCV / 资金 / 筹码 / 盘口,做对齐与清洗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DataFrame 快照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指标计算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计算全部启用的指标(可缓存)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indicators dict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形态识别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扫描 K 线 × 量的形态(Spring/Upthrust/长影等)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patterns list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市场机制识别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判定 regime 与 timeframe 对齐情况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regime tag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规则评估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遍历规则库,对每条规则评估 trigger+confirmation+invalidation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rule_result list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冲突消解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对 contradicts 对进行权重重排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adjusted scores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分数聚合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按 direction 加权求和,得到 long/short score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score_long, score_short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决策生成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按阈值映射为 long/short/neutral/exit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仓位与止损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调用仓位模型与风控模块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position_pct, stop, target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S10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审计落库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写入 decision 快照、规则追溯、输入哈希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audit_id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5.3  决策阈值(可配置)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条件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动作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score_long − score_short ≥ 1.5 且 confidence ≥ 0.65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= long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score_short − score_long ≥ 1.5 且 confidence ≥ 0.65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= short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|score_long − score_short| &lt; 0.5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= neutral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出现任一 invalidation 命中且当前有持仓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= exit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regime = volatile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confidence × 0.7 打折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timeframe 多周期冲突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confidence × 0.8 打折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6  指标体系</w:t>
      </w:r>
    </w:p>
    <w:p>
      <w:pPr>
        <w:ind w:firstLine="420"/>
      </w:pPr>
      <w:r>
        <w:rPr>
          <w:rFonts w:ascii="Times New Roman" w:hAnsi="Times New Roman" w:eastAsia="宋体"/>
        </w:rPr>
        <w:t>指标分为四大类:趋势/均线、量能、动量、资金流与筹码。所有指标输入输出类型统一为 pandas.Series,索引为交易日或分钟时间戳。指标实现优先引用 TA-Lib(LB-01)与 pandas-ta(LB-02),其余自实现并做单元测试。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6.1  趋势与均线类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公式/库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MA(n)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SMA, n∈{5,10,20,60,120,250}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中短期趋势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EMA(n)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EMA, n∈{12,26,55,144}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快速响应趋势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MACD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EMA(12)-EMA(26), Signal=EMA(9)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趋势强度与拐点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ADX(14)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TA-Lib.ADX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趋势强度,&gt;25 强势,&lt;20 震荡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Bollinger(20,2)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MA(20) ± 2σ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通道与波动率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Donchian(20)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max(H,20)/min(L,20)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海龟突破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SAR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TA-Lib.SAR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趋势反转点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ATR(14)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TA-Lib.ATR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波幅与止损尺度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6.2  量能类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公式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解读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VolumeMA(n)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SMA(volume, n)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量能基准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VolumeRatio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vol / VolumeMA(N)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&gt;2 放量,&lt;0.7 缩量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VolumeZScore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(vol − μ) / σ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异常量化指标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OBV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cum(sign(ΔC) × V)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累积买卖力量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A/D Line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cum((C−L−(H−C))/(H−L) × V)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累积筹码流向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ADOSC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EMA(AD,3)-EMA(AD,10)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筹码流向震荡器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CMF(20)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Σ(MFV) / Σ(V)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20 日资金流入比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MFI(14)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带量 RSI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&gt;80 超买,&lt;20 超卖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KVO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Klinger Volume Oscillator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量能趋势强弱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VPT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cum(V × ΔC/C)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量价趋势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FI(13)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Elder Force Index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趋势强度量化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6.3  动量与超买超卖类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区间/阈值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RSI(14)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&gt;70/&lt;30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超买超卖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Stochastic KDJ(9,3,3)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&gt;80/&lt;20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摆动超买超卖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ROC(10)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变动率,动量强弱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Williams %R(14)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&gt;-20/&lt;-80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类 KDJ 超买超卖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CCI(14)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&gt;100/&lt;-100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商品通道指数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6.4  资金流与筹码类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来源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BigOrderNetFlow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逐笔分单&gt;50万/100万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主力资金净流入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SuperOrderNetFlow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逐笔分单&gt;200万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特大单资金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LHB_InstNetBuy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龙虎榜机构席位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中线资金信号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LHB_HotseatNetBuy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龙虎榜游资席位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短线情绪信号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HK_HoldingPct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沪深港通持股占比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外资偏好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ChipConcentration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筹码分布算法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90% 持仓集中度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ChipPeak/Valley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筹码峰/谷价位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支撑/阻力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CostMedian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加权成本中位数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套牢盘/获利盘分界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7  形态库(Bar Patterns &amp; Volume Patterns)</w:t>
      </w:r>
    </w:p>
    <w:p>
      <w:pPr>
        <w:ind w:firstLine="420"/>
      </w:pPr>
      <w:r>
        <w:rPr>
          <w:rFonts w:ascii="Times New Roman" w:hAnsi="Times New Roman" w:eastAsia="宋体"/>
        </w:rPr>
        <w:t>系统内置 38 个形态识别器(见 rule_schema.xlsx patterns sheet),每个识别器是一个纯函数:输入 (K 线序列, 指标) → 返回布尔值与置信度(0-1)。下表仅列核心形态。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分组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形态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核心判定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Spring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low&lt;TR_low and close&gt;TR_low,量温和,阶段=Phase 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Upthrust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high&gt;TR_high and close&lt;TR_high,放量收回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SOS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放量突破阻力,Spread 明显放大,收盘位于上半区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SOW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放量跌破支撑,Spread 扩大,收盘位于下半区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LPS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突破后回踩低点不破且缩量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SC/BC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趋势末端的极端放量长影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No Demand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小阳,Spread&lt;0.5ATR,vol&lt;前2日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No Supply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小阴,Spread&lt;0.5ATR,vol&lt;前2日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Stopping Volume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下跌途中异常巨量 + 长下影 + 收于上半区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Climactic Volume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 创 60 日新高伴随长影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VSA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Effort vs Result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巨量但涨跌幅 &lt;0.5%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量能形态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放量突破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close&gt;resistance and vol&gt;VolumeMA(20)×2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量能形态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放量滞涨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vol&gt;均量×2 but |Δclose|&lt;1%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量能形态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缩量回调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回调中 vol_ma(3)&lt;vol_ma(20)×0.7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量能形态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天量天价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vol=max(vol,60) and high=max(high,60)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量能形态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堆量 / 递增量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连续 ≥3 日量逐级放大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K线×量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长上影+巨量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上影≥2实体 + vol&gt;均量×2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K线×量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长下影+巨量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下影≥2实体 + vol&gt;均量×2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K线×量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突破缺口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跳空&gt;2% + 不补缺口 + 放量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股结构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一字涨停 / 跌停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open=high=low=close=涨/跌停价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股结构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炸板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封板后撬开未重新封住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股结构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连板缩量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连续涨停 + vol 递减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盘口/分时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尾盘放量拉升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14:30 后 vol 占比&gt;30% + 涨&gt;2%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盘口/分时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低开高走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open&lt;prev_close and close&gt;open 且强于大盘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9"/>
              </w:rPr>
              <w:t>量价背离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顶/底背离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价创 N 新高/低但 OBV/MACD 未创新高/低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8  规则层:十大规则族</w:t>
      </w:r>
    </w:p>
    <w:p>
      <w:pPr>
        <w:ind w:firstLine="420"/>
      </w:pPr>
      <w:r>
        <w:rPr>
          <w:rFonts w:ascii="Times New Roman" w:hAnsi="Times New Roman" w:eastAsia="宋体"/>
        </w:rPr>
        <w:t>从 62 本书中提炼的规则按语义聚类为十大族。每族列出:典型规则示例(引用 rule_schema.xlsx 中的 R-00001..R-00028 种子)、默认权重、适用市场机制。完整规则在 rules.xlsx 的 rules sheet 中。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8.1  规则族 F-01:量价关系(Volume-Price Relationship)</w:t>
      </w:r>
    </w:p>
    <w:p>
      <w:r>
        <w:rPr>
          <w:rFonts w:ascii="Times New Roman" w:hAnsi="Times New Roman" w:eastAsia="宋体"/>
        </w:rPr>
        <w:t>核心思想:量价齐升/齐跌为趋势正常,量价背离预警转折。默认权重 1.0。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OBV 顶背离做空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R-00009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OBV 底背离做多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量价齐升趋势加仓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8.2  规则族 F-02:量能形态(Volume Patterns)</w:t>
      </w:r>
    </w:p>
    <w:p>
      <w:r>
        <w:rPr>
          <w:rFonts w:ascii="Times New Roman" w:hAnsi="Times New Roman" w:eastAsia="宋体"/>
        </w:rPr>
        <w:t>放量突破/滞涨、缩量回调/洗盘、天量天价/地量地价。默认权重 0.9。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天量天价做空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放量突破阻力做多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放量滞涨做空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缩量回调做多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高换手洗盘后突破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0.85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8.3  规则族 F-03:Wyckoff 学派</w:t>
      </w:r>
    </w:p>
    <w:p>
      <w:r>
        <w:rPr>
          <w:rFonts w:ascii="Times New Roman" w:hAnsi="Times New Roman" w:eastAsia="宋体"/>
        </w:rPr>
        <w:t>围绕四阶段(吸筹/拉升/派发/下跌)与关键测试点(Spring/Upthrust/SOS/LPS)。默认权重 1.0。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Spring 测试低点做多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Upthrust 假突破做空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SOS 突破阻力做多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color w:val="1F3A5F"/>
          <w:sz w:val="24"/>
        </w:rPr>
        <w:t>8.3.1  Wyckoff 阶段状态机</w:t>
      </w:r>
    </w:p>
    <w:p>
      <w:pPr>
        <w:ind w:firstLine="420"/>
      </w:pPr>
      <w:r>
        <w:rPr>
          <w:rFonts w:ascii="Times New Roman" w:hAnsi="Times New Roman" w:eastAsia="宋体"/>
        </w:rPr>
        <w:t>系统维护每只股票的 Wyckoff 状态机:Accumulation {A,B,C,D,E} / Markup / Distribution {A,B,C,D,E} / Markdown。状态转换由关键事件触发(SC→AR→ST→Spring→LPS→SOS→BU),供规则评估时读取。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8.4  规则族 F-04:VSA 学派</w:t>
      </w:r>
    </w:p>
    <w:p>
      <w:r>
        <w:rPr>
          <w:rFonts w:ascii="Times New Roman" w:hAnsi="Times New Roman" w:eastAsia="宋体"/>
        </w:rPr>
        <w:t>Tom Williams 体系,核心看 Spread × Volume。默认权重 0.85。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No Demand 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No Supply 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R-00006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Stopping Volume 止跌做多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0.85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8.5  规则族 F-05:筹码与资金流</w:t>
      </w:r>
    </w:p>
    <w:p>
      <w:r>
        <w:rPr>
          <w:rFonts w:ascii="Times New Roman" w:hAnsi="Times New Roman" w:eastAsia="宋体"/>
        </w:rPr>
        <w:t>基于筹码分布、大单净流入、龙虎榜、北向资金。默认权重 0.75。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低位筹码高集中做多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连续主力净流入做多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龙虎榜机构净买做多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北向连续加仓做多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8.6  规则族 F-06:盘口与分时</w:t>
      </w:r>
    </w:p>
    <w:p>
      <w:r>
        <w:rPr>
          <w:rFonts w:ascii="Times New Roman" w:hAnsi="Times New Roman" w:eastAsia="宋体"/>
        </w:rPr>
        <w:t>量比、VWAP、尾盘异动、开盘三线。默认权重 0.7。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开盘量比异动做多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尾盘放量拉升次日高开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0.6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8.7  规则族 F-07:A 股结构(涨跌停/连板/炸板)</w:t>
      </w:r>
    </w:p>
    <w:p>
      <w:r>
        <w:rPr>
          <w:rFonts w:ascii="Times New Roman" w:hAnsi="Times New Roman" w:eastAsia="宋体"/>
        </w:rPr>
        <w:t>A 股特有:T+1、涨跌停、龙虎榜、一字板、连板、磁吸。默认权重 0.7。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首板涨停低开过板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一字涨停炸板做空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跌停板打开抄底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0.6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8.8  规则族 F-08:技术指标(量化动量)</w:t>
      </w:r>
    </w:p>
    <w:p>
      <w:r>
        <w:rPr>
          <w:rFonts w:ascii="Times New Roman" w:hAnsi="Times New Roman" w:eastAsia="宋体"/>
        </w:rPr>
        <w:t>RSI/MACD/KDJ/MFI/CMF 等极值与交叉。默认权重 0.6。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R-00019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MFI 超买回落做空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CMF 由负转正做多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0.65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8.9  规则族 F-09:K 线 × 量联合形态</w:t>
      </w:r>
    </w:p>
    <w:p>
      <w:r>
        <w:rPr>
          <w:rFonts w:ascii="Times New Roman" w:hAnsi="Times New Roman" w:eastAsia="宋体"/>
        </w:rPr>
        <w:t>长上影/长下影配合放量、突破缺口、岛形反转。默认权重 0.8。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rule_id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高位长上影+巨量做空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short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R-00018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低位长下影+巨量做多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R-00026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向上突破缺口做多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0.85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8.10  规则族 F-10:异动与情绪(短线)</w:t>
      </w:r>
    </w:p>
    <w:p>
      <w:r>
        <w:rPr>
          <w:rFonts w:ascii="Times New Roman" w:hAnsi="Times New Roman" w:eastAsia="宋体"/>
        </w:rPr>
        <w:t>板块联动、龙头识别、断板/接力、打板与反包。默认权重 0.5,仅对短线模式启用。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情绪周期:冰点 → 启动 → 主升 → 分化 → 退潮,不同阶段规则权重动态调整。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龙头判定:首板率、涨停封板时间、封单/流通市值、复盘连板高度。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9  信号合成与打分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9.1  打分公式</w:t>
      </w:r>
    </w:p>
    <w:p>
      <w:r>
        <w:rPr>
          <w:rFonts w:ascii="Times New Roman" w:hAnsi="Times New Roman" w:eastAsia="宋体"/>
        </w:rPr>
        <w:t>对每条命中规则 r:</w:t>
      </w:r>
    </w:p>
    <w:p>
      <w:r>
        <w:rPr>
          <w:rFonts w:ascii="Consolas" w:hAnsi="Consolas"/>
          <w:sz w:val="19"/>
        </w:rPr>
        <w:t>score_r = family_weight(r.family) * r.authors_confidence</w:t>
        <w:br/>
        <w:t xml:space="preserve">          * regime_modifier(r.market_regime, current_regime)</w:t>
        <w:br/>
        <w:t xml:space="preserve">          * tf_modifier(r.timeframe, request_tf)</w:t>
        <w:br/>
        <w:br/>
        <w:t>score_long  = Σ{r | r.direction='long'}  score_r</w:t>
        <w:br/>
        <w:t>score_short = Σ{r | r.direction='short'} score_r</w:t>
        <w:br/>
        <w:br/>
        <w:t>confidence = tanh( |score_long - score_short| / 2 )</w:t>
        <w:br/>
        <w:t xml:space="preserve">           * min(1.0, n_triggered / 3)          # 规则数量加成</w:t>
        <w:br/>
        <w:t xml:space="preserve">           * data_quality_factor                 # ∈[0,1]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9.2  冲突消解(Conflict Resolution)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若命中的规则对 (r_a, r_b) 已在 contradicts 列表中,则保留权重大者,另一条权重减半。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若同一 sub_category 内存在方向相反规则且均未在 contradicts 中,触发告警并打折(×0.7)。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多周期冲突:weekly 与 daily 方向相反时,以 weekly 为优先、daily 信号打折 ×0.8。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机制冲突:当前 regime 与规则 market_regime 不一致时,regime_modifier=0.5。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9.3  时间框架对齐(Multi-Timeframe Alignment)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月线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周线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综合多空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强多(+)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多头回调,减仓或观望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趋势分歧,降为 neutral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强空(-)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反弹,不参与或短线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↓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↑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仅短线多,紧止损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9.4  规则权重配置</w:t>
      </w:r>
    </w:p>
    <w:p>
      <w:pPr>
        <w:ind w:firstLine="420"/>
      </w:pPr>
      <w:r>
        <w:rPr>
          <w:rFonts w:ascii="Times New Roman" w:hAnsi="Times New Roman" w:eastAsia="宋体"/>
        </w:rPr>
        <w:t>权重来自两部分:(1) 族基准权重(如 Wyckoff=1.0,情绪=0.5);(2) 规则本身的 authors_confidence(0.0-1.0)。最终权重在启动时可被 config/weights.yaml 覆盖,便于不同用户风格(保守/激进)切换。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10  仓位管理与资金曲线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10.1  仓位算法</w:t>
      </w:r>
    </w:p>
    <w:p>
      <w:r>
        <w:rPr>
          <w:rFonts w:ascii="Times New Roman" w:hAnsi="Times New Roman" w:eastAsia="宋体"/>
        </w:rPr>
        <w:t>position_pct 由三个因子共乘得出,上限受组合风险预算约束:</w:t>
      </w:r>
    </w:p>
    <w:p>
      <w:r>
        <w:rPr>
          <w:rFonts w:ascii="Consolas" w:hAnsi="Consolas"/>
          <w:sz w:val="19"/>
        </w:rPr>
        <w:t>position_pct = base_pct(regime)</w:t>
        <w:br/>
        <w:t xml:space="preserve">             * confidence_factor</w:t>
        <w:br/>
        <w:t xml:space="preserve">             * volatility_factor</w:t>
        <w:br/>
        <w:t xml:space="preserve">             * liquidity_factor</w:t>
        <w:br/>
        <w:t xml:space="preserve">             ∈ [0, max_single_position]</w:t>
        <w:br/>
        <w:br/>
        <w:t>base_pct:       trending_up=0.4 / ranging=0.25 / trending_down=0.1</w:t>
        <w:br/>
        <w:t>confidence_factor = clip(confidence / 0.8, 0, 1)</w:t>
        <w:br/>
        <w:t>volatility_factor = clip(target_vol / current_vol_20d, 0.3, 1.5)</w:t>
        <w:br/>
        <w:t>liquidity_factor  = min(1.0, adv_20d / 1e8)       # 单股不超日均成交额 0.5%</w:t>
        <w:br/>
        <w:t>max_single_position = 0.20                        # 单股上限</w:t>
        <w:br/>
        <w:t>portfolio_gross &lt;= 1.0,   portfolio_net ∈ [-0.5, 1.0]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10.2  加减仓策略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首次开仓:position_pct × 50% 建底仓,其余留给确认信号后加仓。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确认加仓:下一个多头规则再次触发(e.g. SOS 后的 LPS)且不破止损,加至 80%。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突破加仓:向上突破前期高点并放量,补足到 100% position_pct。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分批减仓:到达 target[0] 减 1/3,到达 target[1] 减 1/3,剩余移动止损。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10.3  资金曲线目标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指标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目标(回测口径)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年化收益率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夏普比率(年化)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≥1.5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最大回撤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≤20%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胜率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≥45%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盈亏比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≥1.8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平均持有期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5-20 交易日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换手率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≤8 倍/年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11  风险控制与失效机制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11.1  止损体系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硬止损:入场价 − k×ATR(k 默认 1.5,震荡市 1.0,趋势市 2.0)。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形态止损:Spring/SOS 当日最低价之下,Upthrust/长上影最高价之上。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时间止损:N 日(默认 10)内未达首个目标位则减半仓。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移动止损:价格创新高后,止损抬高至 max(原止损, 最高价 − 2×ATR)。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11.2  失效条件(Invalidation)</w:t>
      </w:r>
    </w:p>
    <w:p>
      <w:r>
        <w:rPr>
          <w:rFonts w:ascii="Times New Roman" w:hAnsi="Times New Roman" w:eastAsia="宋体"/>
        </w:rPr>
        <w:t>每条规则都必须声明 invalidation;一旦命中,自动发出 exit 信号。系统级失效例: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连续 2 日收盘跌破关键均线 −1ATR → 强制退出多头。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OBV/资金流出现与入场方向相反的背离 → 降级为 neutral。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出现超预期巨量反向动作(vol&gt;均量×5) → 立即止损。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出现基本面黑天鹅(停牌 + 立案调查) → 置空仓,规则引擎挂起。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11.3  组合级风控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单行业敞口 ≤30%,单股 ≤20%。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组合 Beta 上限:1.3;下限:-0.3(不做深度净空)。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日内回撤 &gt;3% 触发降仓 20%,&gt;5% 触发全平。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连续 5 个交易日胜率 &lt;30% 触发策略暂停与人工复核。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11.4  异常情景处理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情景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标的停牌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冻结持仓,跳过该标的评估,复牌后重新评估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一字板无法成交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继续持有,不强制按收盘价止损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 / 资金流数据延迟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用最近可用数据并将 confidence × 0.9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指数熔断/极端行情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系统级 kill-switch,不再生成新信号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数据源异常(字段缺失)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data_quality_factor 降至 0.5,或直接 neutral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12  A 股特殊结构处理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12.1  涨跌停板处理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主板 ±10%、创业板/科创板 ±20%、北交所 ±30%、ST ±5%,均在 config/market.yaml 中声明。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一字板:检测 open=high=low=close=涨/跌停价,禁止开仓/平仓。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磁吸效应:距离涨跌停 &lt;1% 时,短线规则 confidence × 0.8。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打板策略:仅对 F-07 族启用,不与趋势族混用。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12.2  T+1 规则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日内信号仅用于 ETF、股指期货等 T+0 品种。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个股日内失效信号只能记录,次日开盘才能止损,应在仓位上预留冲击缓冲。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12.3  集合竞价与分时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9:15-9:25 集合竞价的量能作为开盘量比基础,不进入连续竞价的 VolumeMA。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14:57-15:00 收盘集合竞价若出现异常量(&gt;全天 10%)记入异动形态。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12.4  龙虎榜、北向、大宗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龙虎榜:T+1 日晚发布,次日开盘前 generate 次日信号可用。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北向资金:持股数据 T+1 披露;净买入 T+0 实时估算(港交所通道)。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大宗交易:折溢价 ≥5% 记为资金态度信号(F-05 权重 +0.1)。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13  数据与外部接口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13.1  数据字段清单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领域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字段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行情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datetime, open, high, low, close, pre_close, volume, amount, adj_factor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is_st, is_suspended, limit_up, limit_down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基本面(轻量)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float_shares, total_shares, industry, index_member_flags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资金流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big_buy, big_sell, super_buy, super_sell, net_inflow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reason, buy_seats[], sell_seats[], inst_net_buy, hotseat_net_buy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北向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hk_holding, hk_holding_pct, hk_net_buy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cost_distribution_curve, concentration_90, peak_price, cost_median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盘口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tick data, bid1..bid5, ask1..ask5, bid_vol, ask_vol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13.2  对外 API(REST,示意)</w:t>
      </w:r>
    </w:p>
    <w:p>
      <w:r>
        <w:rPr>
          <w:rFonts w:ascii="Consolas" w:hAnsi="Consolas"/>
          <w:sz w:val="19"/>
        </w:rPr>
        <w:t>POST /decision</w:t>
        <w:br/>
        <w:t>Request:  { "symbol": "600519.SH", "timestamp": "2026-05-06T14:55:00",</w:t>
        <w:br/>
        <w:t xml:space="preserve">            "timeframe": "daily", "style": "balanced" }</w:t>
        <w:br/>
        <w:t>Response: &lt;Decision JSON as §5.1&gt;</w:t>
        <w:br/>
        <w:br/>
        <w:t>GET  /rules?category=Wyckoff&amp;direction=long</w:t>
        <w:br/>
        <w:t>GET  /rules/R-00001</w:t>
        <w:br/>
        <w:t>POST /backtest  { rule_ids:[...], start, end, universe }</w:t>
        <w:br/>
        <w:t>GET  /audit/{audit_id}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13.3  数据源推荐(开源)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首选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备选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日线行情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akshare (LB-15)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tushare (LB-16), efinance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分钟行情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tushare pro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Wind / choice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资金流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akshare / 东财爬虫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通达信本地数据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龙虎榜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akshare.stock_lhb_detail_em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同花顺 iFinD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北向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akshare.stock_em_hsgt_hold_stock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港交所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筹码分布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自实现(历史换手衰减)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通达信 CYQ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回测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vectorbt (LB-03)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qlib (LB-08), zipline-reloaded (LB-20)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因子评估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9"/>
              </w:rPr>
              <w:t>alphalens-reloaded (LB-18)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自写 IC/IR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14 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 类别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要求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NFR-01 性能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单股 decision 计算 ≤100ms(热缓存),≤500ms(冷);全市场扫描 5000 股 ≤60s。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NFR-02 吞吐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支持 ≥200 QPS 的 decision 查询(水平扩展)。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NFR-03 可解释性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每个 decision 必须附 triggered_rules 明细与书目引用。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NFR-04 可审计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所有输入、快照、输出写入 audit_log,保留 ≥3 年。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NFR-05 可用性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交易时段 SLA 99.5%,故障 MTTR ≤30 分钟。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NFR-06 准确率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种子规则人工复核一致率 ≥90%;回测信号可复现(同输入同输出)。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NFR-07 一致性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多副本/缓存间数据一致性 ≤1 分钟延迟。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NFR-08 可扩展性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新增规则不改引擎代码;新增标的按配置生效。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NFR-09 安全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所有 API Key 仅通过 env 注入;敏感字段日志脱敏。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NFR-10 合规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不输出个股荐股结论;所有判断附免责声明与数据依据。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NFR-11 可移植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macOS/Linux 双平台,Docker 一键启动。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NFR-12 可观测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Prometheus metrics:qps / latency / rule_hit_rate / confidence_dist。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15  回测、验收、上线与运维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15.1  回测方法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样本:沪深 300 / 中证 500 / 中证 1000 / 全市场,2010-01 至今,含退市样本(避免幸存者偏差)。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事件回测:对每条规则单独回测(Rule-Level),再组合回测(Portfolio-Level)。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滚动 Walk-Forward:5 年训练、1 年测试,每年滚动一次,评估稳定性。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成本:双边 0.15% + 5bp 冲击成本;小市值 (&lt;50 亿) 冲击成本 10bp。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统计量:胜率、盈亏比、Sharpe、Calmar、Max DD、换手率、IC/IR(因子口径)。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15.2 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标准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AC-01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每条规则有 trigger_dsl 或等价 Python 判定函数,可在 vectorbt 上执行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AC-02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规则级年化 Sharpe ≥0.5 的比例 ≥60%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AC-03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组合级回测:年化 ≥15%,Sharpe ≥1.5,Max DD ≤20%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AC-04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冲突规则对 ≤5% 同时触发(体现冲突消解有效)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AC-05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 输出可 100% 追溯到 rule_id + source_book_id + pages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AC-06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性能达到 NFR-01、NFR-02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AC-07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数据源中断 30 分钟内自动 failover 到备选源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AC-08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审计日志完整率 100%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15.3  上线与灰度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Shadow Mode:v1.0 上线首月仅出信号、不影响任何真实组合。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Paper Trading:v1.1 基于模拟盘验证滑点与延迟。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小仓实盘:v1.2 单账户 ≤100 万,观察一个完整季度。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全量上线:通过季度评审后逐步放开仓位上限。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15.4  监控与运维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业务指标:rule_hit_rate、confidence_dist、decision_dist(long/short/neutral 占比)。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数据健康:数据源延迟、缺失率、字段变更告警。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绩效指标:滚动 20 交易日 Sharpe/回撤/胜率,越界自动降级。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异常行情应急手册:熔断、快速涨停潮、千股跌停、指数异动。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16  风险登记册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概率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影响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缓解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RR-01 过拟合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严格 walk-forward;规则需在多个样本外区间稳健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RR-02 规则漂移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每季度规则权重再训练,监控 IC 衰减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RR-03 数据失真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多源交叉校验;异常日全市场一致性检查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RR-04 制度变化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ST 规则、涨跌停幅度、注册制变化均需版本化处理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RR-05 黑天鹅/熔断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极高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kill-switch;持仓上限;宏观事件日历阻断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RR-06 市场风格切换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regime 识别 + 动态权重;至少保留一条反周期族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RR-07 A 股 T+1 滑点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用次日开盘价成交假设;尾盘 14:55 决策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RR-08 做空受限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 short 以融券/股指期货替代;不可融券标的仅产出 exit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RR-09 合规 / 版权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source_quote ≤200 字;发行版本脱敏作者姓名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RR-10 模型误用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输出附免责;禁止单条规则直接下单;必须通过组合层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17  附录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17.1  与《方案.md》《抽取流水线 SRS》的关系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《方案.md》:项目级执行方案,偏工程计划。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《系统规格说明书.docx》:描述 抽取流水线(OCR→LLM→去重→导出) 的 SRS。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《量价多空判断系统规格说明书.docx》(本件):描述 使用规则库进行交易判断的系统 的 SRS。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数据流:PDF → 抽取流水线 → rules_merged.jsonl → 本系统 → Decision。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17.2  规则总分类树(引用 rule_schema.xlsx)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一级规则族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二级分类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F-01 量价关系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量价齐升/齐跌、顶背离、底背离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F-02 量能形态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放量突破/滞涨、缩量回调/洗盘、天量天价、地量地价、堆量、递增量、高换手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F-03 Wyckoff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Phase A-E、Spring、Upthrust、SOS、SOW、LPS、LPSY、BU、AR、ST、SC、BC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F-04 VSA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No Demand、No Supply、Stopping Volume、Climactic Volume、Effort vs Result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F-05 筹码与资金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筹码集中度、主力资金、龙虎榜、北向资金、大宗交易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F-06 盘口与分时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量比、VWAP、尾盘异动、开盘三线、分时背离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F-07 A 股结构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涨停板、跌停板、一字板、连板缩量、炸板、首板、T+1 影响、磁吸效应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F-08 技术指标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OBV、A/D、CMF、MFI、KVO、EMV、PVI/NVI、MACD、RSI、KDJ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F-09 K 线 × 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长上影+巨量、长下影+巨量、突破缺口、竭尽缺口、岛形反转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F-10 异动与连板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概念龙头、断板恢复、烂板/板上量、情绪周期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17.3  示例:一次完整判断推演</w:t>
      </w:r>
    </w:p>
    <w:p>
      <w:r>
        <w:rPr>
          <w:rFonts w:ascii="Times New Roman" w:hAnsi="Times New Roman" w:eastAsia="宋体"/>
        </w:rPr>
        <w:t>以 600519.SH 贵州茅台为例:2026-05-06 日终,regime=trending_up(ADX=28, MA 多头排列)。扫描命中以下规则: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R-00028 量价齐升趋势加仓:long,authors_confidence=0.85,family_weight=1.0 → score=0.85。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R-00012 缩量回调做多:long,authors_confidence=0.80,family_weight=0.9 → score=0.72。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R-00020 CMF 由负转正:long,0.65,0.6 → score=0.39。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R-00008 OBV 顶背离做空:short,0.70,1.0,但 regime 不符合 → ×0.5 → score=0.35。</w:t>
      </w:r>
    </w:p>
    <w:p>
      <w:r>
        <w:rPr>
          <w:rFonts w:ascii="Times New Roman" w:hAnsi="Times New Roman" w:eastAsia="宋体"/>
        </w:rPr>
        <w:t>score_long=1.96,score_short=0.35,差值 1.61 ≥1.5,confidence=tanh(1.61/2)×min(1, 3/3)×data_quality(1.0)=0.67。</w:t>
      </w:r>
    </w:p>
    <w:p>
      <w:r>
        <w:rPr>
          <w:rFonts w:ascii="Times New Roman" w:hAnsi="Times New Roman" w:eastAsia="宋体"/>
        </w:rPr>
        <w:t>决策:decision=long,position_pct=0.4×0.67×volatility_factor(1.0)×liquidity_factor(1.0)=0.27。入场 1720,目标 1790/1860,止损 1680(Spring 当日低点 −1ATR)。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17.4  变更记录</w:t>
      </w:r>
    </w:p>
    <w:p>
      <w:pPr>
        <w:ind w:firstLine="420"/>
      </w:pPr>
      <w:r>
        <w:rPr>
          <w:rFonts w:ascii="Times New Roman" w:hAnsi="Times New Roman" w:eastAsia="宋体"/>
        </w:rPr>
        <w:t>本文件版本由 /pipeline/generate_trading_srs.py 生成。新增或修改任何规则族、权重、阈值,须同步修改本文 §8~§11 并提交评审。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17.5  引用清单(节选)</w:t>
      </w:r>
    </w:p>
    <w:p>
      <w:r>
        <w:rPr>
          <w:rFonts w:ascii="Times New Roman" w:hAnsi="Times New Roman" w:eastAsia="宋体"/>
        </w:rPr>
        <w:t>完整清单见 ‹文献与开源库.md›。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作者/项目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LR-08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Pruitt &amp; White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Wyckoff Method 现代化复盘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LR-09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Aronson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Evidence-Based Technical Analysis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LR-12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Easley et al.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VPIN: Flow Toxicity(JoF 2012)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Lo, Mamaysky, Wang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Foundations of Technical Analysis(JoF 2000)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LR-19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国内学者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股龙虎榜与短期收益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LR-21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Carpenter et al.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China A-share Market Microstructure(RFS 2021)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LB-01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TA-Lib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经典技术指标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LB-03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vectorbt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向量化回测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LB-08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qlib (Microsoft)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AI 量化平台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LB-15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akshare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A 股多源数据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LB-18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alphalens-reloaded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19"/>
              </w:rPr>
              <w:t>因子评估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17.6  免责声明</w:t>
      </w:r>
    </w:p>
    <w:p>
      <w:pPr>
        <w:ind w:firstLine="420"/>
      </w:pPr>
      <w:r>
        <w:rPr>
          <w:rFonts w:ascii="Times New Roman" w:hAnsi="Times New Roman" w:eastAsia="宋体"/>
        </w:rPr>
        <w:t>本系统输出仅为研究与学习用途,不构成任何投资建议。使用者须独立判断,并自行承担交易风险。所有书目引用遵循合理使用原则,单次摘录 ≤200 字,不替代原书阅读。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