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4"/>
          <w:sz-cs w:val="24"/>
          <w:b/>
        </w:rPr>
        <w:t xml:space="preserve">答辩状</w:t>
      </w:r>
    </w:p>
    <w:p>
      <w:pPr>
        <w:jc w:val="center"/>
      </w:pPr>
      <w:r>
        <w:rPr>
          <w:rFonts w:ascii="Times" w:hAnsi="Times" w:cs="Times"/>
          <w:sz w:val="24"/>
          <w:sz-cs w:val="24"/>
          <w:b/>
        </w:rPr>
        <w:t xml:space="preserve"/>
      </w:r>
    </w:p>
    <w:p>
      <w:pPr>
        <w:jc w:val="both"/>
      </w:pPr>
      <w:r>
        <w:rPr>
          <w:rFonts w:ascii="Times" w:hAnsi="Times" w:cs="Times"/>
          <w:sz w:val="24"/>
          <w:sz-cs w:val="24"/>
        </w:rPr>
        <w:t xml:space="preserve">答辩人：北京快手科技有限公司</w:t>
      </w:r>
    </w:p>
    <w:p>
      <w:pPr>
        <w:jc w:val="both"/>
      </w:pPr>
      <w:r>
        <w:rPr>
          <w:rFonts w:ascii="Times" w:hAnsi="Times" w:cs="Times"/>
          <w:sz w:val="24"/>
          <w:sz-cs w:val="24"/>
        </w:rPr>
        <w:t xml:space="preserve">统一社会信用代码：91110108335469089C</w:t>
      </w:r>
    </w:p>
    <w:p>
      <w:pPr>
        <w:jc w:val="both"/>
      </w:pPr>
      <w:r>
        <w:rPr>
          <w:rFonts w:ascii="Times" w:hAnsi="Times" w:cs="Times"/>
          <w:sz w:val="24"/>
          <w:sz-cs w:val="24"/>
        </w:rPr>
        <w:t xml:space="preserve">法定代表人：银鑫</w:t>
      </w:r>
    </w:p>
    <w:p>
      <w:pPr>
        <w:jc w:val="both"/>
      </w:pPr>
      <w:r>
        <w:rPr>
          <w:rFonts w:ascii="Times" w:hAnsi="Times" w:cs="Times"/>
          <w:sz w:val="24"/>
          <w:sz-cs w:val="24"/>
        </w:rPr>
        <w:t xml:space="preserve">联系地址：北京市海淀区西二旗西路16号院11号楼8层101</w:t>
      </w:r>
    </w:p>
    <w:p>
      <w:pPr>
        <w:jc w:val="both"/>
        <w:ind w:first-line="480"/>
      </w:pPr>
      <w:r>
        <w:rPr>
          <w:rFonts w:ascii="Times" w:hAnsi="Times" w:cs="Times"/>
          <w:sz w:val="24"/>
          <w:sz-cs w:val="24"/>
        </w:rPr>
        <w:t xml:space="preserve">关于【</w:t>
      </w:r>
      <w:r>
        <w:rPr>
          <w:rFonts w:ascii="Times" w:hAnsi="Times" w:cs="Times"/>
          <w:sz w:val="24"/>
          <w:sz-cs w:val="24"/>
        </w:rPr>
        <w:t xml:space="preserve">原告】诉【被告】、北京快手科技有限公司侵害外观设计专利权纠纷一案，案号【案号】</w:t>
      </w:r>
      <w:r>
        <w:rPr>
          <w:rFonts w:ascii="Times" w:hAnsi="Times" w:cs="Times"/>
          <w:sz w:val="24"/>
          <w:sz-cs w:val="24"/>
        </w:rPr>
        <w:t xml:space="preserve">，现被告北京快手科技有限公司（下称“答辩人”）答辩如下：</w:t>
      </w:r>
    </w:p>
    <w:p>
      <w:pPr>
        <w:jc w:val="both"/>
        <w:ind w:first-line="480"/>
      </w:pPr>
      <w:r>
        <w:rPr>
          <w:rFonts w:ascii="Times" w:hAnsi="Times" w:cs="Times"/>
          <w:sz w:val="24"/>
          <w:sz-cs w:val="24"/>
          <w:b/>
        </w:rPr>
        <w:t xml:space="preserve">一、答辩人未实施被诉侵权行为，并非本案适格被告。</w:t>
      </w:r>
    </w:p>
    <w:p>
      <w:pPr>
        <w:jc w:val="both"/>
        <w:ind w:first-line="480"/>
      </w:pPr>
      <w:r>
        <w:rPr>
          <w:rFonts w:ascii="Times" w:hAnsi="Times" w:cs="Times"/>
          <w:sz w:val="24"/>
          <w:sz-cs w:val="24"/>
        </w:rPr>
        <w:t xml:space="preserve">答辩人是成立于2015年，主要经营范围为技术服务等业务，快手ＡＰＰ是由答辩人运营的为用户提供记录生活、分享生活的服务平台。快手小店是由案外人成都快购科技有限公司（以下简称快购公司）提供技术支持和服务的，供商户入驻开设店铺向消费者销售商品或服务，达成交易意向并向用户提供其他与交易有关的辅助服务的电子商务平台。</w:t>
      </w:r>
    </w:p>
    <w:p>
      <w:pPr>
        <w:jc w:val="both"/>
        <w:ind w:first-line="480"/>
      </w:pPr>
      <w:r>
        <w:rPr>
          <w:rFonts w:ascii="Times" w:hAnsi="Times" w:cs="Times"/>
          <w:sz w:val="24"/>
          <w:sz-cs w:val="24"/>
        </w:rPr>
        <w:t xml:space="preserve">在商户入驻时，快购公司均是在要求其提交经营者信息、相关资质等，商户相关资质也在店铺显著位置公示，用户均可查询，原告提交证据已经可以明确被控侵权产品的销售主体快手小店开设的</w:t>
      </w:r>
      <w:r>
        <w:rPr>
          <w:rFonts w:ascii="Times" w:hAnsi="Times" w:cs="Times"/>
          <w:sz w:val="24"/>
          <w:sz-cs w:val="24"/>
        </w:rPr>
        <w:t xml:space="preserve">店铺【店铺名称】</w:t>
      </w:r>
      <w:r>
        <w:rPr>
          <w:rFonts w:ascii="Times" w:hAnsi="Times" w:cs="Times"/>
          <w:sz w:val="24"/>
          <w:sz-cs w:val="24"/>
        </w:rPr>
        <w:t xml:space="preserve">，该店铺的营业执照所显示的</w:t>
      </w:r>
      <w:r>
        <w:rPr>
          <w:rFonts w:ascii="Times" w:hAnsi="Times" w:cs="Times"/>
          <w:sz w:val="24"/>
          <w:sz-cs w:val="24"/>
        </w:rPr>
        <w:t xml:space="preserve">经营主体【经营主体】</w:t>
      </w:r>
      <w:r>
        <w:rPr>
          <w:rFonts w:ascii="Times" w:hAnsi="Times" w:cs="Times"/>
          <w:sz w:val="24"/>
          <w:sz-cs w:val="24"/>
        </w:rPr>
        <w:t xml:space="preserve">，而非答辩人。</w:t>
      </w:r>
    </w:p>
    <w:p>
      <w:pPr>
        <w:jc w:val="both"/>
        <w:ind w:first-line="480"/>
      </w:pPr>
      <w:r>
        <w:rPr>
          <w:rFonts w:ascii="Times" w:hAnsi="Times" w:cs="Times"/>
          <w:sz w:val="24"/>
          <w:sz-cs w:val="24"/>
        </w:rPr>
        <w:t xml:space="preserve">因此，快手ＡＰＰ仅提供了用户进入快手小店平台的入口，本案被告身份明确，答辩人并非电商平台经营者，也非被诉侵权产品的销售者，并非本案适格被告。</w:t>
      </w:r>
    </w:p>
    <w:p>
      <w:pPr>
        <w:jc w:val="both"/>
        <w:ind w:first-line="480"/>
      </w:pPr>
      <w:r>
        <w:rPr>
          <w:rFonts w:ascii="Times" w:hAnsi="Times" w:cs="Times"/>
          <w:sz w:val="24"/>
          <w:sz-cs w:val="24"/>
          <w:b/>
        </w:rPr>
        <w:t xml:space="preserve">快购公司作为电商平台的经营者，不参与涉案商品的实际销售，对被告尽到了事前资质审查的合理注意义务，不应承担法律责任。</w:t>
      </w:r>
    </w:p>
    <w:p>
      <w:pPr>
        <w:jc w:val="both"/>
        <w:ind w:first-line="480"/>
      </w:pPr>
      <w:r>
        <w:rPr>
          <w:rFonts w:ascii="Times" w:hAnsi="Times" w:cs="Times"/>
          <w:sz w:val="24"/>
          <w:sz-cs w:val="24"/>
        </w:rPr>
        <w:t xml:space="preserve">其一， 快购公司作为电商平台的经营者，仅为向买卖双方提供服务的平台，并非涉案商品信息的发布者，也并未实施销售、许诺销售等直接侵害涉案外观专利权的行为。</w:t>
      </w:r>
    </w:p>
    <w:p>
      <w:pPr>
        <w:jc w:val="both"/>
        <w:ind w:first-line="480"/>
      </w:pPr>
      <w:r>
        <w:rPr>
          <w:rFonts w:ascii="Times" w:hAnsi="Times" w:cs="Times"/>
          <w:sz w:val="24"/>
          <w:sz-cs w:val="24"/>
        </w:rPr>
        <w:t xml:space="preserve">其二，答辩人提交的证据《快手小店商户服务协议》，该协议由快购公司和商户签署。协议中明确要求商户入驻时需提交的企业信息和相关资质，在3.3条保证及责任条款中约定，商户承诺并保证提供全部资质证明文件及其他信息内容真实、合法、准确、有效。并且，《快手小店商户服务协议》中6.2.2条约定，“商户承诺拥有合法的权利和资格上传有关商品销售信息并进行销售，且前述行为未对任何第三方合法权益，包括但不限于第三方知识产权、物权等构成侵害，如因其行为导致我们遭受任何第三方提起的索赔，诉讼或行政责任，其将承担相应责任并使我们免责。”在商户入驻前即已经对商户提出合法合规经营的要求，所以快购公司已经尽到了事前资质审查及提醒商户合法合规经营的义务。</w:t>
      </w:r>
    </w:p>
    <w:p>
      <w:pPr>
        <w:jc w:val="both"/>
        <w:ind w:first-line="480"/>
      </w:pPr>
      <w:r>
        <w:rPr>
          <w:rFonts w:ascii="Times" w:hAnsi="Times" w:cs="Times"/>
          <w:sz w:val="24"/>
          <w:sz-cs w:val="24"/>
        </w:rPr>
        <w:t xml:space="preserve">综上，快购公司作为电商平台的经营者不参与涉案商品的实际销售，已履行对商家资质信息的核验和登记义务，并尽到了事前提醒的合理注意义务，不存在过错，不应承担法律责任。</w:t>
      </w:r>
    </w:p>
    <w:p>
      <w:pPr>
        <w:jc w:val="both"/>
        <w:ind w:first-line="480"/>
      </w:pPr>
      <w:r>
        <w:rPr>
          <w:rFonts w:ascii="Times" w:hAnsi="Times" w:cs="Times"/>
          <w:sz w:val="24"/>
          <w:sz-cs w:val="24"/>
          <w:b/>
        </w:rPr>
        <w:t xml:space="preserve">三、答辩人及快购公司在本案起诉前不知晓被诉行为，起诉后及时采取合理措施，未导致原告进一步损失，尽到事后合理注意义务，不应当承担法律责任。</w:t>
      </w:r>
    </w:p>
    <w:p>
      <w:pPr>
        <w:jc w:val="both"/>
        <w:ind w:first-line="480"/>
      </w:pPr>
      <w:r>
        <w:rPr>
          <w:rFonts w:ascii="Times" w:hAnsi="Times" w:cs="Times"/>
          <w:sz w:val="24"/>
          <w:sz-cs w:val="24"/>
        </w:rPr>
        <w:t xml:space="preserve">快购公司在其网站首页显著位置设置了“快手知识产权保护平台”链接，并建立了完善的投诉规则及处理机制，制定了《快手小店知识产权维权投诉指引》，任何权利人及其利害关系人均可使用知识产权保护平台发起投诉维权。原告诉讼之前并未通过平台投诉，答辩人及快购公司在本案起诉前并不知晓被控侵权行为，对被控侵权行为的发生不具有主观过错。</w:t>
      </w:r>
    </w:p>
    <w:p>
      <w:pPr>
        <w:jc w:val="both"/>
        <w:ind w:first-line="480"/>
      </w:pPr>
      <w:r>
        <w:rPr>
          <w:rFonts w:ascii="Times" w:hAnsi="Times" w:cs="Times"/>
          <w:sz w:val="24"/>
          <w:sz-cs w:val="24"/>
        </w:rPr>
        <w:t xml:space="preserve">答辩人在收到起诉材料后，立即通知快购公司，快购公司也立即对被诉相关行为进行了核实，并反馈</w:t>
      </w:r>
      <w:r>
        <w:rPr>
          <w:rFonts w:ascii="Times" w:hAnsi="Times" w:cs="Times"/>
          <w:sz w:val="24"/>
          <w:sz-cs w:val="24"/>
          <w:color w:val="000000"/>
        </w:rPr>
        <w:t xml:space="preserve">订单号【订单号】</w:t>
      </w:r>
      <w:r>
        <w:rPr>
          <w:rFonts w:ascii="Times" w:hAnsi="Times" w:cs="Times"/>
          <w:sz w:val="24"/>
          <w:sz-cs w:val="24"/>
        </w:rPr>
        <w:t xml:space="preserve">的被诉侵权产品信息已不存在。答辩人和快购公司共同采取合理措施，及时制止了被控侵权行为，未导致原告进一步损失，尽到事后合理审慎的注意义务，不应该承担法律责任。</w:t>
      </w:r>
    </w:p>
    <w:p>
      <w:pPr>
        <w:jc w:val="both"/>
      </w:pPr>
      <w:r>
        <w:rPr>
          <w:rFonts w:ascii="Times" w:hAnsi="Times" w:cs="Times"/>
          <w:sz w:val="24"/>
          <w:sz-cs w:val="24"/>
          <w:b/>
        </w:rPr>
        <w:t xml:space="preserve"/>
      </w:r>
    </w:p>
    <w:p>
      <w:pPr>
        <w:jc w:val="both"/>
        <w:ind w:first-line="480"/>
      </w:pPr>
      <w:r>
        <w:rPr>
          <w:rFonts w:ascii="Times" w:hAnsi="Times" w:cs="Times"/>
          <w:sz w:val="24"/>
          <w:sz-cs w:val="24"/>
          <w:b/>
        </w:rPr>
        <w:t xml:space="preserve">四、结论</w:t>
      </w:r>
    </w:p>
    <w:p>
      <w:pPr>
        <w:jc w:val="both"/>
        <w:ind w:first-line="480"/>
      </w:pPr>
      <w:r>
        <w:rPr>
          <w:rFonts w:ascii="Times" w:hAnsi="Times" w:cs="Times"/>
          <w:sz w:val="24"/>
          <w:sz-cs w:val="24"/>
        </w:rPr>
        <w:t xml:space="preserve">综上所述，答辩人未实施被控侵权行为并非本案适格被告，作为第三方平台快购公司已经事前尽到资质审查及合法合格提醒义务，事后亦做到合理审慎注意义务，答辩人对本案无过错，因此对本案不应承担责任。</w:t>
      </w:r>
    </w:p>
    <w:p>
      <w:pPr>
        <w:jc w:val="both"/>
        <w:ind w:first-line="480"/>
      </w:pPr>
      <w:r>
        <w:rPr>
          <w:rFonts w:ascii="Times" w:hAnsi="Times" w:cs="Times"/>
          <w:sz w:val="24"/>
          <w:sz-cs w:val="24"/>
        </w:rPr>
        <w:t xml:space="preserve"/>
      </w:r>
    </w:p>
    <w:p>
      <w:pPr>
        <w:jc w:val="both"/>
        <w:ind w:first-line="480"/>
      </w:pPr>
      <w:r>
        <w:rPr>
          <w:rFonts w:ascii="Times" w:hAnsi="Times" w:cs="Times"/>
          <w:sz w:val="24"/>
          <w:sz-cs w:val="24"/>
        </w:rPr>
        <w:t xml:space="preserve">此致</w:t>
      </w:r>
    </w:p>
    <w:p>
      <w:pPr>
        <w:jc w:val="both"/>
      </w:pPr>
      <w:r>
        <w:rPr>
          <w:rFonts w:ascii="Times" w:hAnsi="Times" w:cs="Times"/>
          <w:sz w:val="24"/>
          <w:sz-cs w:val="24"/>
        </w:rPr>
        <w:t xml:space="preserve">【XXX法院】</w:t>
      </w:r>
    </w:p>
    <w:p>
      <w:pPr>
        <w:ind w:left="3990"/>
      </w:pPr>
      <w:r>
        <w:rPr>
          <w:rFonts w:ascii="Times" w:hAnsi="Times" w:cs="Times"/>
          <w:sz w:val="24"/>
          <w:sz-cs w:val="24"/>
        </w:rPr>
        <w:t xml:space="preserve">答辩人：北京快手科技有限公司</w:t>
      </w:r>
    </w:p>
    <w:p>
      <w:pPr>
        <w:ind w:left="3990"/>
      </w:pPr>
      <w:r>
        <w:rPr>
          <w:rFonts w:ascii="Times" w:hAnsi="Times" w:cs="Times"/>
          <w:sz w:val="24"/>
          <w:sz-cs w:val="24"/>
        </w:rPr>
        <w:t xml:space="preserve">法定代表人：</w:t>
      </w:r>
    </w:p>
    <w:p>
      <w:pPr>
        <w:ind w:left="3990"/>
      </w:pPr>
      <w:r>
        <w:rPr>
          <w:rFonts w:ascii="Times" w:hAnsi="Times" w:cs="Times"/>
          <w:sz w:val="24"/>
          <w:sz-cs w:val="24"/>
        </w:rPr>
        <w:t xml:space="preserve">日期：</w:t>
      </w:r>
      <w:r>
        <w:rPr>
          <w:rFonts w:ascii="Times" w:hAnsi="Times" w:cs="Times"/>
          <w:sz w:val="24"/>
          <w:sz-cs w:val="24"/>
        </w:rPr>
        <w:t xml:space="preserve">【年月日】</w:t>
      </w:r>
    </w:p>
    <w:p>
      <w:pPr>
        <w:jc w:val="both"/>
      </w:pPr>
      <w:r>
        <w:rPr>
          <w:rFonts w:ascii="Times" w:hAnsi="Times" w:cs="Times"/>
          <w:sz w:val="24"/>
          <w:sz-cs w:val="24"/>
          <w:b/>
        </w:rPr>
        <w:t xml:space="preserve"/>
      </w:r>
    </w:p>
    <w:p>
      <w:pPr>
        <w:jc w:val="right"/>
      </w:pPr>
      <w:r>
        <w:rPr>
          <w:rFonts w:ascii="Times" w:hAnsi="Times" w:cs="Times"/>
          <w:sz w:val="24"/>
          <w:sz-cs w:val="24"/>
          <w:b/>
        </w:rPr>
        <w:t xml:space="preserve"/>
      </w:r>
    </w:p>
    <w:p>
      <w:pPr>
        <w:jc w:val="both"/>
      </w:pPr>
      <w:r>
        <w:rPr>
          <w:rFonts w:ascii="Times" w:hAnsi="Times" w:cs="Times"/>
          <w:sz w:val="24"/>
          <w:sz-cs w:val="24"/>
          <w:b/>
        </w:rPr>
        <w:t xml:space="preserve"/>
      </w:r>
    </w:p>
    <w:p>
      <w:pPr>
        <w:jc w:val="center"/>
      </w:pPr>
      <w:r>
        <w:rPr>
          <w:rFonts w:ascii="Times" w:hAnsi="Times" w:cs="Times"/>
          <w:sz w:val="18"/>
          <w:sz-cs w:val="18"/>
          <w:b/>
        </w:rPr>
        <w:t xml:space="preserve">PAGE1</w:t>
      </w:r>
      <w:r>
        <w:rPr>
          <w:rFonts w:ascii="Times" w:hAnsi="Times" w:cs="Times"/>
          <w:sz w:val="18"/>
          <w:sz-cs w:val="18"/>
        </w:rPr>
        <w:t xml:space="preserve"> / </w:t>
      </w:r>
      <w:r>
        <w:rPr>
          <w:rFonts w:ascii="Times" w:hAnsi="Times" w:cs="Times"/>
          <w:sz w:val="18"/>
          <w:sz-cs w:val="18"/>
          <w:b/>
        </w:rPr>
        <w:t xml:space="preserve">NUMPAGES1</w:t>
      </w:r>
      <w:r>
        <w:rPr>
          <w:rFonts w:ascii="Times" w:hAnsi="Times" w:cs="Times"/>
          <w:sz w:val="18"/>
          <w:sz-cs w:val="18"/>
        </w:rPr>
        <w:t xml:space="preserve"/>
      </w:r>
    </w:p>
    <w:p>
      <w:pPr/>
      <w:r>
        <w:rPr>
          <w:rFonts w:ascii="Times" w:hAnsi="Times" w:cs="Times"/>
          <w:sz w:val="18"/>
          <w:sz-cs w:val="18"/>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LONGAN LAW29</dc:creator>
  <cp:lastModifiedBy>批注1</cp:lastModifiedBy>
  <dcterms:created>2023-04-23T01:48:00Z</dcterms:created>
  <dcterms:modified>2023-04-23T01:48:00Z</dcterms:modified>
</cp:coreProperties>
</file>

<file path=docProps/meta.xml><?xml version="1.0" encoding="utf-8"?>
<meta xmlns="http://schemas.apple.com/cocoa/2006/metadata">
  <generator>CocoaOOXMLWriter/2487.7</generator>
</meta>
</file>