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spacing w:after="80"/>
        <w:jc w:val="center"/>
      </w:pPr>
      <w:r>
        <w:drawing>
          <wp:inline distT="0" distB="0" distL="0" distR="0">
            <wp:extent cx="3429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60"/>
        <w:jc w:val="center"/>
      </w:pPr>
      <w:r>
        <w:rPr>
          <w:rFonts w:ascii="Arial" w:cs="Arial" w:eastAsia="Arial" w:hAnsi="Arial"/>
          <w:b/>
          <w:bCs/>
          <w:color w:val="6C2BFF"/>
          <w:spacing w:val="80"/>
          <w:sz w:val="20"/>
          <w:szCs w:val="20"/>
        </w:rPr>
        <w:t xml:space="preserve">PROJETO DE REBRANDING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0D0D1A"/>
          <w:sz w:val="52"/>
          <w:szCs w:val="52"/>
        </w:rPr>
        <w:t xml:space="preserve">De Linka para Veloo</w:t>
      </w:r>
    </w:p>
    <w:p>
      <w:pPr>
        <w:spacing w:after="24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Diagnóstico, racional estratégico e diretrizes de marca</w:t>
      </w:r>
    </w:p>
    <w:p>
      <w:pPr>
        <w:spacing w:after="0" w:before="20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Documento confidencial · Uso interno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Versão 1.0 · Maio de 2026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C2BFF"/>
          <w:spacing w:val="60"/>
          <w:sz w:val="16"/>
          <w:szCs w:val="16"/>
        </w:rPr>
        <w:t xml:space="preserve">CONTEÚDO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D0D1A"/>
          <w:sz w:val="40"/>
          <w:szCs w:val="4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6C2BFF"/>
          <w:spacing w:val="60"/>
          <w:sz w:val="16"/>
          <w:szCs w:val="16"/>
        </w:rPr>
        <w:t xml:space="preserve">01 · RESUMO</w:t>
      </w:r>
    </w:p>
    <w:p>
      <w:pPr>
        <w:pStyle w:val="Heading1"/>
      </w:pPr>
      <w:r>
        <w:t xml:space="preserve">Sumário executivo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Este documento formaliza a transição de marca do produto anteriormente denominado </w:t>
      </w:r>
      <w:r>
        <w:rPr>
          <w:rFonts w:ascii="Arial" w:cs="Arial" w:eastAsia="Arial" w:hAnsi="Arial"/>
          <w:b/>
          <w:bCs/>
        </w:rPr>
        <w:t xml:space="preserve">Linka</w:t>
      </w:r>
      <w:r>
        <w:rPr>
          <w:rFonts w:ascii="Arial" w:cs="Arial" w:eastAsia="Arial" w:hAnsi="Arial"/>
        </w:rPr>
        <w:t xml:space="preserve"> para </w:t>
      </w:r>
      <w:r>
        <w:rPr>
          <w:rFonts w:ascii="Arial" w:cs="Arial" w:eastAsia="Arial" w:hAnsi="Arial"/>
          <w:b/>
          <w:bCs/>
        </w:rPr>
        <w:t xml:space="preserve">Veloo</w:t>
      </w:r>
      <w:r>
        <w:rPr>
          <w:rFonts w:ascii="Arial" w:cs="Arial" w:eastAsia="Arial" w:hAnsi="Arial"/>
        </w:rPr>
        <w:t xml:space="preserve">. O produto é um aplicativo de teste de velocidade e diagnóstico de rede para o consumidor final, com camada de inteligência artificial responsável por interpretar resultados e orientar o usuário leigo.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A recomendação de rebranding não decorre de preferência estética, mas de três riscos concretos identificados na marca anterior: colisão com produto de inteligência artificial já existente no mesmo segmento, baixa distintividade (alto custo de registro e de descoberta) e desalinhamento entre o significado do nome (“conexão”) e o diferencial do produto (“inteligência”).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E7FF" w:sz="1"/>
              <w:left w:val="single" w:color="6C2BFF" w:sz="24"/>
              <w:bottom w:val="single" w:color="EFE7FF" w:sz="1"/>
              <w:right w:val="single" w:color="EFE7FF" w:sz="1"/>
            </w:tcBorders>
            <w:shd w:fill="EFE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Decisão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Adoção da marca </w:t>
            </w:r>
            <w:r>
              <w:rPr>
                <w:rFonts w:ascii="Arial" w:cs="Arial" w:eastAsia="Arial" w:hAnsi="Arial"/>
                <w:b/>
                <w:bCs/>
                <w:color w:val="6C2BFF"/>
                <w:sz w:val="21"/>
                <w:szCs w:val="21"/>
              </w:rPr>
              <w:t xml:space="preserve">Veloo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com identidade visual derivada do design system existente, mantendo paleta e tom já validados em produto.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</w:rPr>
        <w:t xml:space="preserve">Os ativos de marca (logotipo, ícone de aplicativo, favicons e variações) foram produzidos e acompanham este documento. As pendências de natureza jurídica e administrativa — registro de domínio, busca de marca no INPI e verificação contratual — estão na seção de riscos e devem ser tratadas antes de qualquer investimento em divulgação.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C2BFF"/>
          <w:spacing w:val="60"/>
          <w:sz w:val="16"/>
          <w:szCs w:val="16"/>
        </w:rPr>
        <w:t xml:space="preserve">02 · CONTEXTO</w:t>
      </w:r>
    </w:p>
    <w:p>
      <w:pPr>
        <w:pStyle w:val="Heading1"/>
      </w:pPr>
      <w:r>
        <w:t xml:space="preserve">Contexto e objetivo</w:t>
      </w:r>
    </w:p>
    <w:p>
      <w:pPr>
        <w:pStyle w:val="Heading2"/>
      </w:pPr>
      <w:r>
        <w:t xml:space="preserve">O produto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Veloo é um aplicativo voltado ao consumidor final leigo — não ao público técnico. Sua proposta é responder, de forma simples, à pergunta que o usuário comum faz quando a internet falha: por que minha conexão está ruim? O aplicativo mede velocidade, latência e estabilidade e, por meio de uma camada de IA, traduz métricas cruas em um veredito compreensível e em orientações práticas.</w:t>
      </w:r>
    </w:p>
    <w:p>
      <w:pPr>
        <w:pStyle w:val="Heading2"/>
      </w:pPr>
      <w:r>
        <w:t xml:space="preserve">Posicionamento pretendido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O posicionamento aprovado prioriza três atributos, nesta ordem: clareza para o leigo, sensação de inteligência (a IA como diferencial) e seriedade técnica que transmita confiança. O nome e a identidade devem sustentar esses atributos sem recorrer a jargão que afaste o público não técnico.</w:t>
      </w:r>
    </w:p>
    <w:p>
      <w:pPr>
        <w:pStyle w:val="Heading2"/>
      </w:pPr>
      <w:r>
        <w:t xml:space="preserve">Por que rebranding agora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A marca Linka foi avaliada e considerada inadequada para escalar. Realizar a transição na fase atual — antes do lançamento público e de investimento em mídia — é substancialmente mais barato e menos arriscado do que reposicionar uma marca já estabelecida.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C2BFF"/>
          <w:spacing w:val="60"/>
          <w:sz w:val="16"/>
          <w:szCs w:val="16"/>
        </w:rPr>
        <w:t xml:space="preserve">03 · DIAGNÓSTICO</w:t>
      </w:r>
    </w:p>
    <w:p>
      <w:pPr>
        <w:pStyle w:val="Heading1"/>
      </w:pPr>
      <w:r>
        <w:t xml:space="preserve">Diagnóstico da marca anterior (Linka)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A análise da marca Linka identificou três fragilidades estruturais. Nenhuma é cosmética; todas afetam a capacidade do produto de ser registrado, encontrado e diferenciado.</w:t>
      </w:r>
    </w:p>
    <w:p>
      <w:pPr>
        <w:pStyle w:val="Heading2"/>
      </w:pPr>
      <w:r>
        <w:t xml:space="preserve">3.1 Colisão no segmento de IA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Existe um aplicativo denominado </w:t>
      </w:r>
      <w:r>
        <w:rPr>
          <w:rFonts w:ascii="Arial" w:cs="Arial" w:eastAsia="Arial" w:hAnsi="Arial"/>
          <w:b/>
          <w:bCs/>
        </w:rPr>
        <w:t xml:space="preserve">Linka AI</w:t>
      </w:r>
      <w:r>
        <w:rPr>
          <w:rFonts w:ascii="Arial" w:cs="Arial" w:eastAsia="Arial" w:hAnsi="Arial"/>
        </w:rPr>
        <w:t xml:space="preserve"> já publicado, atuando com agentes de inteligência artificial. Como a IA é justamente o diferencial pretendido, lançar marca quase idêntica no mesmo território cria confusão direta e enfraquece o registro.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Foram ainda identificadas outras entidades comerciais sob o nome Linka (agências e empresa de mobilidade), aumentando a saturação do termo.</w:t>
      </w:r>
    </w:p>
    <w:p>
      <w:pPr>
        <w:pStyle w:val="Heading2"/>
      </w:pPr>
      <w:r>
        <w:t xml:space="preserve">3.2 Baixa distintividade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O nome é construído sobre a raiz “link” — um dos termos mais genéricos da internet. Isso gera dois problemas: dificuldade de registro como marca (termo descritivo de conectividade) e desempenho fraco em busca e nas lojas, onde a marca competiria com o conceito inteiro de “link”.</w:t>
      </w:r>
    </w:p>
    <w:p>
      <w:pPr>
        <w:pStyle w:val="Heading2"/>
      </w:pPr>
      <w:r>
        <w:t xml:space="preserve">3.3 Desalinhamento de significado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“Linka” comunica conexão. O diferencial do produto, porém, não é conectar — é interpretar, diagnosticar, ter inteligência. O nome aponta para o atributo errado e desperdiça a oportunidade de reforçar a 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1F0" w:sz="1"/>
              <w:left w:val="single" w:color="FF4D4F" w:sz="24"/>
              <w:bottom w:val="single" w:color="FFF1F0" w:sz="1"/>
              <w:right w:val="single" w:color="FFF1F0" w:sz="1"/>
            </w:tcBorders>
            <w:shd w:fill="FFF1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Conclusão do diagnóstico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marca Linka não é proprietária (não pode ser plenamente registrada nem defendida), não é facilmente descoberta e comunica o atributo errado. Recomenda-se substituição.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/>
          <w:bCs/>
          <w:color w:val="6C2BFF"/>
          <w:spacing w:val="60"/>
          <w:sz w:val="16"/>
          <w:szCs w:val="16"/>
        </w:rPr>
        <w:t xml:space="preserve">04 · METODOLOGIA</w:t>
      </w:r>
    </w:p>
    <w:p>
      <w:pPr>
        <w:pStyle w:val="Heading1"/>
      </w:pPr>
      <w:r>
        <w:t xml:space="preserve">Processo de naming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A definição do novo nome seguiu processo iterativo de geração e eliminação, em que cada candidato foi submetido a quatro filtros objetivos antes de qualquer avaliação subjetiva de gosto.</w:t>
      </w:r>
    </w:p>
    <w:p>
      <w:pPr>
        <w:pStyle w:val="Heading2"/>
      </w:pPr>
      <w:r>
        <w:t xml:space="preserve">Critérios de eliminação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</w:rPr>
        <w:t xml:space="preserve">Risco de marca: </w:t>
      </w:r>
      <w:r>
        <w:rPr>
          <w:rFonts w:ascii="Arial" w:cs="Arial" w:eastAsia="Arial" w:hAnsi="Arial"/>
        </w:rPr>
        <w:t xml:space="preserve">colisão com marcas existentes no mesmo segmento, com atenção a empresas litigiosas.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</w:rPr>
        <w:t xml:space="preserve">Disponibilidade de domínio: </w:t>
      </w:r>
      <w:r>
        <w:rPr>
          <w:rFonts w:ascii="Arial" w:cs="Arial" w:eastAsia="Arial" w:hAnsi="Arial"/>
        </w:rPr>
        <w:t xml:space="preserve">prioridade para .com.br e .app, verificada via registries autoritativos.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</w:rPr>
        <w:t xml:space="preserve">Conflito com o empregador: </w:t>
      </w:r>
      <w:r>
        <w:rPr>
          <w:rFonts w:ascii="Arial" w:cs="Arial" w:eastAsia="Arial" w:hAnsi="Arial"/>
        </w:rPr>
        <w:t xml:space="preserve">exclusão de nome que coincida com sistemas, produtos ou marcas de operadora de telecomunicações, por prudência contratual.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</w:rPr>
        <w:t xml:space="preserve">Aderência ao posicionamento: </w:t>
      </w:r>
      <w:r>
        <w:rPr>
          <w:rFonts w:ascii="Arial" w:cs="Arial" w:eastAsia="Arial" w:hAnsi="Arial"/>
        </w:rPr>
        <w:t xml:space="preserve">nome curto, sonoro e com personalidade, evitando termos genéricos e jargão técnico.</w:t>
      </w:r>
    </w:p>
    <w:p>
      <w:pPr>
        <w:pStyle w:val="Heading2"/>
      </w:pPr>
      <w:r>
        <w:t xml:space="preserve">Candidatos avaliados e descartados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Ao longo do processo, diversos candidatos foram testados e eliminados. A tabela resume os principais e o motivo do descarte — registro útil para evitar retrabalho.</w:t>
      </w:r>
    </w:p>
    <w:tbl>
      <w:tblPr>
        <w:tblW w:type="dxa" w:w="9360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D0D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Candidato</w:t>
            </w:r>
          </w:p>
        </w:tc>
        <w:tc>
          <w:tcPr>
            <w:tcW w:type="dxa" w:w="6960"/>
            <w:shd w:fill="0D0D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Motivo do descarte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Pulso / Pulse</w:t>
            </w:r>
          </w:p>
        </w:tc>
        <w:tc>
          <w:tcPr>
            <w:tcW w:type="dxa" w:w="696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Colisão com “Speedtest Pulse”, produto de diagnóstico de rede da Ookla no mesmo segmento.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Ping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Termo técnico genérico; não registrável e impossível de ranquear em busca.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Sonar</w:t>
            </w:r>
          </w:p>
        </w:tc>
        <w:tc>
          <w:tcPr>
            <w:tcW w:type="dxa" w:w="696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Coincide com sistema interno do empregador; risco de conflito.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Speedy / Velox / Ajato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Marcas de internet de operadoras concorrentes; risco de marca e conflito setorial.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Fing</w:t>
            </w:r>
          </w:p>
        </w:tc>
        <w:tc>
          <w:tcPr>
            <w:tcW w:type="dxa" w:w="696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Aplicativo concorrente direto de diagnóstico de rede já consolidado.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Vnet / Netfly / Linka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Genéricos ou derivativos; baixa distintividade. “Netfly” ainda evoca “Netflix”.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Fibby</w:t>
            </w:r>
          </w:p>
        </w:tc>
        <w:tc>
          <w:tcPr>
            <w:tcW w:type="dxa" w:w="696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Forte candidato, com domínios livres; preterido por decisão de marca em favor de Veloo.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/>
          <w:bCs/>
          <w:color w:val="6C2BFF"/>
          <w:spacing w:val="60"/>
          <w:sz w:val="16"/>
          <w:szCs w:val="16"/>
        </w:rPr>
        <w:t xml:space="preserve">05 · RECOMENDAÇÃO</w:t>
      </w:r>
    </w:p>
    <w:p>
      <w:pPr>
        <w:pStyle w:val="Heading1"/>
      </w:pPr>
      <w:r>
        <w:t xml:space="preserve">A marca: Veloo</w:t>
      </w:r>
    </w:p>
    <w:p>
      <w:pPr>
        <w:spacing w:after="160" w:line="276"/>
      </w:pPr>
      <w:r>
        <w:rPr>
          <w:rFonts w:ascii="Arial" w:cs="Arial" w:eastAsia="Arial" w:hAnsi="Arial"/>
          <w:b/>
          <w:bCs/>
        </w:rPr>
        <w:t xml:space="preserve">Veloo</w:t>
      </w:r>
      <w:r>
        <w:rPr>
          <w:rFonts w:ascii="Arial" w:cs="Arial" w:eastAsia="Arial" w:hAnsi="Arial"/>
        </w:rPr>
        <w:t xml:space="preserve"> deriva de “veloz”. É curto, sonoro e de pronúncia inequívoca em português. A terminação em “oo” confere ritmo e modernidade, e o nome comunica diretamente o benefício central percebido pelo usuário: velocidade.</w:t>
      </w:r>
    </w:p>
    <w:p>
      <w:pPr>
        <w:pStyle w:val="Heading2"/>
      </w:pPr>
      <w:r>
        <w:t xml:space="preserve">Justificativa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Arial" w:cs="Arial" w:eastAsia="Arial" w:hAnsi="Arial"/>
          <w:b/>
          <w:bCs/>
        </w:rPr>
        <w:t xml:space="preserve">Aderência fonética: </w:t>
      </w:r>
      <w:r>
        <w:rPr>
          <w:rFonts w:ascii="Arial" w:cs="Arial" w:eastAsia="Arial" w:hAnsi="Arial"/>
        </w:rPr>
        <w:t xml:space="preserve">atende ao perfil sonoro aprovado — curto, com presença e fácil de falar e escrever, sem ambiguidade de pronúncia.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Arial" w:cs="Arial" w:eastAsia="Arial" w:hAnsi="Arial"/>
          <w:b/>
          <w:bCs/>
        </w:rPr>
        <w:t xml:space="preserve">Disponibilidade: </w:t>
      </w:r>
      <w:r>
        <w:rPr>
          <w:rFonts w:ascii="Arial" w:cs="Arial" w:eastAsia="Arial" w:hAnsi="Arial"/>
        </w:rPr>
        <w:t xml:space="preserve">o domínio .app encontra-se livre, viabilizando presença digital própria. (Ver ressalva sobre .com.br na seção de riscos.)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Arial" w:cs="Arial" w:eastAsia="Arial" w:hAnsi="Arial"/>
          <w:b/>
          <w:bCs/>
        </w:rPr>
        <w:t xml:space="preserve">Território limpo: </w:t>
      </w:r>
      <w:r>
        <w:rPr>
          <w:rFonts w:ascii="Arial" w:cs="Arial" w:eastAsia="Arial" w:hAnsi="Arial"/>
        </w:rPr>
        <w:t xml:space="preserve">não coincide com marcas de operadoras, aplicativos concorrentes nem sistemas do empregador.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Arial" w:cs="Arial" w:eastAsia="Arial" w:hAnsi="Arial"/>
          <w:b/>
          <w:bCs/>
        </w:rPr>
        <w:t xml:space="preserve">Extensão de marca: </w:t>
      </w:r>
      <w:r>
        <w:rPr>
          <w:rFonts w:ascii="Arial" w:cs="Arial" w:eastAsia="Arial" w:hAnsi="Arial"/>
        </w:rPr>
        <w:t xml:space="preserve">nome cunhado o suficiente para sustentar registro distintivo, ao contrário de termos genéricos.</w:t>
      </w:r>
    </w:p>
    <w:p>
      <w:pPr>
        <w:pStyle w:val="Heading2"/>
      </w:pPr>
      <w:r>
        <w:t xml:space="preserve">Ressalvas conhecidas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Em espanhol, “veloo” aproxima-se de termos de movimento — irrelevante para o mercado brasileiro e coerente com o tema. O nome comunica velocidade, não “diagnóstico” ou “IA” diretamente; essa função é cumprida pela assinatura e pela identidade visual.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E7FF" w:sz="1"/>
              <w:left w:val="single" w:color="6C2BFF" w:sz="24"/>
              <w:bottom w:val="single" w:color="EFE7FF" w:sz="1"/>
              <w:right w:val="single" w:color="EFE7FF" w:sz="1"/>
            </w:tcBorders>
            <w:shd w:fill="EFE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Assinatura de marca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6C2BFF"/>
                <w:sz w:val="22"/>
                <w:szCs w:val="22"/>
              </w:rPr>
              <w:t xml:space="preserve">Veloo</w:t>
            </w:r>
            <w:r>
              <w:rPr>
                <w:rFonts w:ascii="Arial" w:cs="Arial" w:eastAsia="Arial" w:hAnsi="Arial"/>
                <w:color w:val="0D0D1A"/>
                <w:sz w:val="22"/>
                <w:szCs w:val="22"/>
              </w:rPr>
              <w:t xml:space="preserve">   ·   Internet sob controle · IA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/>
          <w:bCs/>
          <w:color w:val="6C2BFF"/>
          <w:spacing w:val="60"/>
          <w:sz w:val="16"/>
          <w:szCs w:val="16"/>
        </w:rPr>
        <w:t xml:space="preserve">06 · IDENTIDADE</w:t>
      </w:r>
    </w:p>
    <w:p>
      <w:pPr>
        <w:pStyle w:val="Heading1"/>
      </w:pPr>
      <w:r>
        <w:t xml:space="preserve">Identidade visual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A identidade foi construída sobre o design system existente, preservando paleta e tom já validados em produto. Apenas os elementos atrelados ao nome anterior foram refeitos.</w:t>
      </w:r>
    </w:p>
    <w:p>
      <w:pPr>
        <w:pStyle w:val="Heading2"/>
      </w:pPr>
      <w:r>
        <w:t xml:space="preserve">Logotipo</w:t>
      </w:r>
    </w:p>
    <w:p>
      <w:pPr>
        <w:spacing w:after="60" w:before="100"/>
        <w:jc w:val="center"/>
      </w:pPr>
      <w:r>
        <w:drawing>
          <wp:inline distT="0" distB="0" distL="0" distR="0">
            <wp:extent cx="28575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rFonts w:ascii="Arial" w:cs="Arial" w:eastAsia="Arial" w:hAnsi="Arial"/>
        </w:rPr>
        <w:t xml:space="preserve">O símbolo é um “V” estilizado em forma de seta apontando para frente, com rastro de movimento e um ponto luminoso na extremidade — o sinal que a IA detecta. Reúne a inicial da marca, a ideia de velocidade e a de diagnóstico em uma forma única, legível mesmo em tamanhos reduzidos.</w:t>
      </w:r>
    </w:p>
    <w:p>
      <w:pPr>
        <w:pStyle w:val="Heading2"/>
      </w:pPr>
      <w:r>
        <w:t xml:space="preserve">Símbolo e ícone do aplicativo</w:t>
      </w:r>
    </w:p>
    <w:p>
      <w:pPr>
        <w:spacing w:after="60" w:before="6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rFonts w:ascii="Arial" w:cs="Arial" w:eastAsia="Arial" w:hAnsi="Arial"/>
        </w:rPr>
        <w:t xml:space="preserve">O ícone de aplicativo posiciona o símbolo sobre fundo escuro (token Orbit), garantindo contraste e presença nas lojas e na tela inicial do dispositivo.</w:t>
      </w:r>
    </w:p>
    <w:p>
      <w:pPr>
        <w:pStyle w:val="Heading2"/>
      </w:pPr>
      <w:r>
        <w:t xml:space="preserve">Paleta</w:t>
      </w:r>
    </w:p>
    <w:tbl>
      <w:tblPr>
        <w:tblW w:type="dxa" w:w="9360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0D0D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shd w:fill="0D0D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360"/>
            <w:shd w:fill="0D0D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2BFF"/>
                <w:sz w:val="19"/>
                <w:szCs w:val="19"/>
              </w:rPr>
              <w:t xml:space="preserve">Accent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#6C2BFF</w:t>
            </w:r>
          </w:p>
        </w:tc>
        <w:tc>
          <w:tcPr>
            <w:tcW w:type="dxa" w:w="536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Cor primária, CTA, destaques, símbolo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Orbit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#0D0D1A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Fundo escuro, ícone do app, área de IA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Surface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#1A0B2E</w:t>
            </w:r>
          </w:p>
        </w:tc>
        <w:tc>
          <w:tcPr>
            <w:tcW w:type="dxa" w:w="536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Superfícies secundárias no tema escuro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Accent Blue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#2563EB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Links e elementos informativos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Success</w:t>
            </w:r>
          </w:p>
        </w:tc>
        <w:tc>
          <w:tcPr>
            <w:tcW w:type="dxa" w:w="180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#22C55E</w:t>
            </w:r>
          </w:p>
        </w:tc>
        <w:tc>
          <w:tcPr>
            <w:tcW w:type="dxa" w:w="536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Estados positivos (conexão boa)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Tipografia</w:t>
      </w:r>
    </w:p>
    <w:p>
      <w:pPr>
        <w:spacing w:after="160" w:line="276"/>
      </w:pPr>
      <w:r>
        <w:rPr>
          <w:rFonts w:ascii="Arial" w:cs="Arial" w:eastAsia="Arial" w:hAnsi="Arial"/>
          <w:b/>
          <w:bCs/>
        </w:rPr>
        <w:t xml:space="preserve">Logotipo: </w:t>
      </w:r>
      <w:r>
        <w:rPr>
          <w:rFonts w:ascii="Arial" w:cs="Arial" w:eastAsia="Arial" w:hAnsi="Arial"/>
        </w:rPr>
        <w:t xml:space="preserve">Nunito (peso 900), convertida em curvas vetoriais — não depende de instalação. </w:t>
      </w:r>
      <w:r>
        <w:rPr>
          <w:rFonts w:ascii="Arial" w:cs="Arial" w:eastAsia="Arial" w:hAnsi="Arial"/>
          <w:b/>
          <w:bCs/>
        </w:rPr>
        <w:t xml:space="preserve">Interface: </w:t>
      </w:r>
      <w:r>
        <w:rPr>
          <w:rFonts w:ascii="Arial" w:cs="Arial" w:eastAsia="Arial" w:hAnsi="Arial"/>
        </w:rPr>
        <w:t xml:space="preserve">Roboto, conforme o design system, para todo o texto de produto.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C2BFF"/>
          <w:spacing w:val="60"/>
          <w:sz w:val="16"/>
          <w:szCs w:val="16"/>
        </w:rPr>
        <w:t xml:space="preserve">07 · RISCOS</w:t>
      </w:r>
    </w:p>
    <w:p>
      <w:pPr>
        <w:pStyle w:val="Heading1"/>
      </w:pPr>
      <w:r>
        <w:t xml:space="preserve">Riscos e pendências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As pendências a seguir não são de design e não se resolvem com a entrega dos ativos. Devem ser tratadas antes de investimento em divulgação.</w:t>
      </w:r>
    </w:p>
    <w:tbl>
      <w:tblPr>
        <w:tblW w:type="dxa" w:w="9360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shd w:fill="0D0D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Pendência</w:t>
            </w:r>
          </w:p>
        </w:tc>
        <w:tc>
          <w:tcPr>
            <w:tcW w:type="dxa" w:w="3700"/>
            <w:shd w:fill="0D0D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 se ignorada</w:t>
            </w:r>
          </w:p>
        </w:tc>
        <w:tc>
          <w:tcPr>
            <w:tcW w:type="dxa" w:w="3360"/>
            <w:shd w:fill="0D0D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 recomendada</w:t>
            </w:r>
          </w:p>
        </w:tc>
      </w:tr>
      <w:tr>
        <w:tc>
          <w:tcPr>
            <w:tcW w:type="dxa" w:w="230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Domínio .com.br</w:t>
            </w:r>
          </w:p>
        </w:tc>
        <w:tc>
          <w:tcPr>
            <w:tcW w:type="dxa" w:w="370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O .com.br de Veloo está registrado por terceiro; ausência de domínio principal enfraquece a marca no Brasil.</w:t>
            </w:r>
          </w:p>
        </w:tc>
        <w:tc>
          <w:tcPr>
            <w:tcW w:type="dxa" w:w="336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Negociar o .com.br ou consolidar a presença em .app; decidir antes do lançamento.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Registro no INPI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Uso de marca sem busca prévia expõe a conflito e a custo de rebranding futuro.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Busca de anterioridade nas classes 9, 38 e 42 com agente da propriedade industrial.</w:t>
            </w:r>
          </w:p>
        </w:tc>
      </w:tr>
      <w:tr>
        <w:tc>
          <w:tcPr>
            <w:tcW w:type="dxa" w:w="230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Conflito com empregador</w:t>
            </w:r>
          </w:p>
        </w:tc>
        <w:tc>
          <w:tcPr>
            <w:tcW w:type="dxa" w:w="370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Produto de telecom criado por profissional do setor pode esbarrar em cláusula de PI ou concorrência.</w:t>
            </w:r>
          </w:p>
        </w:tc>
        <w:tc>
          <w:tcPr>
            <w:tcW w:type="dxa" w:w="3360"/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Revisar o contrato de trabalho antes de qualquer divulgação pública.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Tokens do design system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Código mantém nomenclatura “linka” (ex.: linkaBlack), gerando inconsistência.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0D0D1A"/>
                <w:sz w:val="19"/>
                <w:szCs w:val="19"/>
              </w:rPr>
              <w:t xml:space="preserve">Renomear tokens para nomenclatura neutra ou “veloo” via substituição controlada.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F4F6" w:sz="1"/>
              <w:left w:val="single" w:color="6B7280" w:sz="24"/>
              <w:bottom w:val="single" w:color="F3F4F6" w:sz="1"/>
              <w:right w:val="single" w:color="F3F4F6" w:sz="1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0D1A"/>
                <w:sz w:val="22"/>
                <w:szCs w:val="22"/>
              </w:rPr>
              <w:t xml:space="preserve">Observação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Este documento trata do racional de marca e das diretrizes visuais. As ações jurídicas e administrativas listadas acima são de responsabilidade do cliente e não constituem aconselhamento jurídico.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/>
          <w:bCs/>
          <w:color w:val="6C2BFF"/>
          <w:spacing w:val="60"/>
          <w:sz w:val="16"/>
          <w:szCs w:val="16"/>
        </w:rPr>
        <w:t xml:space="preserve">08 · MIGRAÇÃO</w:t>
      </w:r>
    </w:p>
    <w:p>
      <w:pPr>
        <w:pStyle w:val="Heading1"/>
      </w:pPr>
      <w:r>
        <w:t xml:space="preserve">Plano de migração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Sequência recomendada para a transição de Linka para Veloo, priorizando a proteção da marca antes da exposição pública.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</w:rPr>
        <w:t xml:space="preserve">Proteção: </w:t>
      </w:r>
      <w:r>
        <w:rPr>
          <w:rFonts w:ascii="Arial" w:cs="Arial" w:eastAsia="Arial" w:hAnsi="Arial"/>
        </w:rPr>
        <w:t xml:space="preserve">garantir domínio e iniciar registro de marca antes de comunicar a mudança.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</w:rPr>
        <w:t xml:space="preserve">Código e produto: </w:t>
      </w:r>
      <w:r>
        <w:rPr>
          <w:rFonts w:ascii="Arial" w:cs="Arial" w:eastAsia="Arial" w:hAnsi="Arial"/>
        </w:rPr>
        <w:t xml:space="preserve">substituir nome e tokens no repositório; aplicar novos ícones e logotipo no aplicativo.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</w:rPr>
        <w:t xml:space="preserve">Lojas: </w:t>
      </w:r>
      <w:r>
        <w:rPr>
          <w:rFonts w:ascii="Arial" w:cs="Arial" w:eastAsia="Arial" w:hAnsi="Arial"/>
        </w:rPr>
        <w:t xml:space="preserve">atualizar nome, ícone e descrições, posicionando “teste de velocidade da internet” nas palavras-chave (descritivo e seguro).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</w:rPr>
        <w:t xml:space="preserve">Presença digital: </w:t>
      </w:r>
      <w:r>
        <w:rPr>
          <w:rFonts w:ascii="Arial" w:cs="Arial" w:eastAsia="Arial" w:hAnsi="Arial"/>
        </w:rPr>
        <w:t xml:space="preserve">publicar site e favicons; configurar manifesto PWA com as cores da marca.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</w:rPr>
        <w:t xml:space="preserve">Comunicação: </w:t>
      </w:r>
      <w:r>
        <w:rPr>
          <w:rFonts w:ascii="Arial" w:cs="Arial" w:eastAsia="Arial" w:hAnsi="Arial"/>
        </w:rPr>
        <w:t xml:space="preserve">anunciar a marca somente após as etapas anteriores concluídas.</w:t>
      </w:r>
    </w:p>
    <w:p>
      <w:pPr>
        <w:spacing w:before="200"/>
      </w:pPr>
    </w:p>
    <w:p>
      <w:pPr>
        <w:pStyle w:val="Heading2"/>
      </w:pPr>
      <w:r>
        <w:t xml:space="preserve">Anexos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Arial" w:cs="Arial" w:eastAsia="Arial" w:hAnsi="Arial"/>
        </w:rPr>
        <w:t xml:space="preserve">Logotipo (versões escura, clara e transparente) — SVG vetorial.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Arial" w:cs="Arial" w:eastAsia="Arial" w:hAnsi="Arial"/>
        </w:rPr>
        <w:t xml:space="preserve">Ícone do aplicativo e símbolo isolado — SVG.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Arial" w:cs="Arial" w:eastAsia="Arial" w:hAnsi="Arial"/>
        </w:rPr>
        <w:t xml:space="preserve">Favicons e ícones web/PWA (16 a 512 px), apple-touch-icon e manifesto.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Arial" w:cs="Arial" w:eastAsia="Arial" w:hAnsi="Arial"/>
        </w:rPr>
        <w:t xml:space="preserve">Guia de uso dos arquivos (COMO-USAR).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5"/>
        <w:szCs w:val="15"/>
      </w:rPr>
      <w:t xml:space="preserve">Documento confidencial · Uso interno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0"/>
      <w:jc w:val="right"/>
    </w:pPr>
    <w:r>
      <w:rPr>
        <w:rFonts w:ascii="Arial" w:cs="Arial" w:eastAsia="Arial" w:hAnsi="Arial"/>
        <w:color w:val="6B7280"/>
        <w:spacing w:val="40"/>
        <w:sz w:val="15"/>
        <w:szCs w:val="15"/>
      </w:rPr>
      <w:t xml:space="preserve">VELOO · Rebranding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C2BFF" w:sz="6" w:space="6"/>
      </w:pBdr>
      <w:spacing w:after="140" w:before="220"/>
      <w:outlineLvl w:val="0"/>
    </w:pPr>
    <w:rPr>
      <w:rFonts w:ascii="Arial" w:cs="Arial" w:eastAsia="Arial" w:hAnsi="Arial"/>
      <w:b/>
      <w:bCs/>
      <w:color w:val="0D0D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A114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bb4781f2e8fd19ef89e0fef104e692129696f1f.png"/><Relationship Id="rId10" Type="http://schemas.openxmlformats.org/officeDocument/2006/relationships/image" Target="media/11995f02a14177e863e1f459992a992f8e097abd.png"/><Relationship Id="rId11" Type="http://schemas.openxmlformats.org/officeDocument/2006/relationships/image" Target="media/928b794b24fe29d894fafc3c6f22824e51c94e9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Rebranding Linka para Veloo</dc:title>
  <dc:creator>Consultoria de Marca</dc:creator>
  <cp:lastModifiedBy>Un-named</cp:lastModifiedBy>
  <cp:revision>1</cp:revision>
  <dcterms:created xsi:type="dcterms:W3CDTF">2026-05-29T18:29:32.032Z</dcterms:created>
  <dcterms:modified xsi:type="dcterms:W3CDTF">2026-05-29T18:29:32.032Z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