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Success Queries Workbook Guide</w:t>
      </w:r>
    </w:p>
    <w:p>
      <w:r/>
      <w:r>
        <w:rPr>
          <w:b/>
        </w:rPr>
        <w:t>File:</w:t>
      </w:r>
      <w:r>
        <w:t xml:space="preserve"> </w:t>
      </w:r>
      <w:r>
        <w:rPr>
          <w:rFonts w:ascii="Consolas" w:hAnsi="Consolas"/>
          <w:color w:val="8B0000"/>
          <w:sz w:val="16"/>
        </w:rPr>
        <w:t>metadata/success_queries.xlsx</w:t>
      </w:r>
      <w:r>
        <w:t xml:space="preserve"> </w:t>
      </w:r>
      <w:r>
        <w:rPr>
          <w:b/>
        </w:rPr>
        <w:t>Last Updated:</w:t>
      </w:r>
      <w:r>
        <w:t xml:space="preserve"> 2026-02-04 </w:t>
      </w:r>
      <w:r>
        <w:rPr>
          <w:b/>
        </w:rPr>
        <w:t>Status:</w:t>
      </w:r>
      <w:r>
        <w:t xml:space="preserve"> Active - 12 campaigns documented</w:t>
      </w:r>
    </w:p>
    <w:p>
      <w:pPr>
        <w:spacing w:before="12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This File?</w:t>
      </w:r>
    </w:p>
    <w:p>
      <w:r>
        <w:t xml:space="preserve">The </w:t>
      </w:r>
      <w:r>
        <w:rPr>
          <w:rFonts w:ascii="Consolas" w:hAnsi="Consolas"/>
          <w:color w:val="8B0000"/>
          <w:sz w:val="16"/>
        </w:rPr>
        <w:t>success_queries.xlsx</w:t>
      </w:r>
      <w:r>
        <w:t xml:space="preserve"> workbook contains the SQL logic used to identify </w:t>
      </w:r>
      <w:r>
        <w:rPr>
          <w:b/>
        </w:rPr>
        <w:t>success events</w:t>
      </w:r>
      <w:r>
        <w:t xml:space="preserve"> for marketing campaigns. Each tab represents one campaign mnemonic and provides ready-to-run Teradata SQL queries via the </w:t>
      </w:r>
      <w:r>
        <w:rPr>
          <w:rFonts w:ascii="Consolas" w:hAnsi="Consolas"/>
          <w:color w:val="8B0000"/>
          <w:sz w:val="16"/>
        </w:rPr>
        <w:t>PROC SQL / CONNECT TO TERADATA</w:t>
      </w:r>
      <w:r>
        <w:t xml:space="preserve"> pattern used in SAS.</w:t>
      </w:r>
    </w:p>
    <w:p>
      <w:r>
        <w:t>The workbook is designed so that anyone on the team can:</w:t>
      </w:r>
    </w:p>
    <w:p>
      <w:pPr>
        <w:pStyle w:val="ListNumber"/>
      </w:pPr>
      <w:r>
        <w:t>Understand what data sources each campaign uses</w:t>
      </w:r>
    </w:p>
    <w:p>
      <w:pPr>
        <w:pStyle w:val="ListNumber"/>
      </w:pPr>
      <w:r>
        <w:t xml:space="preserve">Run a </w:t>
      </w:r>
      <w:r>
        <w:rPr>
          <w:b/>
        </w:rPr>
        <w:t>sample query</w:t>
      </w:r>
      <w:r>
        <w:t xml:space="preserve"> (10 rows) to see what the raw data looks like</w:t>
      </w:r>
    </w:p>
    <w:p>
      <w:pPr>
        <w:pStyle w:val="ListNumber"/>
      </w:pPr>
      <w:r>
        <w:t xml:space="preserve">Run a </w:t>
      </w:r>
      <w:r>
        <w:rPr>
          <w:b/>
        </w:rPr>
        <w:t>summary query</w:t>
      </w:r>
      <w:r>
        <w:t xml:space="preserve"> (grouped by year-month) to validate volumes and trends</w:t>
      </w:r>
    </w:p>
    <w:p>
      <w:pPr>
        <w:pStyle w:val="ListNumber"/>
      </w:pPr>
      <w:r>
        <w:t xml:space="preserve">See both </w:t>
      </w:r>
      <w:r>
        <w:rPr>
          <w:b/>
        </w:rPr>
        <w:t>organic</w:t>
      </w:r>
      <w:r>
        <w:t xml:space="preserve"> (all events regardless of campaign) and </w:t>
      </w:r>
      <w:r>
        <w:rPr>
          <w:b/>
        </w:rPr>
        <w:t>campaign-linked</w:t>
      </w:r>
      <w:r>
        <w:t xml:space="preserve"> (events tied to a specific tactic) views</w:t>
      </w:r>
    </w:p>
    <w:p>
      <w:pPr>
        <w:spacing w:before="12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Tab Structure</w:t>
      </w:r>
    </w:p>
    <w:p>
      <w:r>
        <w:t>Every tab follows the same layout:</w:t>
      </w:r>
    </w:p>
    <w:p>
      <w:pPr>
        <w:pStyle w:val="Heading3"/>
      </w:pPr>
      <w:r>
        <w:t>1. Source-to-Target Mapping Table (top of tab)</w:t>
      </w:r>
    </w:p>
    <w:p>
      <w:r>
        <w:t>A bordered table with three columns: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b/>
                <w:sz w:val="16"/>
              </w:rPr>
              <w:t>Column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**Target Column**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The standardized output field name (e.g., `clnt_no`, `event_dt`, `amount`)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**source table**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The EDW table where this field comes from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**source column/logic**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The specific column name or transformation logic</w:t>
            </w:r>
          </w:p>
        </w:tc>
      </w:tr>
    </w:tbl>
    <w:p/>
    <w:p>
      <w:r>
        <w:t>This mapping shows how raw source data maps to our standardized success event schema.</w:t>
      </w:r>
    </w:p>
    <w:p>
      <w:pPr>
        <w:pStyle w:val="Heading3"/>
      </w:pPr>
      <w:r>
        <w:t>2. Organic - Sample (10 rows)</w:t>
      </w:r>
    </w:p>
    <w:p>
      <w:r/>
      <w:r>
        <w:rPr>
          <w:b/>
        </w:rPr>
        <w:t>Green header.</w:t>
      </w:r>
      <w:r>
        <w:t xml:space="preserve"> Returns 10 recent rows from the source table with no campaign filter. This shows all events of that type regardless of whether a campaign was involved.</w:t>
      </w:r>
    </w:p>
    <w:p>
      <w:r>
        <w:t>Use this to: verify the data exists, check field values, confirm date ranges.</w:t>
      </w:r>
    </w:p>
    <w:p>
      <w:pPr>
        <w:pStyle w:val="Heading3"/>
      </w:pPr>
      <w:r>
        <w:t>3. Organic - Summary (by year-month)</w:t>
      </w:r>
    </w:p>
    <w:p>
      <w:r/>
      <w:r>
        <w:rPr>
          <w:b/>
        </w:rPr>
        <w:t>Yellow header.</w:t>
      </w:r>
      <w:r>
        <w:t xml:space="preserve"> Aggregates all organic events by year and month, showing </w:t>
      </w:r>
      <w:r>
        <w:rPr>
          <w:rFonts w:ascii="Consolas" w:hAnsi="Consolas"/>
          <w:color w:val="8B0000"/>
          <w:sz w:val="16"/>
        </w:rPr>
        <w:t>unique_clients</w:t>
      </w:r>
      <w:r>
        <w:t xml:space="preserve"> and </w:t>
      </w:r>
      <w:r>
        <w:rPr>
          <w:rFonts w:ascii="Consolas" w:hAnsi="Consolas"/>
          <w:color w:val="8B0000"/>
          <w:sz w:val="16"/>
        </w:rPr>
        <w:t>total_events</w:t>
      </w:r>
      <w:r>
        <w:t>. Some campaigns also include amount totals.</w:t>
      </w:r>
    </w:p>
    <w:p>
      <w:r>
        <w:t>Use this to: validate overall volumes, spot seasonality, confirm data freshness.</w:t>
      </w:r>
    </w:p>
    <w:p>
      <w:pPr>
        <w:pStyle w:val="Heading3"/>
      </w:pPr>
      <w:r>
        <w:t>4. Campaign - Sample (10 rows)</w:t>
      </w:r>
    </w:p>
    <w:p>
      <w:r/>
      <w:r>
        <w:rPr>
          <w:b/>
        </w:rPr>
        <w:t>Blue header.</w:t>
      </w:r>
      <w:r>
        <w:t xml:space="preserve"> Returns 10 recent rows joined to </w:t>
      </w:r>
      <w:r>
        <w:rPr>
          <w:rFonts w:ascii="Consolas" w:hAnsi="Consolas"/>
          <w:color w:val="8B0000"/>
          <w:sz w:val="16"/>
        </w:rPr>
        <w:t>DG6V01.TACTIC_EVNT_IP_AR_HIST</w:t>
      </w:r>
      <w:r>
        <w:t xml:space="preserve"> filtered by the campaign mnemonic. This links success events to specific campaign treatments.</w:t>
      </w:r>
    </w:p>
    <w:p>
      <w:r>
        <w:t>The join logic uses:</w:t>
      </w:r>
    </w:p>
    <w:p>
      <w:pPr>
        <w:pStyle w:val="ListBullet"/>
      </w:pPr>
      <w:r/>
      <w:r>
        <w:rPr>
          <w:rFonts w:ascii="Consolas" w:hAnsi="Consolas"/>
          <w:color w:val="8B0000"/>
          <w:sz w:val="16"/>
        </w:rPr>
        <w:t>SUBSTR(TACTIC_ID, 8, 3) = '&lt;MNE&gt;'</w:t>
      </w:r>
      <w:r>
        <w:t xml:space="preserve"> to filter by mnemonic</w:t>
      </w:r>
    </w:p>
    <w:p>
      <w:pPr>
        <w:pStyle w:val="ListBullet"/>
      </w:pPr>
      <w:r/>
      <w:r>
        <w:rPr>
          <w:rFonts w:ascii="Consolas" w:hAnsi="Consolas"/>
          <w:color w:val="8B0000"/>
          <w:sz w:val="16"/>
        </w:rPr>
        <w:t>SUCCESS_DT BETWEEN TREATMT_STRT_DT AND TREATMT_END_DT</w:t>
      </w:r>
      <w:r>
        <w:t xml:space="preserve"> to match within the treatment window</w:t>
      </w:r>
    </w:p>
    <w:p>
      <w:r>
        <w:t>Use this to: verify campaign-level attribution is working, check tactic IDs.</w:t>
      </w:r>
    </w:p>
    <w:p>
      <w:pPr>
        <w:pStyle w:val="Heading3"/>
      </w:pPr>
      <w:r>
        <w:t>5. Campaign - Summary (by year-month)</w:t>
      </w:r>
    </w:p>
    <w:p>
      <w:r/>
      <w:r>
        <w:rPr>
          <w:b/>
        </w:rPr>
        <w:t>Yellow header.</w:t>
      </w:r>
      <w:r>
        <w:t xml:space="preserve"> Same aggregation as organic summary but filtered to campaign-linked events only.</w:t>
      </w:r>
    </w:p>
    <w:p>
      <w:r>
        <w:t>Use this to: compare campaign volumes vs organic volumes, validate campaign attribution rates.</w:t>
      </w:r>
    </w:p>
    <w:p>
      <w:pPr>
        <w:spacing w:before="12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Campaigns Covered (12 tabs)</w:t>
      </w:r>
    </w:p>
    <w:p>
      <w:pPr>
        <w:pStyle w:val="Heading3"/>
      </w:pPr>
      <w:r>
        <w:t>VVD Card Campaigns (6 tabs)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Tab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Mnemonic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Metric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Source Table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VCN_Success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VCN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Card Acquisition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DDWV01.VISA_DR_CRD_DLY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VDA_Success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VDA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Card Acquisition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DDWV01.VISA_DR_CRD_DLY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VDT_Success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VDT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Card Activation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DDWV01.VISA_DR_CRD_DLY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VUI_Success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VUI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Card Usage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DDWV01.VISA_DR_CRD_DLY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VUT_Success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VUT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Wallet Provisioning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DDWV05.CLNT_CRD_POS_LOG + DL_DECMAN.TOKEN_LIST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VAW_Success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VAW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Wallet Provisioning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DDWV05.CLNT_CRD_POS_LOG + DL_DECMAN.TOKEN_LIST</w:t>
            </w:r>
          </w:p>
        </w:tc>
      </w:tr>
    </w:tbl>
    <w:p/>
    <w:p>
      <w:r/>
      <w:r>
        <w:rPr>
          <w:b/>
        </w:rPr>
        <w:t>Key filters for VVD cards:</w:t>
      </w:r>
      <w:r>
        <w:t xml:space="preserve"> </w:t>
      </w:r>
      <w:r>
        <w:rPr>
          <w:rFonts w:ascii="Consolas" w:hAnsi="Consolas"/>
          <w:color w:val="8B0000"/>
          <w:sz w:val="16"/>
        </w:rPr>
        <w:t>STS_CD IN ('06','08')</w:t>
      </w:r>
      <w:r>
        <w:t xml:space="preserve">, </w:t>
      </w:r>
      <w:r>
        <w:rPr>
          <w:rFonts w:ascii="Consolas" w:hAnsi="Consolas"/>
          <w:color w:val="8B0000"/>
          <w:sz w:val="16"/>
        </w:rPr>
        <w:t>SRVC_ID = 36</w:t>
      </w:r>
      <w:r>
        <w:t xml:space="preserve">, </w:t>
      </w:r>
      <w:r>
        <w:rPr>
          <w:rFonts w:ascii="Consolas" w:hAnsi="Consolas"/>
          <w:color w:val="8B0000"/>
          <w:sz w:val="16"/>
        </w:rPr>
        <w:t>SNAP_DT = MAX(SNAP_DT)</w:t>
      </w:r>
      <w:r>
        <w:t>.</w:t>
      </w:r>
    </w:p>
    <w:p>
      <w:r/>
      <w:r>
        <w:rPr>
          <w:b/>
        </w:rPr>
        <w:t>Key filters for wallet:</w:t>
      </w:r>
      <w:r>
        <w:t xml:space="preserve"> </w:t>
      </w:r>
      <w:r>
        <w:rPr>
          <w:rFonts w:ascii="Consolas" w:hAnsi="Consolas"/>
          <w:color w:val="8B0000"/>
          <w:sz w:val="16"/>
        </w:rPr>
        <w:t>AMT1 = 0</w:t>
      </w:r>
      <w:r>
        <w:t xml:space="preserve">, BIN prefix </w:t>
      </w:r>
      <w:r>
        <w:rPr>
          <w:rFonts w:ascii="Consolas" w:hAnsi="Consolas"/>
          <w:color w:val="8B0000"/>
          <w:sz w:val="16"/>
        </w:rPr>
        <w:t>45190</w:t>
      </w:r>
      <w:r>
        <w:t>/</w:t>
      </w:r>
      <w:r>
        <w:rPr>
          <w:rFonts w:ascii="Consolas" w:hAnsi="Consolas"/>
          <w:color w:val="8B0000"/>
          <w:sz w:val="16"/>
        </w:rPr>
        <w:t>45199</w:t>
      </w:r>
      <w:r>
        <w:t xml:space="preserve">, </w:t>
      </w:r>
      <w:r>
        <w:rPr>
          <w:rFonts w:ascii="Consolas" w:hAnsi="Consolas"/>
          <w:color w:val="8B0000"/>
          <w:sz w:val="16"/>
        </w:rPr>
        <w:t>TOKEN_WALLET_IND = 'Y'</w:t>
      </w:r>
      <w:r>
        <w:t xml:space="preserve">, </w:t>
      </w:r>
      <w:r>
        <w:rPr>
          <w:rFonts w:ascii="Consolas" w:hAnsi="Consolas"/>
          <w:color w:val="8B0000"/>
          <w:sz w:val="16"/>
        </w:rPr>
        <w:t>SRVC_CD = 36</w:t>
      </w:r>
      <w:r>
        <w:t>.</w:t>
      </w:r>
    </w:p>
    <w:p>
      <w:pPr>
        <w:pStyle w:val="Heading3"/>
      </w:pPr>
      <w:r>
        <w:t>Payments (1 tab)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Tab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Mnemonic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Metric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Source Table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IRI_Success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IRI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IMT Transaction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DDWV01.EXT_CDS_CHNL_EVNT</w:t>
            </w:r>
          </w:p>
        </w:tc>
      </w:tr>
    </w:tbl>
    <w:p/>
    <w:p>
      <w:r/>
      <w:r>
        <w:rPr>
          <w:b/>
        </w:rPr>
        <w:t>Key filters:</w:t>
      </w:r>
      <w:r>
        <w:t xml:space="preserve"> </w:t>
      </w:r>
      <w:r>
        <w:rPr>
          <w:rFonts w:ascii="Consolas" w:hAnsi="Consolas"/>
          <w:color w:val="8B0000"/>
          <w:sz w:val="16"/>
        </w:rPr>
        <w:t>ACTVY_TYP_CD = '031'</w:t>
      </w:r>
      <w:r>
        <w:t xml:space="preserve"> (international money transfer activity type).</w:t>
      </w:r>
    </w:p>
    <w:p>
      <w:pPr>
        <w:pStyle w:val="Heading3"/>
      </w:pPr>
      <w:r>
        <w:t>Loans (1 tab)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Tab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Mnemonic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Metric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Source Table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O2P_Success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O2P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Overdraft Open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DDWV01.CR_APP_PROD + CR_APP_CLNT_RELTN + OVRL_CR_APP + CR_APP_CLNT_PROD_RELTN</w:t>
            </w:r>
          </w:p>
        </w:tc>
      </w:tr>
    </w:tbl>
    <w:p/>
    <w:p>
      <w:r/>
      <w:r>
        <w:rPr>
          <w:b/>
        </w:rPr>
        <w:t>Key filters:</w:t>
      </w:r>
      <w:r>
        <w:t xml:space="preserve"> </w:t>
      </w:r>
      <w:r>
        <w:rPr>
          <w:rFonts w:ascii="Consolas" w:hAnsi="Consolas"/>
          <w:color w:val="8B0000"/>
          <w:sz w:val="16"/>
        </w:rPr>
        <w:t>APPL_FOR_PROD_TYP IN ('OP','CR','AP')</w:t>
      </w:r>
      <w:r>
        <w:t xml:space="preserve">, </w:t>
      </w:r>
      <w:r>
        <w:rPr>
          <w:rFonts w:ascii="Consolas" w:hAnsi="Consolas"/>
          <w:color w:val="8B0000"/>
          <w:sz w:val="16"/>
        </w:rPr>
        <w:t>PROD_STS_CD IN (32,37,45,47,51,56,62)</w:t>
      </w:r>
      <w:r>
        <w:t>.</w:t>
      </w:r>
    </w:p>
    <w:p>
      <w:r>
        <w:t>This is a 4-table join through the credit application chain. Success = application completed with an approved status code for an overdraft product type.</w:t>
      </w:r>
    </w:p>
    <w:p>
      <w:pPr>
        <w:pStyle w:val="Heading3"/>
      </w:pPr>
      <w:r>
        <w:t>Investments (4 tabs)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Tab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Mnemonic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Metric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b/>
                <w:sz w:val="16"/>
              </w:rPr>
              <w:t>Source Table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RAT_Success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RAT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RESP Open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DG6V01.ARNGMNT_OWN_HIST + ARNGMNT_HIST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IDE_Success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IDE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Direct Investing Open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dl_mr_prod.NBO_IDE_Acquisition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GIS_Success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GIS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GIC Open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dl_mr_prod.NBO_GIC_Acquisition</w:t>
            </w:r>
          </w:p>
        </w:tc>
      </w:tr>
      <w:tr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TAO_Success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TAO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Registered Acct Open</w:t>
            </w:r>
          </w:p>
        </w:tc>
        <w:tc>
          <w:tcPr>
            <w:tcW w:type="dxa" w:w="2160"/>
          </w:tcPr>
          <w:p>
            <w:pPr>
              <w:spacing w:after="0"/>
            </w:pPr>
            <w:r>
              <w:rPr>
                <w:sz w:val="16"/>
              </w:rPr>
              <w:t>dl_mr_prod.NBO_TAO_Acquisition</w:t>
            </w:r>
          </w:p>
        </w:tc>
      </w:tr>
    </w:tbl>
    <w:p/>
    <w:p>
      <w:r/>
      <w:r>
        <w:rPr>
          <w:b/>
        </w:rPr>
        <w:t>RAT key filters:</w:t>
      </w:r>
      <w:r>
        <w:t xml:space="preserve"> </w:t>
      </w:r>
      <w:r>
        <w:rPr>
          <w:rFonts w:ascii="Consolas" w:hAnsi="Consolas"/>
          <w:color w:val="8B0000"/>
          <w:sz w:val="16"/>
        </w:rPr>
        <w:t>INVSTMT_PLN_TYPE IN (8)</w:t>
      </w:r>
      <w:r>
        <w:t xml:space="preserve"> (RESP), </w:t>
      </w:r>
      <w:r>
        <w:rPr>
          <w:rFonts w:ascii="Consolas" w:hAnsi="Consolas"/>
          <w:color w:val="8B0000"/>
          <w:sz w:val="16"/>
        </w:rPr>
        <w:t>OP_CLS_STS = 'O'</w:t>
      </w:r>
      <w:r>
        <w:t xml:space="preserve"> (Open status). Uses </w:t>
      </w:r>
      <w:r>
        <w:rPr>
          <w:rFonts w:ascii="Consolas" w:hAnsi="Consolas"/>
          <w:color w:val="8B0000"/>
          <w:sz w:val="16"/>
        </w:rPr>
        <w:t>MTH_END_DT</w:t>
      </w:r>
      <w:r>
        <w:t xml:space="preserve"> alignment between owner and arrangement history tables.</w:t>
      </w:r>
    </w:p>
    <w:p>
      <w:r/>
      <w:r>
        <w:rPr>
          <w:b/>
        </w:rPr>
        <w:t>IDE key filters:</w:t>
      </w:r>
      <w:r>
        <w:t xml:space="preserve"> </w:t>
      </w:r>
      <w:r>
        <w:rPr>
          <w:rFonts w:ascii="Consolas" w:hAnsi="Consolas"/>
          <w:color w:val="8B0000"/>
          <w:sz w:val="16"/>
        </w:rPr>
        <w:t>Success = 1</w:t>
      </w:r>
      <w:r>
        <w:t xml:space="preserve">. Success date = </w:t>
      </w:r>
      <w:r>
        <w:rPr>
          <w:rFonts w:ascii="Consolas" w:hAnsi="Consolas"/>
          <w:color w:val="8B0000"/>
          <w:sz w:val="16"/>
        </w:rPr>
        <w:t>COALESCE(DI_DT_OPEN, IE_DT_OPEN)</w:t>
      </w:r>
      <w:r>
        <w:t xml:space="preserve"> (either Direct Investing or InvestEase open date).</w:t>
      </w:r>
    </w:p>
    <w:p>
      <w:r/>
      <w:r>
        <w:rPr>
          <w:b/>
        </w:rPr>
        <w:t>GIS key filters:</w:t>
      </w:r>
      <w:r>
        <w:t xml:space="preserve"> </w:t>
      </w:r>
      <w:r>
        <w:rPr>
          <w:rFonts w:ascii="Consolas" w:hAnsi="Consolas"/>
          <w:color w:val="8B0000"/>
          <w:sz w:val="16"/>
        </w:rPr>
        <w:t>Success = 1</w:t>
      </w:r>
      <w:r>
        <w:t xml:space="preserve">. Success date = </w:t>
      </w:r>
      <w:r>
        <w:rPr>
          <w:rFonts w:ascii="Consolas" w:hAnsi="Consolas"/>
          <w:color w:val="8B0000"/>
          <w:sz w:val="16"/>
        </w:rPr>
        <w:t>dt_open</w:t>
      </w:r>
      <w:r>
        <w:t>.</w:t>
      </w:r>
    </w:p>
    <w:p>
      <w:r/>
      <w:r>
        <w:rPr>
          <w:b/>
        </w:rPr>
        <w:t>TAO key filters:</w:t>
      </w:r>
      <w:r>
        <w:t xml:space="preserve"> </w:t>
      </w:r>
      <w:r>
        <w:rPr>
          <w:rFonts w:ascii="Consolas" w:hAnsi="Consolas"/>
          <w:color w:val="8B0000"/>
          <w:sz w:val="16"/>
        </w:rPr>
        <w:t>PLN_AR_ID IS NOT NULL</w:t>
      </w:r>
      <w:r>
        <w:t xml:space="preserve">. For campaign view: </w:t>
      </w:r>
      <w:r>
        <w:rPr>
          <w:rFonts w:ascii="Consolas" w:hAnsi="Consolas"/>
          <w:color w:val="8B0000"/>
          <w:sz w:val="16"/>
        </w:rPr>
        <w:t>Control = 'Action'</w:t>
      </w:r>
      <w:r>
        <w:t xml:space="preserve">. Success date = </w:t>
      </w:r>
      <w:r>
        <w:rPr>
          <w:rFonts w:ascii="Consolas" w:hAnsi="Consolas"/>
          <w:color w:val="8B0000"/>
          <w:sz w:val="16"/>
        </w:rPr>
        <w:t>dt_open</w:t>
      </w:r>
      <w:r>
        <w:t>.</w:t>
      </w:r>
    </w:p>
    <w:p>
      <w:pPr>
        <w:spacing w:before="12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Three Types of Data Sources</w:t>
      </w:r>
    </w:p>
    <w:p>
      <w:pPr>
        <w:pStyle w:val="Heading3"/>
      </w:pPr>
      <w:r>
        <w:t>Type 1: Raw EDW Tables</w:t>
      </w:r>
    </w:p>
    <w:p>
      <w:r>
        <w:t>Used by: VCN, VDA, VDT, VUI, VUT, VAW, IRI, O2P</w:t>
      </w:r>
    </w:p>
    <w:p>
      <w:r>
        <w:t>These query raw operational tables in EDW (Teradata). The SQL joins source tables directly and applies business rule filters (status codes, product types, etc.) to identify success events.</w:t>
      </w:r>
    </w:p>
    <w:p>
      <w:r/>
      <w:r>
        <w:rPr>
          <w:b/>
        </w:rPr>
        <w:t>Campaign join pattern:</w:t>
      </w:r>
      <w:r>
        <w:t xml:space="preserve"> </w:t>
      </w:r>
      <w:r>
        <w:rPr>
          <w:rFonts w:ascii="Consolas" w:hAnsi="Consolas"/>
          <w:color w:val="8B0000"/>
          <w:sz w:val="16"/>
        </w:rPr>
        <w:t>INNER JOIN DG6V01.TACTIC_EVNT_IP_AR_HIST</w:t>
      </w:r>
      <w:r>
        <w:t xml:space="preserve"> on </w:t>
      </w:r>
      <w:r>
        <w:rPr>
          <w:rFonts w:ascii="Consolas" w:hAnsi="Consolas"/>
          <w:color w:val="8B0000"/>
          <w:sz w:val="16"/>
        </w:rPr>
        <w:t>CLNT_NO</w:t>
      </w:r>
      <w:r>
        <w:t xml:space="preserve"> with </w:t>
      </w:r>
      <w:r>
        <w:rPr>
          <w:rFonts w:ascii="Consolas" w:hAnsi="Consolas"/>
          <w:color w:val="8B0000"/>
          <w:sz w:val="16"/>
        </w:rPr>
        <w:t>SUBSTR(TACTIC_ID, 8, 3)</w:t>
      </w:r>
      <w:r>
        <w:t xml:space="preserve"> filter and treatment date window.</w:t>
      </w:r>
    </w:p>
    <w:p>
      <w:pPr>
        <w:pStyle w:val="Heading3"/>
      </w:pPr>
      <w:r>
        <w:t>Type 2: Pre-Built Success Tables</w:t>
      </w:r>
    </w:p>
    <w:p>
      <w:r>
        <w:t>Used by: IDE, GIS, TAO</w:t>
      </w:r>
    </w:p>
    <w:p>
      <w:r>
        <w:t xml:space="preserve">These use pre-built NBO (Next Best Offer) tables in </w:t>
      </w:r>
      <w:r>
        <w:rPr>
          <w:rFonts w:ascii="Consolas" w:hAnsi="Consolas"/>
          <w:color w:val="8B0000"/>
          <w:sz w:val="16"/>
        </w:rPr>
        <w:t>dl_mr_prod</w:t>
      </w:r>
      <w:r>
        <w:t xml:space="preserve"> that already contain success flags. The SQL is simpler because the success logic is pre-computed.</w:t>
      </w:r>
    </w:p>
    <w:p>
      <w:pPr>
        <w:pStyle w:val="ListBullet"/>
      </w:pPr>
      <w:r/>
      <w:r>
        <w:rPr>
          <w:b/>
        </w:rPr>
        <w:t>Organic:</w:t>
      </w:r>
      <w:r>
        <w:t xml:space="preserve"> Filter by </w:t>
      </w:r>
      <w:r>
        <w:rPr>
          <w:rFonts w:ascii="Consolas" w:hAnsi="Consolas"/>
          <w:color w:val="8B0000"/>
          <w:sz w:val="16"/>
        </w:rPr>
        <w:t>Success = 1</w:t>
      </w:r>
      <w:r/>
    </w:p>
    <w:p>
      <w:pPr>
        <w:pStyle w:val="ListBullet"/>
      </w:pPr>
      <w:r/>
      <w:r>
        <w:rPr>
          <w:b/>
        </w:rPr>
        <w:t>Campaign:</w:t>
      </w:r>
      <w:r>
        <w:t xml:space="preserve"> Filter by </w:t>
      </w:r>
      <w:r>
        <w:rPr>
          <w:rFonts w:ascii="Consolas" w:hAnsi="Consolas"/>
          <w:color w:val="8B0000"/>
          <w:sz w:val="16"/>
        </w:rPr>
        <w:t>Control = 'Action' AND Success = 1</w:t>
      </w:r>
      <w:r/>
    </w:p>
    <w:p>
      <w:r>
        <w:t>These tables already include campaign treatment dates (</w:t>
      </w:r>
      <w:r>
        <w:rPr>
          <w:rFonts w:ascii="Consolas" w:hAnsi="Consolas"/>
          <w:color w:val="8B0000"/>
          <w:sz w:val="16"/>
        </w:rPr>
        <w:t>Treatmt_strt_dt</w:t>
      </w:r>
      <w:r>
        <w:t>) so the campaign join is embedded.</w:t>
      </w:r>
    </w:p>
    <w:p>
      <w:pPr>
        <w:pStyle w:val="Heading3"/>
      </w:pPr>
      <w:r>
        <w:t>Type 3: DG6V01 Arrangement History</w:t>
      </w:r>
    </w:p>
    <w:p>
      <w:r>
        <w:t>Used by: RAT</w:t>
      </w:r>
    </w:p>
    <w:p>
      <w:r>
        <w:t xml:space="preserve">These query the arrangement ownership and history tables in </w:t>
      </w:r>
      <w:r>
        <w:rPr>
          <w:rFonts w:ascii="Consolas" w:hAnsi="Consolas"/>
          <w:color w:val="8B0000"/>
          <w:sz w:val="16"/>
        </w:rPr>
        <w:t>DG6V01</w:t>
      </w:r>
      <w:r>
        <w:t xml:space="preserve">. The key join uses </w:t>
      </w:r>
      <w:r>
        <w:rPr>
          <w:rFonts w:ascii="Consolas" w:hAnsi="Consolas"/>
          <w:color w:val="8B0000"/>
          <w:sz w:val="16"/>
        </w:rPr>
        <w:t>MTH_END_DT</w:t>
      </w:r>
      <w:r>
        <w:t xml:space="preserve"> alignment to match the arrangement snapshot to the treatment end date month.</w:t>
      </w:r>
    </w:p>
    <w:p>
      <w:r/>
      <w:r>
        <w:rPr>
          <w:b/>
        </w:rPr>
        <w:t>Campaign join pattern:</w:t>
      </w:r>
      <w:r>
        <w:t xml:space="preserve"> Uses </w:t>
      </w:r>
      <w:r>
        <w:rPr>
          <w:rFonts w:ascii="Consolas" w:hAnsi="Consolas"/>
          <w:color w:val="8B0000"/>
          <w:sz w:val="16"/>
        </w:rPr>
        <w:t>ADD_MONTHS</w:t>
      </w:r>
      <w:r>
        <w:t xml:space="preserve"> calculation to align </w:t>
      </w:r>
      <w:r>
        <w:rPr>
          <w:rFonts w:ascii="Consolas" w:hAnsi="Consolas"/>
          <w:color w:val="8B0000"/>
          <w:sz w:val="16"/>
        </w:rPr>
        <w:t>OWN.MTH_END_DT</w:t>
      </w:r>
      <w:r>
        <w:t xml:space="preserve"> to the month-end of the treatment end date.</w:t>
      </w:r>
    </w:p>
    <w:p>
      <w:pPr>
        <w:spacing w:before="12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How to Run These Queries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color w:val="8B0000"/>
          <w:sz w:val="16"/>
        </w:rPr>
        <w:t>success_queries.xlsx</w:t>
      </w:r>
      <w:r/>
    </w:p>
    <w:p>
      <w:pPr>
        <w:pStyle w:val="ListNumber"/>
      </w:pPr>
      <w:r>
        <w:t xml:space="preserve">Go to the tab for your campaign (e.g., </w:t>
      </w:r>
      <w:r>
        <w:rPr>
          <w:rFonts w:ascii="Consolas" w:hAnsi="Consolas"/>
          <w:color w:val="8B0000"/>
          <w:sz w:val="16"/>
        </w:rPr>
        <w:t>IRI_Success</w:t>
      </w:r>
      <w:r>
        <w:t>)</w:t>
      </w:r>
    </w:p>
    <w:p>
      <w:pPr>
        <w:pStyle w:val="ListNumber"/>
      </w:pPr>
      <w:r>
        <w:t>Copy the SQL query from the green or blue section</w:t>
      </w:r>
    </w:p>
    <w:p>
      <w:pPr>
        <w:pStyle w:val="ListNumber"/>
      </w:pPr>
      <w:r>
        <w:t>Paste into SAS Enterprise Guide or SAS Studio</w:t>
      </w:r>
    </w:p>
    <w:p>
      <w:pPr>
        <w:pStyle w:val="ListNumber"/>
      </w:pPr>
      <w:r>
        <w:t xml:space="preserve">Run the query - it will connect to Teradata via the </w:t>
      </w:r>
      <w:r>
        <w:rPr>
          <w:rFonts w:ascii="Consolas" w:hAnsi="Consolas"/>
          <w:color w:val="8B0000"/>
          <w:sz w:val="16"/>
        </w:rPr>
        <w:t>CONNECT TO TERADATA</w:t>
      </w:r>
      <w:r>
        <w:t xml:space="preserve"> pass-through</w:t>
      </w:r>
    </w:p>
    <w:p>
      <w:r/>
      <w:r>
        <w:rPr>
          <w:b/>
        </w:rPr>
        <w:t>Notes:</w:t>
      </w:r>
      <w:r/>
    </w:p>
    <w:p>
      <w:pPr>
        <w:pStyle w:val="ListBullet"/>
      </w:pPr>
      <w:r>
        <w:t xml:space="preserve">Sample queries use </w:t>
      </w:r>
      <w:r>
        <w:rPr>
          <w:rFonts w:ascii="Consolas" w:hAnsi="Consolas"/>
          <w:color w:val="8B0000"/>
          <w:sz w:val="16"/>
        </w:rPr>
        <w:t>SELECT TOP 10</w:t>
      </w:r>
      <w:r>
        <w:t xml:space="preserve"> to limit results</w:t>
      </w:r>
    </w:p>
    <w:p>
      <w:pPr>
        <w:pStyle w:val="ListBullet"/>
      </w:pPr>
      <w:r>
        <w:t xml:space="preserve">Summary queries group by </w:t>
      </w:r>
      <w:r>
        <w:rPr>
          <w:rFonts w:ascii="Consolas" w:hAnsi="Consolas"/>
          <w:color w:val="8B0000"/>
          <w:sz w:val="16"/>
        </w:rPr>
        <w:t>yr, mo</w:t>
      </w:r>
      <w:r>
        <w:t xml:space="preserve"> for trend validation</w:t>
      </w:r>
    </w:p>
    <w:p>
      <w:pPr>
        <w:pStyle w:val="ListBullet"/>
      </w:pPr>
      <w:r>
        <w:t xml:space="preserve">All queries use </w:t>
      </w:r>
      <w:r>
        <w:rPr>
          <w:rFonts w:ascii="Consolas" w:hAnsi="Consolas"/>
          <w:color w:val="8B0000"/>
          <w:sz w:val="16"/>
        </w:rPr>
        <w:t>PROC SQL</w:t>
      </w:r>
      <w:r>
        <w:t xml:space="preserve"> with Teradata pass-through syntax</w:t>
      </w:r>
    </w:p>
    <w:p>
      <w:pPr>
        <w:pStyle w:val="ListBullet"/>
      </w:pPr>
      <w:r>
        <w:t>Snap date queries (</w:t>
      </w:r>
      <w:r>
        <w:rPr>
          <w:rFonts w:ascii="Consolas" w:hAnsi="Consolas"/>
          <w:color w:val="8B0000"/>
          <w:sz w:val="16"/>
        </w:rPr>
        <w:t>SNAP_DT</w:t>
      </w:r>
      <w:r>
        <w:t>) use a 7-day lookback window for the latest available snapshot</w:t>
      </w:r>
    </w:p>
    <w:p>
      <w:pPr>
        <w:spacing w:before="12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Files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b/>
                <w:sz w:val="16"/>
              </w:rPr>
              <w:t>File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`metadata/metric_code_registry.csv`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Master registry of all 46+ campaigns with status tracking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`metadata/vvd_success_events.csv`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Sample success event data for development/testing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`metadata/generate_vvd_success_queries.py`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Python script that generates the Excel workbook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`sas_search/scripts/quick_search.ps1`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PowerShell scanner for finding SAS code by mnemonic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`docs/14_VVD_DATA_DICTIONARY.md`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Data dictionary for VVD source tables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`docs/15_VVD_SUCCESS_EVENTS_SCHEMA.md`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sz w:val="16"/>
              </w:rPr>
              <w:t>Schema definition for standardized success events</w:t>
            </w:r>
          </w:p>
        </w:tc>
      </w:tr>
    </w:tbl>
    <w:p/>
    <w:p>
      <w:pPr>
        <w:spacing w:before="120" w:after="12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Summary</w:t>
      </w:r>
    </w:p>
    <w:p>
      <w:r/>
      <w:r>
        <w:rPr>
          <w:b/>
        </w:rPr>
        <w:t>Completed (active, ready for engineering):</w:t>
      </w:r>
      <w:r>
        <w:t xml:space="preserve"> VCN, VDA, VDT, VUI, VUT, VAW, IRI, O2P, RAT, IDE, GIS, TAO, GNE (13 campaigns)</w:t>
      </w:r>
    </w:p>
    <w:p>
      <w:r/>
      <w:r>
        <w:rPr>
          <w:b/>
        </w:rPr>
        <w:t>Pending SAS search:</w:t>
      </w:r>
      <w:r>
        <w:t xml:space="preserve"> PCQ, VBA, VBA_LTA, FTH, PCL, PCD, VBU, COB, CRV, MOM, MRF, BOL, LTA, RCL, RCU, RIS, ESV, PPQ, CTU, PFS, PRA, DAR, RPB, TFP, RMG, NMI, IPC, EBR, PVE, TAO, GNE, MOS (remaining campaigns)</w:t>
      </w:r>
    </w:p>
    <w:p>
      <w:r/>
      <w:r>
        <w:rPr>
          <w:b/>
        </w:rPr>
        <w:t>Missing definition:</w:t>
      </w:r>
      <w:r>
        <w:t xml:space="preserve"> MFY, MMT, RCR, COR, ZRR, VSX (need success metric defined first)</w:t>
      </w:r>
    </w:p>
    <w:p>
      <w:r/>
      <w:r>
        <w:rPr>
          <w:b/>
        </w:rPr>
        <w:t>MOS note:</w:t>
      </w:r>
      <w:r>
        <w:t xml:space="preserve"> Registry says "Long-Term Net Sales" but SAS code shows GIC/MF account opened. Needs clarification before proceeding.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