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355F8E"/>
          <w:sz w:val="20"/>
        </w:rPr>
        <w:t>AGL BÉNIN &amp; SOCOPAO — DIRECTION FINANCIÈRE ET SYSTÈMES D'INFORMATION</w:t>
        <w:br/>
      </w:r>
      <w:r>
        <w:rPr>
          <w:rFonts w:ascii="Calibri" w:hAnsi="Calibri"/>
          <w:b/>
          <w:color w:val="102C57"/>
          <w:sz w:val="44"/>
        </w:rPr>
        <w:t>CAHIER DES CHARGES FONCTIONNEL ET TECHNIQUE</w:t>
      </w:r>
    </w:p>
    <w:p>
      <w:pPr>
        <w:spacing w:after="320"/>
      </w:pPr>
      <w:r>
        <w:rPr>
          <w:rFonts w:ascii="Calibri" w:hAnsi="Calibri"/>
          <w:i/>
          <w:color w:val="355F8E"/>
          <w:sz w:val="26"/>
        </w:rPr>
        <w:t>Projet d'Automatisation de la Normalisation des Factures via l'API e-MECeF (DGI Bénin) à partir du classeur Excel RECAP</w:t>
      </w:r>
    </w:p>
    <w:tbl>
      <w:tblPr>
        <w:tblW w:type="auto" w:w="0"/>
        <w:jc w:val="center"/>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after="40"/>
            </w:pPr>
            <w:r>
              <w:rPr>
                <w:b/>
                <w:color w:val="102C57"/>
                <w:sz w:val="20"/>
              </w:rPr>
              <w:t xml:space="preserve">Auteur : </w:t>
            </w:r>
            <w:r>
              <w:rPr>
                <w:sz w:val="20"/>
              </w:rPr>
              <w:t>Bhilal CHITOU</w:t>
            </w:r>
          </w:p>
        </w:tc>
        <w:tc>
          <w:tcPr>
            <w:tcW w:type="dxa" w:w="4680"/>
            <w:shd w:fill="F4F6F9"/>
            <w:tcMar>
              <w:top w:w="80" w:type="dxa"/>
              <w:bottom w:w="80" w:type="dxa"/>
              <w:left w:w="120" w:type="dxa"/>
              <w:right w:w="120" w:type="dxa"/>
            </w:tcMar>
          </w:tcPr>
          <w:p>
            <w:pPr>
              <w:spacing w:after="40"/>
            </w:pPr>
            <w:r>
              <w:rPr>
                <w:b/>
                <w:color w:val="102C57"/>
                <w:sz w:val="20"/>
              </w:rPr>
              <w:t xml:space="preserve">Date : </w:t>
            </w:r>
            <w:r>
              <w:rPr>
                <w:sz w:val="20"/>
              </w:rPr>
              <w:t>21 Octobre 2026</w:t>
            </w:r>
          </w:p>
        </w:tc>
      </w:tr>
      <w:tr>
        <w:tc>
          <w:tcPr>
            <w:tcW w:type="dxa" w:w="4680"/>
            <w:shd w:fill="F4F6F9"/>
            <w:tcMar>
              <w:top w:w="80" w:type="dxa"/>
              <w:bottom w:w="80" w:type="dxa"/>
              <w:left w:w="120" w:type="dxa"/>
              <w:right w:w="120" w:type="dxa"/>
            </w:tcMar>
          </w:tcPr>
          <w:p>
            <w:pPr>
              <w:spacing w:after="40"/>
            </w:pPr>
            <w:r>
              <w:rPr>
                <w:b/>
                <w:color w:val="102C57"/>
                <w:sz w:val="20"/>
              </w:rPr>
              <w:t xml:space="preserve">Entités cibles : </w:t>
            </w:r>
            <w:r>
              <w:rPr>
                <w:sz w:val="20"/>
              </w:rPr>
              <w:t>AGL Bénin / SOCOPAO</w:t>
            </w:r>
          </w:p>
        </w:tc>
        <w:tc>
          <w:tcPr>
            <w:tcW w:type="dxa" w:w="4680"/>
            <w:shd w:fill="F4F6F9"/>
            <w:tcMar>
              <w:top w:w="80" w:type="dxa"/>
              <w:bottom w:w="80" w:type="dxa"/>
              <w:left w:w="120" w:type="dxa"/>
              <w:right w:w="120" w:type="dxa"/>
            </w:tcMar>
          </w:tcPr>
          <w:p>
            <w:pPr>
              <w:spacing w:after="40"/>
            </w:pPr>
            <w:r>
              <w:rPr>
                <w:b/>
                <w:color w:val="102C57"/>
                <w:sz w:val="20"/>
              </w:rPr>
              <w:t xml:space="preserve">Statut : </w:t>
            </w:r>
            <w:r>
              <w:rPr>
                <w:sz w:val="20"/>
              </w:rPr>
              <w:t>Version 1.0 — Projet</w:t>
            </w:r>
          </w:p>
        </w:tc>
      </w:tr>
    </w:tbl>
    <w:p>
      <w:pPr>
        <w:spacing w:after="240"/>
      </w:pPr>
    </w:p>
    <w:p>
      <w:pPr>
        <w:keepNext/>
        <w:spacing w:before="320" w:after="120"/>
      </w:pPr>
      <w:r>
        <w:rPr>
          <w:rFonts w:ascii="Calibri" w:hAnsi="Calibri"/>
          <w:b/>
          <w:color w:val="102C57"/>
          <w:sz w:val="28"/>
        </w:rPr>
        <w:t>1. Contexte et Justification du Projet</w:t>
      </w:r>
    </w:p>
    <w:p>
      <w:pPr>
        <w:keepNext/>
        <w:spacing w:before="240" w:after="80"/>
      </w:pPr>
      <w:r>
        <w:rPr>
          <w:rFonts w:ascii="Calibri" w:hAnsi="Calibri"/>
          <w:b/>
          <w:color w:val="355F8E"/>
          <w:sz w:val="24"/>
        </w:rPr>
        <w:t>1.1 Contexte opérationnel</w:t>
      </w:r>
    </w:p>
    <w:p>
      <w:pPr>
        <w:spacing w:after="80" w:line="276" w:lineRule="auto"/>
      </w:pPr>
      <w:r>
        <w:t>Au sein des entités AGL et SOCOPAO au Bénin, la facturation des prestations maritimes, de consignation, de transit et de logistique s'appuie sur une étape interne de consolidation dans un classeur Excel communément appelé « RECAP ». Ce classeur permet d'agréger l'ensemble des rubriques et de contrôler les montants avant toute formalité fiscale.</w:t>
      </w:r>
    </w:p>
    <w:p>
      <w:pPr>
        <w:keepNext/>
        <w:spacing w:before="240" w:after="80"/>
      </w:pPr>
      <w:r>
        <w:rPr>
          <w:rFonts w:ascii="Calibri" w:hAnsi="Calibri"/>
          <w:b/>
          <w:color w:val="355F8E"/>
          <w:sz w:val="24"/>
        </w:rPr>
        <w:t>1.2 Problématique actuelle</w:t>
      </w:r>
    </w:p>
    <w:p>
      <w:pPr>
        <w:pStyle w:val="ListBullet"/>
        <w:spacing w:after="80" w:line="276" w:lineRule="auto"/>
      </w:pPr>
      <w:r>
        <w:rPr>
          <w:rFonts w:ascii="Calibri" w:hAnsi="Calibri"/>
          <w:b/>
          <w:color w:val="212529"/>
          <w:sz w:val="21"/>
        </w:rPr>
        <w:t xml:space="preserve">Double saisie chronophage : </w:t>
      </w:r>
      <w:r>
        <w:rPr>
          <w:rFonts w:ascii="Calibri" w:hAnsi="Calibri"/>
          <w:color w:val="212529"/>
          <w:sz w:val="21"/>
        </w:rPr>
        <w:t>Les opérateurs doivent ressaisir manuellement sur le portail Web de la DGI (SyGMEF / e-MECeF) l'ensemble des éléments déjà arrêtés dans Excel (identification client, date et navire, rubriques, montants). Cette tâche répétitive mobilise un temps considérable par dossier.</w:t>
      </w:r>
    </w:p>
    <w:p>
      <w:pPr>
        <w:pStyle w:val="ListBullet"/>
        <w:spacing w:after="80" w:line="276" w:lineRule="auto"/>
      </w:pPr>
      <w:r>
        <w:rPr>
          <w:rFonts w:ascii="Calibri" w:hAnsi="Calibri"/>
          <w:b/>
          <w:color w:val="212529"/>
          <w:sz w:val="21"/>
        </w:rPr>
        <w:t xml:space="preserve">Risque d'erreur humaine : </w:t>
      </w:r>
      <w:r>
        <w:rPr>
          <w:rFonts w:ascii="Calibri" w:hAnsi="Calibri"/>
          <w:color w:val="212529"/>
          <w:sz w:val="21"/>
        </w:rPr>
        <w:t>La recopie manuelle de montants complexes entre Excel et l'interface Web expose l'entreprise à des erreurs arithmétiques ou de ventilation TVA.</w:t>
      </w:r>
    </w:p>
    <w:p>
      <w:pPr>
        <w:pStyle w:val="ListBullet"/>
        <w:spacing w:after="80" w:line="276" w:lineRule="auto"/>
      </w:pPr>
      <w:r>
        <w:rPr>
          <w:rFonts w:ascii="Calibri" w:hAnsi="Calibri"/>
          <w:b/>
          <w:color w:val="212529"/>
          <w:sz w:val="21"/>
        </w:rPr>
        <w:t xml:space="preserve">Goulot d'étranglement : </w:t>
      </w:r>
      <w:r>
        <w:rPr>
          <w:rFonts w:ascii="Calibri" w:hAnsi="Calibri"/>
          <w:color w:val="212529"/>
          <w:sz w:val="21"/>
        </w:rPr>
        <w:t>La cadence de facturation est limitée par le temps nécessaire à la saisie formulaire en ligne, freinant la clôture rapide des dossiers.</w:t>
      </w:r>
    </w:p>
    <w:p>
      <w:pPr>
        <w:keepNext/>
        <w:spacing w:before="240" w:after="80"/>
      </w:pPr>
      <w:r>
        <w:rPr>
          <w:rFonts w:ascii="Calibri" w:hAnsi="Calibri"/>
          <w:b/>
          <w:color w:val="355F8E"/>
          <w:sz w:val="24"/>
        </w:rPr>
        <w:t>1.3 Objectif du projet</w:t>
      </w:r>
    </w:p>
    <w:p>
      <w:pPr>
        <w:spacing w:after="80" w:line="276" w:lineRule="auto"/>
      </w:pPr>
      <w:r>
        <w:rPr>
          <w:rFonts w:ascii="Calibri" w:hAnsi="Calibri"/>
          <w:color w:val="212529"/>
          <w:sz w:val="21"/>
        </w:rPr>
        <w:t>Mettre en place une solution logicielle d'automatisation capable de lire directement le second tableau du classeur Excel RECAP, de générer les flux requis par l'API e-MECeF de la DGI et de récupérer instantanément les mentions fiscales obligatoires (Code MECeF, NIM, QR Code, Compteurs) sans aucune ressaisie manuelle.</w:t>
      </w:r>
    </w:p>
    <w:p>
      <w:pPr>
        <w:keepNext/>
        <w:spacing w:before="320" w:after="120"/>
      </w:pPr>
      <w:r>
        <w:rPr>
          <w:rFonts w:ascii="Calibri" w:hAnsi="Calibri"/>
          <w:b/>
          <w:color w:val="102C57"/>
          <w:sz w:val="28"/>
        </w:rPr>
        <w:t>2. Périmètre Fonctionnel</w:t>
      </w:r>
    </w:p>
    <w:p>
      <w:pPr>
        <w:keepNext/>
        <w:spacing w:before="240" w:after="80"/>
      </w:pPr>
      <w:r>
        <w:rPr>
          <w:rFonts w:ascii="Calibri" w:hAnsi="Calibri"/>
          <w:b/>
          <w:color w:val="355F8E"/>
          <w:sz w:val="24"/>
        </w:rPr>
        <w:t>2.1 Gestion Multi-Entités (AGL &amp; SOCOPAO)</w:t>
      </w:r>
    </w:p>
    <w:p>
      <w:pPr>
        <w:spacing w:after="80" w:line="276" w:lineRule="auto"/>
      </w:pPr>
      <w:r>
        <w:rPr>
          <w:rFonts w:ascii="Calibri" w:hAnsi="Calibri"/>
          <w:color w:val="212529"/>
          <w:sz w:val="21"/>
        </w:rPr>
        <w:t>Le système garantit une séparation étanche entre les dossiers traités sous le compte AGL et ceux traités sous SOCOPAO. À l'ingestion, le système sélectionne automatiquement les clés d'API (Bearer Tokens) et les paramètres fiscaux spécifiques à l'entité concernée.</w:t>
      </w:r>
    </w:p>
    <w:p>
      <w:pPr>
        <w:keepNext/>
        <w:spacing w:before="240" w:after="80"/>
      </w:pPr>
      <w:r>
        <w:rPr>
          <w:rFonts w:ascii="Calibri" w:hAnsi="Calibri"/>
          <w:b/>
          <w:color w:val="355F8E"/>
          <w:sz w:val="24"/>
        </w:rPr>
        <w:t>2.2 Exploitation des Données Source (Fichier Excel RECAP)</w:t>
      </w:r>
    </w:p>
    <w:p>
      <w:pPr>
        <w:spacing w:after="80" w:line="276" w:lineRule="auto"/>
      </w:pPr>
      <w:r>
        <w:rPr>
          <w:rFonts w:ascii="Calibri" w:hAnsi="Calibri"/>
          <w:color w:val="212529"/>
          <w:sz w:val="21"/>
        </w:rPr>
        <w:t>L'outil extrait de manière automatisée les données nécessaires à la normalisation fiscale :</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20" w:type="dxa"/>
              <w:right w:w="120" w:type="dxa"/>
            </w:tcMar>
          </w:tcPr>
          <w:p>
            <w:r>
              <w:rPr>
                <w:b/>
                <w:color w:val="FFFFFF"/>
                <w:sz w:val="19"/>
              </w:rPr>
              <w:t>Donnée / Champ</w:t>
            </w:r>
          </w:p>
        </w:tc>
        <w:tc>
          <w:tcPr>
            <w:tcW w:type="dxa" w:w="2340"/>
            <w:shd w:fill="102C57"/>
            <w:tcMar>
              <w:top w:w="100" w:type="dxa"/>
              <w:bottom w:w="100" w:type="dxa"/>
              <w:left w:w="120" w:type="dxa"/>
              <w:right w:w="120" w:type="dxa"/>
            </w:tcMar>
          </w:tcPr>
          <w:p>
            <w:r>
              <w:rPr>
                <w:b/>
                <w:color w:val="FFFFFF"/>
                <w:sz w:val="19"/>
              </w:rPr>
              <w:t>Type</w:t>
            </w:r>
          </w:p>
        </w:tc>
        <w:tc>
          <w:tcPr>
            <w:tcW w:type="dxa" w:w="2340"/>
            <w:shd w:fill="102C57"/>
            <w:tcMar>
              <w:top w:w="100" w:type="dxa"/>
              <w:bottom w:w="100" w:type="dxa"/>
              <w:left w:w="120" w:type="dxa"/>
              <w:right w:w="120" w:type="dxa"/>
            </w:tcMar>
          </w:tcPr>
          <w:p>
            <w:r>
              <w:rPr>
                <w:b/>
                <w:color w:val="FFFFFF"/>
                <w:sz w:val="19"/>
              </w:rPr>
              <w:t>Obligatoire</w:t>
            </w:r>
          </w:p>
        </w:tc>
        <w:tc>
          <w:tcPr>
            <w:tcW w:type="dxa" w:w="2340"/>
            <w:shd w:fill="102C57"/>
            <w:tcMar>
              <w:top w:w="100" w:type="dxa"/>
              <w:bottom w:w="100" w:type="dxa"/>
              <w:left w:w="120" w:type="dxa"/>
              <w:right w:w="120" w:type="dxa"/>
            </w:tcMar>
          </w:tcPr>
          <w:p>
            <w:r>
              <w:rPr>
                <w:b/>
                <w:color w:val="FFFFFF"/>
                <w:sz w:val="19"/>
              </w:rPr>
              <w:t>Description métier</w:t>
            </w:r>
          </w:p>
        </w:tc>
      </w:tr>
      <w:tr>
        <w:tc>
          <w:tcPr>
            <w:tcW w:type="dxa" w:w="2340"/>
            <w:tcMar>
              <w:top w:w="80" w:type="dxa"/>
              <w:bottom w:w="80" w:type="dxa"/>
              <w:left w:w="120" w:type="dxa"/>
              <w:right w:w="120" w:type="dxa"/>
            </w:tcMar>
          </w:tcPr>
          <w:p>
            <w:r>
              <w:rPr>
                <w:color w:val="212529"/>
                <w:sz w:val="18"/>
              </w:rPr>
              <w:t>Entité émettrice</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AGL ou SOCOPAO (aiguillage automatique du profil fiscal)</w:t>
            </w:r>
          </w:p>
        </w:tc>
      </w:tr>
      <w:tr>
        <w:tc>
          <w:tcPr>
            <w:tcW w:type="dxa" w:w="2340"/>
            <w:tcMar>
              <w:top w:w="80" w:type="dxa"/>
              <w:bottom w:w="80" w:type="dxa"/>
              <w:left w:w="120" w:type="dxa"/>
              <w:right w:w="120" w:type="dxa"/>
            </w:tcMar>
          </w:tcPr>
          <w:p>
            <w:r>
              <w:rPr>
                <w:color w:val="212529"/>
                <w:sz w:val="18"/>
              </w:rPr>
              <w:t>Type de Facture</w:t>
            </w:r>
          </w:p>
        </w:tc>
        <w:tc>
          <w:tcPr>
            <w:tcW w:type="dxa" w:w="2340"/>
            <w:tcMar>
              <w:top w:w="80" w:type="dxa"/>
              <w:bottom w:w="80" w:type="dxa"/>
              <w:left w:w="120" w:type="dxa"/>
              <w:right w:w="120" w:type="dxa"/>
            </w:tcMar>
          </w:tcPr>
          <w:p>
            <w:r>
              <w:rPr>
                <w:color w:val="212529"/>
                <w:sz w:val="18"/>
              </w:rPr>
              <w:t>Code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FV (Vente), FA (Avoir), EV (Export Vente), EA (Export Avoir)</w:t>
            </w:r>
          </w:p>
        </w:tc>
      </w:tr>
      <w:tr>
        <w:tc>
          <w:tcPr>
            <w:tcW w:type="dxa" w:w="2340"/>
            <w:tcMar>
              <w:top w:w="80" w:type="dxa"/>
              <w:bottom w:w="80" w:type="dxa"/>
              <w:left w:w="120" w:type="dxa"/>
              <w:right w:w="120" w:type="dxa"/>
            </w:tcMar>
          </w:tcPr>
          <w:p>
            <w:r>
              <w:rPr>
                <w:color w:val="212529"/>
                <w:sz w:val="18"/>
              </w:rPr>
              <w:t>N° Dossier / N° Facture</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Référence de gestion interne AGL / SOCOPAO</w:t>
            </w:r>
          </w:p>
        </w:tc>
      </w:tr>
      <w:tr>
        <w:tc>
          <w:tcPr>
            <w:tcW w:type="dxa" w:w="2340"/>
            <w:tcMar>
              <w:top w:w="80" w:type="dxa"/>
              <w:bottom w:w="80" w:type="dxa"/>
              <w:left w:w="120" w:type="dxa"/>
              <w:right w:w="120" w:type="dxa"/>
            </w:tcMar>
          </w:tcPr>
          <w:p>
            <w:r>
              <w:rPr>
                <w:color w:val="212529"/>
                <w:sz w:val="18"/>
              </w:rPr>
              <w:t>IFU Client</w:t>
            </w:r>
          </w:p>
        </w:tc>
        <w:tc>
          <w:tcPr>
            <w:tcW w:type="dxa" w:w="2340"/>
            <w:tcMar>
              <w:top w:w="80" w:type="dxa"/>
              <w:bottom w:w="80" w:type="dxa"/>
              <w:left w:w="120" w:type="dxa"/>
              <w:right w:w="120" w:type="dxa"/>
            </w:tcMar>
          </w:tcPr>
          <w:p>
            <w:r>
              <w:rPr>
                <w:color w:val="212529"/>
                <w:sz w:val="18"/>
              </w:rPr>
              <w:t>Texte (13 car.)</w:t>
            </w:r>
          </w:p>
        </w:tc>
        <w:tc>
          <w:tcPr>
            <w:tcW w:type="dxa" w:w="2340"/>
            <w:tcMar>
              <w:top w:w="80" w:type="dxa"/>
              <w:bottom w:w="80" w:type="dxa"/>
              <w:left w:w="120" w:type="dxa"/>
              <w:right w:w="120" w:type="dxa"/>
            </w:tcMar>
          </w:tcPr>
          <w:p>
            <w:r>
              <w:rPr>
                <w:color w:val="212529"/>
                <w:sz w:val="18"/>
              </w:rPr>
              <w:t>Conditionnel</w:t>
            </w:r>
          </w:p>
        </w:tc>
        <w:tc>
          <w:tcPr>
            <w:tcW w:type="dxa" w:w="2340"/>
            <w:tcMar>
              <w:top w:w="80" w:type="dxa"/>
              <w:bottom w:w="80" w:type="dxa"/>
              <w:left w:w="120" w:type="dxa"/>
              <w:right w:w="120" w:type="dxa"/>
            </w:tcMar>
          </w:tcPr>
          <w:p>
            <w:r>
              <w:rPr>
                <w:color w:val="212529"/>
                <w:sz w:val="18"/>
              </w:rPr>
              <w:t>Obligatoire pour les entreprises domiciliées au Bénin</w:t>
            </w:r>
          </w:p>
        </w:tc>
      </w:tr>
      <w:tr>
        <w:tc>
          <w:tcPr>
            <w:tcW w:type="dxa" w:w="2340"/>
            <w:tcMar>
              <w:top w:w="80" w:type="dxa"/>
              <w:bottom w:w="80" w:type="dxa"/>
              <w:left w:w="120" w:type="dxa"/>
              <w:right w:w="120" w:type="dxa"/>
            </w:tcMar>
          </w:tcPr>
          <w:p>
            <w:r>
              <w:rPr>
                <w:color w:val="212529"/>
                <w:sz w:val="18"/>
              </w:rPr>
              <w:t>Nom / Raison Sociale</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Nom complet obligatoire si le client ne dispose pas d'IFU</w:t>
            </w:r>
          </w:p>
        </w:tc>
      </w:tr>
      <w:tr>
        <w:tc>
          <w:tcPr>
            <w:tcW w:type="dxa" w:w="2340"/>
            <w:tcMar>
              <w:top w:w="80" w:type="dxa"/>
              <w:bottom w:w="80" w:type="dxa"/>
              <w:left w:w="120" w:type="dxa"/>
              <w:right w:w="120" w:type="dxa"/>
            </w:tcMar>
          </w:tcPr>
          <w:p>
            <w:r>
              <w:rPr>
                <w:color w:val="212529"/>
                <w:sz w:val="18"/>
              </w:rPr>
              <w:t>Adresse Client</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Recommandé</w:t>
            </w:r>
          </w:p>
        </w:tc>
        <w:tc>
          <w:tcPr>
            <w:tcW w:type="dxa" w:w="2340"/>
            <w:tcMar>
              <w:top w:w="80" w:type="dxa"/>
              <w:bottom w:w="80" w:type="dxa"/>
              <w:left w:w="120" w:type="dxa"/>
              <w:right w:w="120" w:type="dxa"/>
            </w:tcMar>
          </w:tcPr>
          <w:p>
            <w:r>
              <w:rPr>
                <w:color w:val="212529"/>
                <w:sz w:val="18"/>
              </w:rPr>
              <w:t>Localisation requise pour les clients non immatriculés à l'IFU</w:t>
            </w:r>
          </w:p>
        </w:tc>
      </w:tr>
      <w:tr>
        <w:tc>
          <w:tcPr>
            <w:tcW w:type="dxa" w:w="2340"/>
            <w:tcMar>
              <w:top w:w="80" w:type="dxa"/>
              <w:bottom w:w="80" w:type="dxa"/>
              <w:left w:w="120" w:type="dxa"/>
              <w:right w:w="120" w:type="dxa"/>
            </w:tcMar>
          </w:tcPr>
          <w:p>
            <w:r>
              <w:rPr>
                <w:color w:val="212529"/>
                <w:sz w:val="18"/>
              </w:rPr>
              <w:t>Nom du Navire</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Mention maritime obligatoire rattachée au dossier</w:t>
            </w:r>
          </w:p>
        </w:tc>
      </w:tr>
      <w:tr>
        <w:tc>
          <w:tcPr>
            <w:tcW w:type="dxa" w:w="2340"/>
            <w:tcMar>
              <w:top w:w="80" w:type="dxa"/>
              <w:bottom w:w="80" w:type="dxa"/>
              <w:left w:w="120" w:type="dxa"/>
              <w:right w:w="120" w:type="dxa"/>
            </w:tcMar>
          </w:tcPr>
          <w:p>
            <w:r>
              <w:rPr>
                <w:color w:val="212529"/>
                <w:sz w:val="18"/>
              </w:rPr>
              <w:t>Date d'arrivée Navire</w:t>
            </w:r>
          </w:p>
        </w:tc>
        <w:tc>
          <w:tcPr>
            <w:tcW w:type="dxa" w:w="2340"/>
            <w:tcMar>
              <w:top w:w="80" w:type="dxa"/>
              <w:bottom w:w="80" w:type="dxa"/>
              <w:left w:w="120" w:type="dxa"/>
              <w:right w:w="120" w:type="dxa"/>
            </w:tcMar>
          </w:tcPr>
          <w:p>
            <w:r>
              <w:rPr>
                <w:color w:val="212529"/>
                <w:sz w:val="18"/>
              </w:rPr>
              <w:t>Date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Format YYYY-MM-DD</w:t>
            </w:r>
          </w:p>
        </w:tc>
      </w:tr>
      <w:tr>
        <w:tc>
          <w:tcPr>
            <w:tcW w:type="dxa" w:w="2340"/>
            <w:tcMar>
              <w:top w:w="80" w:type="dxa"/>
              <w:bottom w:w="80" w:type="dxa"/>
              <w:left w:w="120" w:type="dxa"/>
              <w:right w:w="120" w:type="dxa"/>
            </w:tcMar>
          </w:tcPr>
          <w:p>
            <w:r>
              <w:rPr>
                <w:color w:val="212529"/>
                <w:sz w:val="18"/>
              </w:rPr>
              <w:t>Rubrique / Description</w:t>
            </w:r>
          </w:p>
        </w:tc>
        <w:tc>
          <w:tcPr>
            <w:tcW w:type="dxa" w:w="2340"/>
            <w:tcMar>
              <w:top w:w="80" w:type="dxa"/>
              <w:bottom w:w="80" w:type="dxa"/>
              <w:left w:w="120" w:type="dxa"/>
              <w:right w:w="120" w:type="dxa"/>
            </w:tcMar>
          </w:tcPr>
          <w:p>
            <w:r>
              <w:rPr>
                <w:color w:val="212529"/>
                <w:sz w:val="18"/>
              </w:rPr>
              <w:t>Texte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Libellé de la prestation (manutention, magasinage, etc.)</w:t>
            </w:r>
          </w:p>
        </w:tc>
      </w:tr>
      <w:tr>
        <w:tc>
          <w:tcPr>
            <w:tcW w:type="dxa" w:w="2340"/>
            <w:tcMar>
              <w:top w:w="80" w:type="dxa"/>
              <w:bottom w:w="80" w:type="dxa"/>
              <w:left w:w="120" w:type="dxa"/>
              <w:right w:w="120" w:type="dxa"/>
            </w:tcMar>
          </w:tcPr>
          <w:p>
            <w:r>
              <w:rPr>
                <w:color w:val="212529"/>
                <w:sz w:val="18"/>
              </w:rPr>
              <w:t>Montant HT / TTC</w:t>
            </w:r>
          </w:p>
        </w:tc>
        <w:tc>
          <w:tcPr>
            <w:tcW w:type="dxa" w:w="2340"/>
            <w:tcMar>
              <w:top w:w="80" w:type="dxa"/>
              <w:bottom w:w="80" w:type="dxa"/>
              <w:left w:w="120" w:type="dxa"/>
              <w:right w:w="120" w:type="dxa"/>
            </w:tcMar>
          </w:tcPr>
          <w:p>
            <w:r>
              <w:rPr>
                <w:color w:val="212529"/>
                <w:sz w:val="18"/>
              </w:rPr>
              <w:t>Numérique</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Montant valorisé de la ligne</w:t>
            </w:r>
          </w:p>
        </w:tc>
      </w:tr>
      <w:tr>
        <w:tc>
          <w:tcPr>
            <w:tcW w:type="dxa" w:w="2340"/>
            <w:tcMar>
              <w:top w:w="80" w:type="dxa"/>
              <w:bottom w:w="80" w:type="dxa"/>
              <w:left w:w="120" w:type="dxa"/>
              <w:right w:w="120" w:type="dxa"/>
            </w:tcMar>
          </w:tcPr>
          <w:p>
            <w:r>
              <w:rPr>
                <w:color w:val="212529"/>
                <w:sz w:val="18"/>
              </w:rPr>
              <w:t>Régime fiscal (Groupe)</w:t>
            </w:r>
          </w:p>
        </w:tc>
        <w:tc>
          <w:tcPr>
            <w:tcW w:type="dxa" w:w="2340"/>
            <w:tcMar>
              <w:top w:w="80" w:type="dxa"/>
              <w:bottom w:w="80" w:type="dxa"/>
              <w:left w:w="120" w:type="dxa"/>
              <w:right w:w="120" w:type="dxa"/>
            </w:tcMar>
          </w:tcPr>
          <w:p>
            <w:r>
              <w:rPr>
                <w:color w:val="212529"/>
                <w:sz w:val="18"/>
              </w:rPr>
              <w:t>Code DGI</w:t>
            </w:r>
          </w:p>
        </w:tc>
        <w:tc>
          <w:tcPr>
            <w:tcW w:type="dxa" w:w="2340"/>
            <w:tcMar>
              <w:top w:w="80" w:type="dxa"/>
              <w:bottom w:w="80" w:type="dxa"/>
              <w:left w:w="120" w:type="dxa"/>
              <w:right w:w="120" w:type="dxa"/>
            </w:tcMar>
          </w:tcPr>
          <w:p>
            <w:r>
              <w:rPr>
                <w:color w:val="212529"/>
                <w:sz w:val="18"/>
              </w:rPr>
              <w:t>Oui</w:t>
            </w:r>
          </w:p>
        </w:tc>
        <w:tc>
          <w:tcPr>
            <w:tcW w:type="dxa" w:w="2340"/>
            <w:tcMar>
              <w:top w:w="80" w:type="dxa"/>
              <w:bottom w:w="80" w:type="dxa"/>
              <w:left w:w="120" w:type="dxa"/>
              <w:right w:w="120" w:type="dxa"/>
            </w:tcMar>
          </w:tcPr>
          <w:p>
            <w:r>
              <w:rPr>
                <w:color w:val="212529"/>
                <w:sz w:val="18"/>
              </w:rPr>
              <w:t>Groupe B (Taxable 18%) ou Groupe A / Débours (Non taxable)</w:t>
            </w:r>
          </w:p>
        </w:tc>
      </w:tr>
    </w:tbl>
    <w:p>
      <w:pPr>
        <w:spacing w:after="160"/>
      </w:pPr>
    </w:p>
    <w:p>
      <w:pPr>
        <w:keepNext/>
        <w:spacing w:before="240" w:after="80"/>
      </w:pPr>
      <w:r>
        <w:rPr>
          <w:rFonts w:ascii="Calibri" w:hAnsi="Calibri"/>
          <w:b/>
          <w:color w:val="355F8E"/>
          <w:sz w:val="24"/>
        </w:rPr>
        <w:t>2.3 Traitement Fiscal et Spécificité des Débours</w:t>
      </w:r>
    </w:p>
    <w:p>
      <w:pPr>
        <w:spacing w:after="80" w:line="276" w:lineRule="auto"/>
      </w:pPr>
      <w:r>
        <w:rPr>
          <w:rFonts w:ascii="Calibri" w:hAnsi="Calibri"/>
          <w:color w:val="212529"/>
          <w:sz w:val="21"/>
        </w:rPr>
        <w:t>Dans le secteur maritime et douanier, une distinction rigoureuse s'impose :</w:t>
      </w:r>
    </w:p>
    <w:p>
      <w:pPr>
        <w:pStyle w:val="ListBullet"/>
        <w:spacing w:after="80" w:line="276" w:lineRule="auto"/>
      </w:pPr>
      <w:r>
        <w:rPr>
          <w:rFonts w:ascii="Calibri" w:hAnsi="Calibri"/>
          <w:b/>
          <w:color w:val="212529"/>
          <w:sz w:val="21"/>
        </w:rPr>
        <w:t xml:space="preserve">Prestations taxables : </w:t>
      </w:r>
      <w:r>
        <w:rPr>
          <w:rFonts w:ascii="Calibri" w:hAnsi="Calibri"/>
          <w:color w:val="212529"/>
          <w:sz w:val="21"/>
        </w:rPr>
        <w:t>Prestations de services soumises à la TVA au taux de 18% (Groupe B e-MECeF).</w:t>
      </w:r>
    </w:p>
    <w:p>
      <w:pPr>
        <w:pStyle w:val="ListBullet"/>
        <w:spacing w:after="80" w:line="276" w:lineRule="auto"/>
      </w:pPr>
      <w:r>
        <w:rPr>
          <w:rFonts w:ascii="Calibri" w:hAnsi="Calibri"/>
          <w:b/>
          <w:color w:val="212529"/>
          <w:sz w:val="21"/>
        </w:rPr>
        <w:t xml:space="preserve">Débours : </w:t>
      </w:r>
      <w:r>
        <w:rPr>
          <w:rFonts w:ascii="Calibri" w:hAnsi="Calibri"/>
          <w:color w:val="212529"/>
          <w:sz w:val="21"/>
        </w:rPr>
        <w:t>Avances de frais payées pour le compte du client (douane, droits de port, redevances), non soumises à TVA (Groupe A exonéré ou catégorie débours dédiée). L'outil interdit formellement l'application automatique de TVA sur ces lignes.</w:t>
      </w:r>
    </w:p>
    <w:p>
      <w:pPr>
        <w:keepNext/>
        <w:spacing w:before="240" w:after="80"/>
      </w:pPr>
      <w:r>
        <w:rPr>
          <w:rFonts w:ascii="Calibri" w:hAnsi="Calibri"/>
          <w:b/>
          <w:color w:val="355F8E"/>
          <w:sz w:val="24"/>
        </w:rPr>
        <w:t>2.4 Workflow de Traitement</w:t>
      </w:r>
    </w:p>
    <w:p>
      <w:pPr>
        <w:spacing w:after="80" w:line="276" w:lineRule="auto"/>
      </w:pPr>
      <w:r>
        <w:rPr>
          <w:rFonts w:ascii="Calibri" w:hAnsi="Calibri"/>
          <w:color w:val="212529"/>
          <w:sz w:val="21"/>
        </w:rPr>
        <w:t>1. Ingestion : L'opérateur sélectionne le classeur Excel dans l'application.</w:t>
      </w:r>
    </w:p>
    <w:p>
      <w:pPr>
        <w:spacing w:after="80" w:line="276" w:lineRule="auto"/>
      </w:pPr>
      <w:r>
        <w:t>2. Contrôle d'éligibilité &amp; Vérification anti-doublon (Idempotence) : Validation arithmétique des montants, contrôle de l'IFU, et vérification préalable de non-soumission antérieure. En cas de détection d'une facture déjà transmise ou similaire, une demande de confirmation utilisateur bloque l'opération par sécurité.</w:t>
      </w:r>
    </w:p>
    <w:p>
      <w:pPr>
        <w:spacing w:after="80" w:line="276" w:lineRule="auto"/>
      </w:pPr>
      <w:r>
        <w:rPr>
          <w:rFonts w:ascii="Calibri" w:hAnsi="Calibri"/>
          <w:color w:val="212529"/>
          <w:sz w:val="21"/>
        </w:rPr>
        <w:t>3. Appel API e-MECeF : Formatage de la requête JSON et transmission sécurisée avec le Token de l'entité.</w:t>
      </w:r>
    </w:p>
    <w:p>
      <w:pPr>
        <w:spacing w:after="80" w:line="276" w:lineRule="auto"/>
      </w:pPr>
      <w:r>
        <w:rPr>
          <w:rFonts w:ascii="Calibri" w:hAnsi="Calibri"/>
          <w:color w:val="212529"/>
          <w:sz w:val="21"/>
        </w:rPr>
        <w:t>4. Normalisation : Réception du NIM, du Code MECeF, de l'horodatage officiel et de la chaîne QR code.</w:t>
      </w:r>
    </w:p>
    <w:p>
      <w:pPr>
        <w:spacing w:after="80" w:line="276" w:lineRule="auto"/>
      </w:pPr>
      <w:r>
        <w:rPr>
          <w:rFonts w:ascii="Calibri" w:hAnsi="Calibri"/>
          <w:color w:val="212529"/>
          <w:sz w:val="21"/>
        </w:rPr>
        <w:t>5. Restitution : Mise à jour du fichier Excel avec les codes fiscaux et génération de la facture PDF normalisée.</w:t>
      </w:r>
    </w:p>
    <w:p>
      <w:pPr>
        <w:keepNext/>
        <w:spacing w:before="320" w:after="120"/>
      </w:pPr>
      <w:r>
        <w:rPr>
          <w:rFonts w:ascii="Calibri" w:hAnsi="Calibri"/>
          <w:b/>
          <w:color w:val="102C57"/>
          <w:sz w:val="28"/>
        </w:rPr>
        <w:t>3. Exigences Techniques et Intégration API</w:t>
      </w:r>
    </w:p>
    <w:p>
      <w:pPr>
        <w:keepNext/>
        <w:spacing w:before="240" w:after="80"/>
      </w:pPr>
      <w:r>
        <w:rPr>
          <w:rFonts w:ascii="Calibri" w:hAnsi="Calibri"/>
          <w:b/>
          <w:color w:val="355F8E"/>
          <w:sz w:val="24"/>
        </w:rPr>
        <w:t>3.1 Spécifications de l'API e-MECeF</w:t>
      </w:r>
    </w:p>
    <w:p>
      <w:pPr>
        <w:spacing w:after="80" w:line="276" w:lineRule="auto"/>
      </w:pPr>
      <w:r>
        <w:rPr>
          <w:rFonts w:ascii="Calibri" w:hAnsi="Calibri"/>
          <w:color w:val="212529"/>
          <w:sz w:val="21"/>
        </w:rPr>
        <w:t>L'outil s'appuie sur la spécification officielle fournie par la DGI (OpenAPI / Swagger) :</w:t>
      </w:r>
    </w:p>
    <w:p>
      <w:pPr>
        <w:pStyle w:val="ListBullet"/>
        <w:spacing w:after="80" w:line="276" w:lineRule="auto"/>
      </w:pPr>
      <w:r>
        <w:rPr>
          <w:rFonts w:ascii="Calibri" w:hAnsi="Calibri"/>
          <w:color w:val="212529"/>
          <w:sz w:val="21"/>
        </w:rPr>
        <w:t>Endpoint POST /api/invoice pour la transmission et la signature fiscale des factures.</w:t>
      </w:r>
    </w:p>
    <w:p>
      <w:pPr>
        <w:pStyle w:val="ListBullet"/>
        <w:spacing w:after="80" w:line="276" w:lineRule="auto"/>
      </w:pPr>
      <w:r>
        <w:rPr>
          <w:rFonts w:ascii="Calibri" w:hAnsi="Calibri"/>
          <w:color w:val="212529"/>
          <w:sz w:val="21"/>
        </w:rPr>
        <w:t>Endpoint GET /api/info/status pour vérifier la connectivité et la disponibilité du serveur MECeF.</w:t>
      </w:r>
    </w:p>
    <w:p>
      <w:pPr>
        <w:pStyle w:val="ListBullet"/>
        <w:spacing w:after="80" w:line="276" w:lineRule="auto"/>
      </w:pPr>
      <w:r>
        <w:rPr>
          <w:rFonts w:ascii="Calibri" w:hAnsi="Calibri"/>
          <w:color w:val="212529"/>
          <w:sz w:val="21"/>
        </w:rPr>
        <w:t>Endpoint GET /api/info/taxpayer/{ifu} pour valider en amont l'existence et l'exactitude de la raison sociale.</w:t>
      </w:r>
    </w:p>
    <w:p>
      <w:pPr>
        <w:keepNext/>
        <w:spacing w:before="240" w:after="80"/>
      </w:pPr>
      <w:r>
        <w:rPr>
          <w:rFonts w:ascii="Calibri" w:hAnsi="Calibri"/>
          <w:b/>
          <w:color w:val="355F8E"/>
          <w:sz w:val="24"/>
        </w:rPr>
        <w:t>3.2 Sécurité et Résilience</w:t>
      </w:r>
    </w:p>
    <w:p>
      <w:pPr>
        <w:pStyle w:val="ListBullet"/>
        <w:spacing w:after="80" w:line="276" w:lineRule="auto"/>
      </w:pPr>
      <w:r>
        <w:rPr>
          <w:rFonts w:ascii="Calibri" w:hAnsi="Calibri"/>
          <w:b/>
          <w:color w:val="212529"/>
          <w:sz w:val="21"/>
        </w:rPr>
        <w:t xml:space="preserve">Sécurité des accès : </w:t>
      </w:r>
      <w:r>
        <w:rPr>
          <w:rFonts w:ascii="Calibri" w:hAnsi="Calibri"/>
          <w:color w:val="212529"/>
          <w:sz w:val="21"/>
        </w:rPr>
        <w:t>Gestion des Tokens JWT DGI stockés de manière sécurisée et renouvelables sans modifier le code.</w:t>
      </w:r>
    </w:p>
    <w:p>
      <w:pPr>
        <w:pStyle w:val="ListBullet"/>
        <w:spacing w:after="80" w:line="276" w:lineRule="auto"/>
      </w:pPr>
      <w:r>
        <w:rPr>
          <w:rFonts w:ascii="Calibri" w:hAnsi="Calibri"/>
          <w:b/>
          <w:color w:val="212529"/>
          <w:sz w:val="21"/>
        </w:rPr>
        <w:t xml:space="preserve">Tolérance aux coupures : </w:t>
      </w:r>
      <w:r>
        <w:rPr>
          <w:rFonts w:ascii="Calibri" w:hAnsi="Calibri"/>
          <w:color w:val="212529"/>
          <w:sz w:val="21"/>
        </w:rPr>
        <w:t>En cas d'interruption temporaire du service e-MECeF, le système consigne la facture en attente et permet une relance automatique dès rétablissement.</w:t>
      </w:r>
    </w:p>
    <w:p>
      <w:pPr>
        <w:pStyle w:val="ListBullet"/>
        <w:spacing w:after="80" w:line="276" w:lineRule="auto"/>
      </w:pPr>
      <w:r/>
      <w:r>
        <w:rPr>
          <w:rFonts w:ascii="Calibri" w:hAnsi="Calibri"/>
          <w:b/>
          <w:color w:val="212529"/>
          <w:sz w:val="21"/>
        </w:rPr>
        <w:t xml:space="preserve">Gestion de l'idempotence et alerte anti-doublon : </w:t>
      </w:r>
      <w:r>
        <w:rPr>
          <w:rFonts w:ascii="Calibri" w:hAnsi="Calibri"/>
          <w:color w:val="212529"/>
          <w:sz w:val="21"/>
        </w:rPr>
        <w:t xml:space="preserve">Avant toute soumission vers l'API DGI, le système interroge la base locale pour vérifier si la facture (clé unique : Entité + N° Facture / Dossier + Montant) a déjà été normalisée ou soumise. Si un doublon potentiel est détecté : </w:t>
        <w:br/>
        <w:t xml:space="preserve">  a) Si la facture possède déjà un Code MECeF officiel, la re-soumission est formellement bloquée et le certificat existant est réaffiché ;</w:t>
        <w:br/>
        <w:t xml:space="preserve">  b) Si une facture similaire est détectée sans validation définitive, le système déclenche un avertissement explicite demandant à l'utilisateur de confirmer formellement qu'il ne s'agit pas d'un doublon avant tout envoi.</w:t>
      </w:r>
    </w:p>
    <w:p>
      <w:pPr>
        <w:keepNext/>
        <w:spacing w:before="320" w:after="120"/>
      </w:pPr>
      <w:r>
        <w:rPr>
          <w:rFonts w:ascii="Calibri" w:hAnsi="Calibri"/>
          <w:b/>
          <w:color w:val="102C57"/>
          <w:sz w:val="28"/>
        </w:rPr>
        <w:t>4. Livrables et Critères d'Acceptation</w:t>
      </w:r>
    </w:p>
    <w:p>
      <w:pPr>
        <w:pStyle w:val="ListBullet"/>
        <w:spacing w:after="80" w:line="276" w:lineRule="auto"/>
      </w:pPr>
      <w:r>
        <w:rPr>
          <w:rFonts w:ascii="Calibri" w:hAnsi="Calibri"/>
          <w:b/>
          <w:color w:val="212529"/>
          <w:sz w:val="21"/>
        </w:rPr>
        <w:t xml:space="preserve">Livrable 1 : </w:t>
      </w:r>
      <w:r>
        <w:rPr>
          <w:rFonts w:ascii="Calibri" w:hAnsi="Calibri"/>
          <w:color w:val="212529"/>
          <w:sz w:val="21"/>
        </w:rPr>
        <w:t>Script ou interface d'ingestion Excel et de communication avec l'API e-MECeF.</w:t>
      </w:r>
    </w:p>
    <w:p>
      <w:pPr>
        <w:pStyle w:val="ListBullet"/>
        <w:spacing w:after="80" w:line="276" w:lineRule="auto"/>
      </w:pPr>
      <w:r>
        <w:rPr>
          <w:rFonts w:ascii="Calibri" w:hAnsi="Calibri"/>
          <w:b/>
          <w:color w:val="212529"/>
          <w:sz w:val="21"/>
        </w:rPr>
        <w:t xml:space="preserve">Livrable 2 : </w:t>
      </w:r>
      <w:r>
        <w:rPr>
          <w:rFonts w:ascii="Calibri" w:hAnsi="Calibri"/>
          <w:color w:val="212529"/>
          <w:sz w:val="21"/>
        </w:rPr>
        <w:t>Générateur de modèle de facture PDF normalisée avec QR code DGI scannable.</w:t>
      </w:r>
    </w:p>
    <w:p>
      <w:pPr>
        <w:pStyle w:val="ListBullet"/>
        <w:spacing w:after="80" w:line="276" w:lineRule="auto"/>
      </w:pPr>
      <w:r>
        <w:rPr>
          <w:rFonts w:ascii="Calibri" w:hAnsi="Calibri"/>
          <w:b/>
          <w:color w:val="212529"/>
          <w:sz w:val="21"/>
        </w:rPr>
        <w:t xml:space="preserve">Livrable 3 : </w:t>
      </w:r>
      <w:r>
        <w:rPr>
          <w:rFonts w:ascii="Calibri" w:hAnsi="Calibri"/>
          <w:color w:val="212529"/>
          <w:sz w:val="21"/>
        </w:rPr>
        <w:t>Rapport de traitement et journal d'audit des normalisations.</w:t>
      </w:r>
    </w:p>
    <w:p>
      <w:pPr>
        <w:pStyle w:val="ListBullet"/>
        <w:spacing w:after="80" w:line="276" w:lineRule="auto"/>
      </w:pPr>
      <w:r>
        <w:rPr>
          <w:rFonts w:ascii="Calibri" w:hAnsi="Calibri"/>
          <w:b/>
          <w:color w:val="212529"/>
          <w:sz w:val="21"/>
        </w:rPr>
        <w:t xml:space="preserve">Critère d'acceptation : </w:t>
      </w:r>
      <w:r>
        <w:rPr>
          <w:rFonts w:ascii="Calibri" w:hAnsi="Calibri"/>
          <w:color w:val="212529"/>
          <w:sz w:val="21"/>
        </w:rPr>
        <w:t>Tests validés avec succès sur l'environnement Sandbox (préproduction) de la DGI avant bascule en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