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03" w:rsidRPr="006A2D80" w:rsidRDefault="00AD7C03">
      <w:pPr>
        <w:rPr>
          <w:rFonts w:ascii="华文楷体" w:eastAsia="华文楷体" w:hAnsi="华文楷体" w:cs="华文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1.实模式下的寻址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⽅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式以及实模式的缺陷</w:t>
      </w:r>
    </w:p>
    <w:p w:rsidR="008F5A99" w:rsidRPr="006A2D80" w:rsidRDefault="00E2409C" w:rsidP="00AD7C03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实模式下，段在内存中固定的位置（物理地址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= 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段值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*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16 +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偏移 ）；通过改变段寄存器的值，我们可以随心所欲的访问内存任何一个单元，而丝毫不受到限制，不能对内存访问加以限制，也就谈不上对系统的保护。因此，在实模式下是无法构造现代意义的操作系统的。</w:t>
      </w:r>
    </w:p>
    <w:p w:rsidR="008F5A99" w:rsidRPr="006A2D80" w:rsidRDefault="00E2409C" w:rsidP="00AD7C03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内存中每个字节的地址能由不止一个的段基址加偏移表示，分段地址之间的比较将复杂化</w:t>
      </w:r>
    </w:p>
    <w:p w:rsidR="00AD7C03" w:rsidRPr="006A2D80" w:rsidRDefault="00AD7C03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2.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保护模式下的寻址过程：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•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段寄存器中存储的是什么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?GDT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?LDT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如何区分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LDT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和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GDT? LDT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和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GDT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的区别是什么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如何定位到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Descriptor?Descriptor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的内容有哪些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?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br/>
        <w:t xml:space="preserve">• GDTR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中的内容是什么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?LDTR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中存储的是什么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为什么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LDT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要放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  <w:t xml:space="preserve">在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GDT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?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根据指令的性质来确定使用哪个段寄存器，例如，放在转移指令中 的地址在代码段，而取数据的指令中的地址在数据段；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根据段寄存器的内容(选择子)，首先判断描述符是在GDT中还是在 LDT中，如果是在GDT中，根据GDTR以及该段寄存器的内容找到相应 的“描述符”；如果是在LDT中，根据LDTR（选择子）以及GDTR的 内容找到LDT的描述符，得到LDT的地址，然后再根据段寄存器内容 找到相应的“描述符”；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从描述符中得到基地址；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将指令中发出的地址作为位移，与描述符中界限相比，看是否越界；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将指令的性质与描述符中的访问权限来确定是否越权；</w:t>
      </w:r>
    </w:p>
    <w:p w:rsidR="00BA57D0" w:rsidRPr="006A2D80" w:rsidRDefault="00BA57D0" w:rsidP="00BA57D0">
      <w:pPr>
        <w:pStyle w:val="a3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将指令中发出的地址作为位移，与基地址相加得出实际的“物理地 址”。</w:t>
      </w:r>
    </w:p>
    <w:p w:rsidR="00E2409C" w:rsidRPr="006A2D80" w:rsidRDefault="00E2409C" w:rsidP="00BA57D0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段</w:t>
      </w:r>
      <w:r w:rsidR="00217277" w:rsidRPr="006A2D80">
        <w:rPr>
          <w:rFonts w:ascii="华文楷体" w:eastAsia="华文楷体" w:hAnsi="华文楷体"/>
          <w:color w:val="000000"/>
          <w:sz w:val="18"/>
          <w:szCs w:val="18"/>
        </w:rPr>
        <w:t>寄存器中是一</w:t>
      </w:r>
      <w:r w:rsidR="00217277" w:rsidRPr="006A2D80">
        <w:rPr>
          <w:rFonts w:ascii="华文楷体" w:eastAsia="华文楷体" w:hAnsi="华文楷体" w:hint="eastAsia"/>
          <w:color w:val="000000"/>
          <w:sz w:val="18"/>
          <w:szCs w:val="18"/>
        </w:rPr>
        <w:t>个选择子</w:t>
      </w:r>
    </w:p>
    <w:p w:rsidR="008F5A99" w:rsidRPr="006A2D80" w:rsidRDefault="00E2409C" w:rsidP="00E2409C">
      <w:pPr>
        <w:numPr>
          <w:ilvl w:val="0"/>
          <w:numId w:val="3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，是一张存放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Descriptor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的表，可在全局内访问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,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所有进程想要访问全局可见的段时，从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查询，有且只有一个。进程从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寄存器中获得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的位置，向它发起查询。</w:t>
      </w:r>
    </w:p>
    <w:p w:rsidR="00E2409C" w:rsidRPr="006A2D80" w:rsidRDefault="00E2409C" w:rsidP="00E2409C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不是全局的，对于某个进程，它只知道它自己的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。每个进程有自己的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，访问自己的段时从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查询。进程从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寄存器中获得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的位置，向它发起查询</w:t>
      </w:r>
    </w:p>
    <w:p w:rsidR="008F5A99" w:rsidRPr="006A2D80" w:rsidRDefault="00E2409C" w:rsidP="00E2409C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所有的描述符均为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8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个字节（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0-7)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，由第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5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个字节说明描述符的类型，类型不同，描述符的结构也有所不同。</w:t>
      </w:r>
    </w:p>
    <w:p w:rsidR="00001BCE" w:rsidRPr="006A2D80" w:rsidRDefault="00001BCE" w:rsidP="00E2409C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内容有段的起止地址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界限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属性</w:t>
      </w:r>
    </w:p>
    <w:p w:rsidR="00001BCE" w:rsidRPr="006A2D80" w:rsidRDefault="00001BCE" w:rsidP="00E2409C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GDTR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用于表示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在内存中的段地址和段限，是一个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48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位的寄存器，其中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32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位表示段地址，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16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位表示段限（最大 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64K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，每个描述符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8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字节，故最多有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64K/8=8K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个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描述符）</w:t>
      </w:r>
    </w:p>
    <w:p w:rsidR="00001BCE" w:rsidRPr="006A2D80" w:rsidRDefault="00001BCE" w:rsidP="00E2409C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LDTR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用于表示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在内存中的位置，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 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本身也是一种数据段，它必须有一 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个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描述符，且该描述符必须放在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中，因此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使用了与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DS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ES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CS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等相同的机制，其中只存放一个“选择子”，通过查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表获得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的真正内存地址</w:t>
      </w:r>
    </w:p>
    <w:p w:rsidR="00001BCE" w:rsidRPr="006A2D80" w:rsidRDefault="00001BCE" w:rsidP="00001BCE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表只有一个，是固定的；而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表每个任务就可以有一个，因此有多个，并且由于任务的个数在不断变化其数量也在不断变化。</w:t>
      </w:r>
    </w:p>
    <w:p w:rsidR="00001BCE" w:rsidRPr="006A2D80" w:rsidRDefault="00001BCE" w:rsidP="00001BCE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如果只有一个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寄存器显然不能满足多个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的要求。因此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intel</w:t>
      </w:r>
      <w:r w:rsidR="0047226A"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的做法是把它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放在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中。</w:t>
      </w:r>
    </w:p>
    <w:p w:rsidR="00001BCE" w:rsidRPr="006A2D80" w:rsidRDefault="00001BCE" w:rsidP="00E2409C">
      <w:pPr>
        <w:numPr>
          <w:ilvl w:val="0"/>
          <w:numId w:val="4"/>
        </w:numPr>
        <w:rPr>
          <w:rFonts w:ascii="华文楷体" w:eastAsia="华文楷体" w:hAnsi="华文楷体"/>
          <w:color w:val="000000"/>
          <w:sz w:val="18"/>
          <w:szCs w:val="18"/>
        </w:rPr>
      </w:pPr>
    </w:p>
    <w:p w:rsidR="002164FD" w:rsidRPr="006A2D80" w:rsidRDefault="00AD7C03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br/>
        <w:t xml:space="preserve">3.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选择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⼦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的作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⽤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：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•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选择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⼦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是什么？它的值存放在哪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⾥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？</w:t>
      </w:r>
      <w:r w:rsidR="00AF0671"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• </w:t>
      </w:r>
      <w:r w:rsidR="00AF0671" w:rsidRPr="006A2D80">
        <w:rPr>
          <w:rFonts w:ascii="华文楷体" w:eastAsia="华文楷体" w:hAnsi="华文楷体" w:hint="eastAsia"/>
          <w:color w:val="000000"/>
          <w:sz w:val="18"/>
          <w:szCs w:val="18"/>
        </w:rPr>
        <w:t>选择</w:t>
      </w:r>
      <w:r w:rsidR="00AF0671"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⼦⾥⾯</w:t>
      </w:r>
      <w:r w:rsidR="00AF0671"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的内容有哪些？</w:t>
      </w:r>
      <w:r w:rsidR="00AF0671"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="00AF0671"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• </w:t>
      </w:r>
      <w:r w:rsidR="00AF0671" w:rsidRPr="006A2D80">
        <w:rPr>
          <w:rFonts w:ascii="华文楷体" w:eastAsia="华文楷体" w:hAnsi="华文楷体" w:hint="eastAsia"/>
          <w:color w:val="000000"/>
          <w:sz w:val="18"/>
          <w:szCs w:val="18"/>
        </w:rPr>
        <w:t>为什么偏移地址</w:t>
      </w:r>
      <w:r w:rsidR="00AF0671"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⼤⼩</w:t>
      </w:r>
      <w:r w:rsidR="00AF0671"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是</w:t>
      </w:r>
      <w:r w:rsidR="00AF0671" w:rsidRPr="006A2D80">
        <w:rPr>
          <w:rFonts w:ascii="华文楷体" w:eastAsia="华文楷体" w:hAnsi="华文楷体" w:hint="eastAsia"/>
          <w:color w:val="000000"/>
          <w:sz w:val="18"/>
          <w:szCs w:val="18"/>
        </w:rPr>
        <w:t xml:space="preserve"> </w:t>
      </w:r>
      <w:r w:rsidR="00AF0671"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13 </w:t>
      </w:r>
      <w:r w:rsidR="00AF0671"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位？</w:t>
      </w:r>
    </w:p>
    <w:p w:rsidR="00AF0671" w:rsidRPr="006A2D80" w:rsidRDefault="00AF0671">
      <w:pPr>
        <w:rPr>
          <w:rFonts w:ascii="华文楷体" w:eastAsia="华文楷体" w:hAnsi="华文楷体" w:cs="华文宋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将段寄存器与</w:t>
      </w:r>
      <w:proofErr w:type="gramStart"/>
      <w:r w:rsidRPr="006A2D80">
        <w:rPr>
          <w:rFonts w:ascii="华文楷体" w:eastAsia="华文楷体" w:hAnsi="华文楷体"/>
          <w:color w:val="000000"/>
          <w:sz w:val="18"/>
          <w:szCs w:val="18"/>
        </w:rPr>
        <w:t>段联系</w:t>
      </w:r>
      <w:proofErr w:type="gramEnd"/>
      <w:r w:rsidRPr="006A2D80">
        <w:rPr>
          <w:rFonts w:ascii="华文楷体" w:eastAsia="华文楷体" w:hAnsi="华文楷体"/>
          <w:color w:val="000000"/>
          <w:sz w:val="18"/>
          <w:szCs w:val="18"/>
        </w:rPr>
        <w:t>起来</w:t>
      </w:r>
      <w:r w:rsidR="00C407A2"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，用于找到所对应的描述符在描述符表中的位置</w:t>
      </w:r>
    </w:p>
    <w:p w:rsidR="002164FD" w:rsidRPr="006A2D80" w:rsidRDefault="002164FD" w:rsidP="002164FD">
      <w:pPr>
        <w:ind w:firstLineChars="300" w:firstLine="54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lastRenderedPageBreak/>
        <w:t>选择子是一个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2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字节的数，共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16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位，最低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2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位表示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RPL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（请求特权等级），第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3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位表示查表是利用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（全局描述符表）还是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（局部描述符表）进行，最高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13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位给出了 所需的描述符在描述符表中的地址。</w:t>
      </w:r>
    </w:p>
    <w:p w:rsidR="006A2D80" w:rsidRPr="006A2D80" w:rsidRDefault="00AF0671" w:rsidP="00AF0671">
      <w:pPr>
        <w:ind w:firstLineChars="300" w:firstLine="54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13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位正好足够寻址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8K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项</w:t>
      </w:r>
    </w:p>
    <w:p w:rsidR="00AF0671" w:rsidRPr="006A2D80" w:rsidRDefault="00AD7C03" w:rsidP="00AF0671">
      <w:pPr>
        <w:ind w:firstLineChars="300" w:firstLine="540"/>
        <w:rPr>
          <w:rFonts w:ascii="华文楷体" w:eastAsia="华文楷体" w:hAnsi="华文楷体" w:cs="华文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4.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描述符的作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⽤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：</w:t>
      </w:r>
    </w:p>
    <w:p w:rsidR="006A2D80" w:rsidRPr="006A2D80" w:rsidRDefault="00AF0671" w:rsidP="00AF0671">
      <w:pPr>
        <w:ind w:firstLineChars="300" w:firstLine="540"/>
        <w:rPr>
          <w:rFonts w:ascii="华文楷体" w:eastAsia="华文楷体" w:hAnsi="华文楷体" w:cs="华文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华文宋体"/>
          <w:color w:val="000000"/>
          <w:sz w:val="18"/>
          <w:szCs w:val="18"/>
        </w:rPr>
        <w:t>描述各种数据段</w:t>
      </w:r>
      <w:r w:rsidR="00070F45"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，给出基址进行地址转换，以及该段的范围防止越界，起到保护的作用</w:t>
      </w:r>
    </w:p>
    <w:p w:rsidR="00B656A2" w:rsidRPr="006A2D80" w:rsidRDefault="00AD7C03" w:rsidP="00AF0671">
      <w:pPr>
        <w:ind w:firstLineChars="300" w:firstLine="540"/>
        <w:rPr>
          <w:rFonts w:ascii="华文楷体" w:eastAsia="华文楷体" w:hAnsi="华文楷体" w:cs="华文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5. GDTR/LDTR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的作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⽤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：</w:t>
      </w:r>
    </w:p>
    <w:p w:rsidR="00B656A2" w:rsidRPr="006A2D80" w:rsidRDefault="00B656A2" w:rsidP="00B656A2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用于指示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GDT/LDT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在内存中的位置。</w:t>
      </w:r>
    </w:p>
    <w:p w:rsidR="00B656A2" w:rsidRPr="006A2D80" w:rsidRDefault="00AD7C03" w:rsidP="00B656A2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GDTR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的内容是什么？</w:t>
      </w:r>
    </w:p>
    <w:p w:rsidR="00B656A2" w:rsidRPr="006A2D80" w:rsidRDefault="00B656A2" w:rsidP="00B656A2">
      <w:pPr>
        <w:ind w:left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在内存中的段地址和段限，是一个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48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位的寄存器，其中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32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位表示段地址，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16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位表示段限</w:t>
      </w:r>
      <w:r w:rsidR="00411176" w:rsidRPr="006A2D80">
        <w:rPr>
          <w:rFonts w:ascii="华文楷体" w:eastAsia="华文楷体" w:hAnsi="华文楷体" w:hint="eastAsia"/>
          <w:color w:val="000000"/>
          <w:sz w:val="18"/>
          <w:szCs w:val="18"/>
        </w:rPr>
        <w:t>（偏移量）</w:t>
      </w:r>
    </w:p>
    <w:p w:rsidR="00B656A2" w:rsidRPr="006A2D80" w:rsidRDefault="00AD7C03" w:rsidP="00B656A2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 LDTR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的内容是什么？</w:t>
      </w:r>
    </w:p>
    <w:p w:rsidR="006A2D80" w:rsidRPr="006A2D80" w:rsidRDefault="00B656A2" w:rsidP="00B656A2">
      <w:pPr>
        <w:ind w:firstLineChars="400" w:firstLine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在内存中的位置，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 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本身也是一种数据段，它必须有一个描述符，且该描述符必须放在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中，因此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LDTR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使用了与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DS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ES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CS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等相同的机制，其中只存放一个“选择子”，通过查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GDT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表获得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LDT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的真正内存地址</w:t>
      </w:r>
    </w:p>
    <w:p w:rsidR="00B656A2" w:rsidRPr="006A2D80" w:rsidRDefault="00AD7C03" w:rsidP="00B656A2">
      <w:pPr>
        <w:ind w:firstLineChars="400" w:firstLine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6.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根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⽬</w:t>
      </w:r>
      <w:proofErr w:type="gramStart"/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录区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⼤⼩⼀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定么</w:t>
      </w:r>
      <w:proofErr w:type="gramEnd"/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扇区号是多少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为什么？</w:t>
      </w:r>
    </w:p>
    <w:p w:rsidR="007D34DA" w:rsidRPr="006A2D80" w:rsidRDefault="007D34DA" w:rsidP="007D34DA">
      <w:pPr>
        <w:ind w:firstLineChars="400" w:firstLine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>不一定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，1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9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之前为引导扇区fat1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fat2的扇区</w:t>
      </w:r>
    </w:p>
    <w:p w:rsidR="006A2D80" w:rsidRPr="006A2D80" w:rsidRDefault="00180D6D" w:rsidP="007D34DA">
      <w:pPr>
        <w:ind w:firstLineChars="400" w:firstLine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根目录大小为：</w:t>
      </w:r>
      <w:proofErr w:type="spell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BPB_RootEntCnt</w:t>
      </w:r>
      <w:proofErr w:type="spell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（根目录文件最大数）*32字节</w:t>
      </w:r>
    </w:p>
    <w:p w:rsidR="007D34DA" w:rsidRPr="006A2D80" w:rsidRDefault="00AD7C03" w:rsidP="007D34DA">
      <w:pPr>
        <w:ind w:firstLineChars="400" w:firstLine="7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br/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7.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数据区第</w:t>
      </w:r>
      <w:r w:rsidRPr="006A2D80">
        <w:rPr>
          <w:rFonts w:ascii="微软雅黑" w:eastAsia="微软雅黑" w:hAnsi="微软雅黑" w:cs="微软雅黑" w:hint="eastAsia"/>
          <w:color w:val="000000"/>
          <w:sz w:val="18"/>
          <w:szCs w:val="18"/>
        </w:rPr>
        <w:t>⼀</w:t>
      </w:r>
      <w:proofErr w:type="gramStart"/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个簇号</w:t>
      </w:r>
      <w:proofErr w:type="gramEnd"/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是多少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?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为什么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?</w:t>
      </w:r>
    </w:p>
    <w:p w:rsidR="00AF5E95" w:rsidRPr="006A2D80" w:rsidRDefault="00AF5E95" w:rsidP="00CF6E8D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1.44M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软盘上，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FAT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前三个字节的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值必须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是固定的，分别是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0xF0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0xFF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0xFF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，用于表示这是一个应用在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1.44M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软盘上的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FAT12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文件系统。本来序号为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和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的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FAT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表项应该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对应于簇</w:t>
      </w:r>
      <w:proofErr w:type="gramEnd"/>
      <w:r w:rsidRPr="006A2D80">
        <w:rPr>
          <w:rFonts w:ascii="华文楷体" w:eastAsia="华文楷体" w:hAnsi="华文楷体"/>
          <w:color w:val="000000"/>
          <w:sz w:val="18"/>
          <w:szCs w:val="18"/>
        </w:rPr>
        <w:t>0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和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簇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，但是由于这两个表项被设置成了固定值，簇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0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和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簇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1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就没有存在的意义了，所以数据区就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起始于簇</w:t>
      </w:r>
      <w:proofErr w:type="gramEnd"/>
      <w:r w:rsidRPr="006A2D80">
        <w:rPr>
          <w:rFonts w:ascii="华文楷体" w:eastAsia="华文楷体" w:hAnsi="华文楷体"/>
          <w:color w:val="000000"/>
          <w:sz w:val="18"/>
          <w:szCs w:val="18"/>
        </w:rPr>
        <w:t>2</w:t>
      </w:r>
    </w:p>
    <w:p w:rsidR="006A2D80" w:rsidRPr="006A2D80" w:rsidRDefault="006A2D80" w:rsidP="00CF6E8D">
      <w:pPr>
        <w:rPr>
          <w:rFonts w:ascii="华文楷体" w:eastAsia="华文楷体" w:hAnsi="华文楷体"/>
          <w:color w:val="000000"/>
          <w:sz w:val="18"/>
          <w:szCs w:val="18"/>
        </w:rPr>
      </w:pPr>
    </w:p>
    <w:p w:rsidR="00CF6E8D" w:rsidRPr="006A2D80" w:rsidRDefault="00AD7C03" w:rsidP="00CF6E8D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t xml:space="preserve">8. FAT </w:t>
      </w: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表的</w:t>
      </w:r>
      <w:r w:rsidR="004A612C">
        <w:rPr>
          <w:rFonts w:ascii="华文楷体" w:eastAsia="华文楷体" w:hAnsi="华文楷体" w:hint="eastAsia"/>
          <w:color w:val="000000"/>
          <w:sz w:val="18"/>
          <w:szCs w:val="18"/>
        </w:rPr>
        <w:t>作用</w:t>
      </w:r>
      <w:r w:rsidRPr="006A2D80">
        <w:rPr>
          <w:rFonts w:ascii="华文楷体" w:eastAsia="华文楷体" w:hAnsi="华文楷体"/>
          <w:color w:val="000000"/>
          <w:sz w:val="18"/>
          <w:szCs w:val="18"/>
        </w:rPr>
        <w:t>?</w:t>
      </w:r>
    </w:p>
    <w:p w:rsidR="00AF5E95" w:rsidRPr="006A2D80" w:rsidRDefault="00AF5E95" w:rsidP="00AF5E95">
      <w:pPr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FAT项的值代表文件的下一个簇号</w:t>
      </w:r>
    </w:p>
    <w:p w:rsidR="00AF5E95" w:rsidRPr="006A2D80" w:rsidRDefault="00AF5E95" w:rsidP="00AF5E95">
      <w:pPr>
        <w:ind w:firstLine="4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值大于或等于0xFF8，表示当前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簇</w:t>
      </w:r>
      <w:proofErr w:type="gramEnd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已经是本文件的最后一个</w:t>
      </w:r>
      <w:proofErr w:type="gramStart"/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簇</w:t>
      </w:r>
      <w:proofErr w:type="gramEnd"/>
    </w:p>
    <w:p w:rsidR="006A2D80" w:rsidRPr="006A2D80" w:rsidRDefault="00AF5E95" w:rsidP="006A2D80">
      <w:pPr>
        <w:ind w:firstLine="420"/>
        <w:rPr>
          <w:rFonts w:ascii="华文楷体" w:eastAsia="华文楷体" w:hAnsi="华文楷体"/>
          <w:color w:val="000000"/>
          <w:sz w:val="18"/>
          <w:szCs w:val="18"/>
        </w:rPr>
      </w:pPr>
      <w:r w:rsidRPr="006A2D80">
        <w:rPr>
          <w:rFonts w:ascii="华文楷体" w:eastAsia="华文楷体" w:hAnsi="华文楷体" w:hint="eastAsia"/>
          <w:color w:val="000000"/>
          <w:sz w:val="18"/>
          <w:szCs w:val="18"/>
        </w:rPr>
        <w:t>值为0xFF7，表示它是一个坏簇</w:t>
      </w:r>
    </w:p>
    <w:p w:rsidR="006A2D80" w:rsidRPr="006A2D80" w:rsidRDefault="00AD7C03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/>
          <w:color w:val="000000"/>
          <w:sz w:val="18"/>
          <w:szCs w:val="18"/>
        </w:rPr>
        <w:br/>
      </w:r>
      <w:r w:rsidR="006A2D80"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9. 解释静态链接的过程。</w:t>
      </w:r>
    </w:p>
    <w:p w:rsid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链接器在链接的时候，会根据所引用的符号自动</w:t>
      </w:r>
      <w:proofErr w:type="gram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去相应</w:t>
      </w:r>
      <w:proofErr w:type="gram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的模块查找函数的地址，然后将主程序模块中所有引用到函数的指令重新修正，让它们的目标地址为真正的函数的地址。在编译链接时直接将需要的执行代码拷贝到调用处</w:t>
      </w:r>
      <w:r w:rsidR="003251A5">
        <w:rPr>
          <w:rFonts w:ascii="华文楷体" w:eastAsia="华文楷体" w:hAnsi="华文楷体" w:cs="宋体" w:hint="eastAsia"/>
          <w:color w:val="000000"/>
          <w:sz w:val="18"/>
          <w:szCs w:val="18"/>
        </w:rPr>
        <w:t>、、</w:t>
      </w:r>
    </w:p>
    <w:p w:rsidR="003251A5" w:rsidRPr="006A2D80" w:rsidRDefault="003251A5" w:rsidP="006A2D80">
      <w:pPr>
        <w:ind w:firstLine="420"/>
        <w:rPr>
          <w:rFonts w:ascii="华文楷体" w:eastAsia="华文楷体" w:hAnsi="华文楷体" w:cs="宋体" w:hint="eastAsia"/>
          <w:color w:val="000000"/>
          <w:sz w:val="18"/>
          <w:szCs w:val="18"/>
        </w:rPr>
      </w:pPr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相似段合并，重定位</w:t>
      </w:r>
      <w:bookmarkStart w:id="0" w:name="_GoBack"/>
      <w:bookmarkEnd w:id="0"/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缺点：使用静态链接生成的可执行文件体积较大，包含相同的公共代码，造成浪费</w:t>
      </w:r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10. 解释动态链接的过程。</w:t>
      </w:r>
    </w:p>
    <w:p w:rsid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只建立一个引用的接口，而真正的代码和数据存放在另外的可执行模块中，在运行时再装入。使用这种方式的程序并不在一开始就完成动态链接，而是直到真正调用动态库代码时，载入程序</w:t>
      </w:r>
      <w:proofErr w:type="gram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才计算</w:t>
      </w:r>
      <w:proofErr w:type="gram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(被调用的那部分)动态代码的逻辑地址。</w:t>
      </w:r>
    </w:p>
    <w:p w:rsidR="00C174F0" w:rsidRPr="006A2D80" w:rsidRDefault="00C174F0" w:rsidP="006A2D80">
      <w:pPr>
        <w:ind w:firstLine="420"/>
        <w:rPr>
          <w:rFonts w:ascii="华文楷体" w:eastAsia="华文楷体" w:hAnsi="华文楷体" w:cs="宋体" w:hint="eastAsia"/>
          <w:color w:val="000000"/>
          <w:sz w:val="18"/>
          <w:szCs w:val="18"/>
        </w:rPr>
      </w:pPr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动态</w:t>
      </w:r>
      <w:proofErr w:type="gramStart"/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链接器自举</w:t>
      </w:r>
      <w:proofErr w:type="gramEnd"/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，装载共享对象，重定位和初始化</w:t>
      </w:r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lastRenderedPageBreak/>
        <w:t>缺点：这种方式使程序初始化时间较短，但运行期间的性能比不上静态链接的程序</w:t>
      </w:r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11.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静态链接相关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PPT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中为什么使</w:t>
      </w:r>
      <w:r w:rsidR="00EF1022">
        <w:rPr>
          <w:rFonts w:ascii="华文楷体" w:eastAsia="华文楷体" w:hAnsi="华文楷体" w:cs="宋体" w:hint="eastAsia"/>
          <w:color w:val="000000"/>
          <w:sz w:val="18"/>
          <w:szCs w:val="18"/>
        </w:rPr>
        <w:t>用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</w:t>
      </w:r>
      <w:proofErr w:type="spellStart"/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>ld</w:t>
      </w:r>
      <w:proofErr w:type="spellEnd"/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链接</w:t>
      </w:r>
      <w:r w:rsidR="00EF1022">
        <w:rPr>
          <w:rFonts w:ascii="华文楷体" w:eastAsia="华文楷体" w:hAnsi="华文楷体" w:cs="宋体" w:hint="eastAsia"/>
          <w:color w:val="000000"/>
          <w:sz w:val="18"/>
          <w:szCs w:val="18"/>
        </w:rPr>
        <w:t>而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不是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</w:t>
      </w:r>
      <w:proofErr w:type="spellStart"/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>gcc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。</w:t>
      </w:r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gcc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叫做</w:t>
      </w: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gcc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工具链，这个工具</w:t>
      </w:r>
      <w:proofErr w:type="gram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链包括</w:t>
      </w:r>
      <w:proofErr w:type="gram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 xml:space="preserve">很多工具，其中用于链接的叫做ld.用 </w:t>
      </w: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gcc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链接时会根据选项不同调用不同的工具，如果到了链接阶段就会调用</w:t>
      </w: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ld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这个工具，，就是说</w:t>
      </w: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gcc</w:t>
      </w:r>
      <w:proofErr w:type="spell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是工具的入口，实际上执行连接的还是</w:t>
      </w:r>
      <w:proofErr w:type="spell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ld</w:t>
      </w:r>
      <w:proofErr w:type="spellEnd"/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12. </w:t>
      </w:r>
      <w:proofErr w:type="spellStart"/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>linux</w:t>
      </w:r>
      <w:proofErr w:type="spellEnd"/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下可执</w:t>
      </w:r>
      <w:r w:rsidR="00EF1022">
        <w:rPr>
          <w:rFonts w:ascii="华文楷体" w:eastAsia="华文楷体" w:hAnsi="华文楷体" w:cs="宋体" w:hint="eastAsia"/>
          <w:color w:val="000000"/>
          <w:sz w:val="18"/>
          <w:szCs w:val="18"/>
        </w:rPr>
        <w:t>行文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件的虚拟地址空间默认从哪</w:t>
      </w:r>
      <w:r w:rsidR="00EF1022">
        <w:rPr>
          <w:rFonts w:ascii="华文楷体" w:eastAsia="华文楷体" w:hAnsi="华文楷体" w:cs="华文宋体" w:hint="eastAsia"/>
          <w:color w:val="000000"/>
          <w:sz w:val="18"/>
          <w:szCs w:val="18"/>
        </w:rPr>
        <w:t>里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开始分配。</w:t>
      </w:r>
    </w:p>
    <w:p w:rsidR="006A2D80" w:rsidRPr="006A2D80" w:rsidRDefault="006A2D80" w:rsidP="006A2D80">
      <w:pPr>
        <w:ind w:firstLine="420"/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进程从0x08048000开始</w:t>
      </w: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2.2 实验相关内容</w:t>
      </w: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1. BPB 指定字段的含义</w:t>
      </w:r>
    </w:p>
    <w:p w:rsidR="006A2D80" w:rsidRPr="006A2D80" w:rsidRDefault="00D77ABC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B31B9D" wp14:editId="75A92913">
            <wp:extent cx="5274310" cy="2139315"/>
            <wp:effectExtent l="0" t="0" r="254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2.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如何进</w:t>
      </w:r>
      <w:r w:rsidR="000E6C22">
        <w:rPr>
          <w:rFonts w:ascii="华文楷体" w:eastAsia="华文楷体" w:hAnsi="华文楷体" w:cs="微软雅黑" w:hint="eastAsia"/>
          <w:color w:val="000000"/>
          <w:sz w:val="18"/>
          <w:szCs w:val="18"/>
        </w:rPr>
        <w:t>入子目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录并输出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(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说明</w:t>
      </w:r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方法调用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>)</w:t>
      </w:r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3.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如何获得指定</w:t>
      </w:r>
      <w:r w:rsidR="00D77ABC">
        <w:rPr>
          <w:rFonts w:ascii="华文楷体" w:eastAsia="华文楷体" w:hAnsi="华文楷体" w:cs="宋体" w:hint="eastAsia"/>
          <w:color w:val="000000"/>
          <w:sz w:val="18"/>
          <w:szCs w:val="18"/>
        </w:rPr>
        <w:t>文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件的内容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,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即如何获得数据区的内容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(</w:t>
      </w:r>
      <w:r w:rsidR="00B8214A">
        <w:rPr>
          <w:rFonts w:ascii="华文楷体" w:eastAsia="华文楷体" w:hAnsi="华文楷体" w:cs="宋体" w:hint="eastAsia"/>
          <w:color w:val="000000"/>
          <w:sz w:val="18"/>
          <w:szCs w:val="18"/>
        </w:rPr>
        <w:t>比如使用</w:t>
      </w:r>
      <w:r w:rsidRPr="006A2D80">
        <w:rPr>
          <w:rFonts w:ascii="华文楷体" w:eastAsia="华文楷体" w:hAnsi="华文楷体" w:cs="华文宋体" w:hint="eastAsia"/>
          <w:color w:val="000000"/>
          <w:sz w:val="18"/>
          <w:szCs w:val="18"/>
        </w:rPr>
        <w:t>指针等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>)</w:t>
      </w:r>
    </w:p>
    <w:p w:rsid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4.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如何进</w:t>
      </w:r>
      <w:r w:rsidR="00D77ABC">
        <w:rPr>
          <w:rFonts w:ascii="华文楷体" w:eastAsia="华文楷体" w:hAnsi="华文楷体" w:cs="宋体" w:hint="eastAsia"/>
          <w:color w:val="000000"/>
          <w:sz w:val="18"/>
          <w:szCs w:val="18"/>
        </w:rPr>
        <w:t>行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C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代码和汇编之间的参数传递和返回值传递</w:t>
      </w:r>
    </w:p>
    <w:p w:rsidR="0098262A" w:rsidRPr="006A2D80" w:rsidRDefault="0098262A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proofErr w:type="gramStart"/>
      <w:r>
        <w:rPr>
          <w:rFonts w:ascii="华文楷体" w:eastAsia="华文楷体" w:hAnsi="华文楷体" w:cs="宋体" w:hint="eastAsia"/>
          <w:color w:val="000000"/>
          <w:sz w:val="18"/>
          <w:szCs w:val="18"/>
        </w:rPr>
        <w:t>栈</w:t>
      </w:r>
      <w:proofErr w:type="gramEnd"/>
    </w:p>
    <w:p w:rsidR="006A2D80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5.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汇编代码中对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 I/O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的处理</w:t>
      </w:r>
      <w:r w:rsidR="00252E6E">
        <w:rPr>
          <w:rFonts w:ascii="华文楷体" w:eastAsia="华文楷体" w:hAnsi="华文楷体" w:cs="宋体" w:hint="eastAsia"/>
          <w:color w:val="000000"/>
          <w:sz w:val="18"/>
          <w:szCs w:val="18"/>
        </w:rPr>
        <w:t>方式</w:t>
      </w:r>
      <w:r w:rsidRPr="006A2D80">
        <w:rPr>
          <w:rFonts w:ascii="华文楷体" w:eastAsia="华文楷体" w:hAnsi="华文楷体" w:cs="宋体"/>
          <w:color w:val="000000"/>
          <w:sz w:val="18"/>
          <w:szCs w:val="18"/>
        </w:rPr>
        <w:t xml:space="preserve">, </w:t>
      </w: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说明指定寄存器所存值的含义</w:t>
      </w:r>
    </w:p>
    <w:p w:rsidR="00CC2446" w:rsidRPr="006A2D80" w:rsidRDefault="006A2D80" w:rsidP="006A2D80">
      <w:pPr>
        <w:rPr>
          <w:rFonts w:ascii="华文楷体" w:eastAsia="华文楷体" w:hAnsi="华文楷体" w:cs="宋体"/>
          <w:color w:val="000000"/>
          <w:sz w:val="18"/>
          <w:szCs w:val="18"/>
        </w:rPr>
      </w:pPr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6. 可以要求解释</w:t>
      </w:r>
      <w:proofErr w:type="gramStart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某些看</w:t>
      </w:r>
      <w:proofErr w:type="gramEnd"/>
      <w:r w:rsidRPr="006A2D80">
        <w:rPr>
          <w:rFonts w:ascii="华文楷体" w:eastAsia="华文楷体" w:hAnsi="华文楷体" w:cs="宋体" w:hint="eastAsia"/>
          <w:color w:val="000000"/>
          <w:sz w:val="18"/>
          <w:szCs w:val="18"/>
        </w:rPr>
        <w:t>不懂的代码 (我看不懂的话</w:t>
      </w:r>
    </w:p>
    <w:sectPr w:rsidR="00CC2446" w:rsidRPr="006A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3F1"/>
    <w:multiLevelType w:val="hybridMultilevel"/>
    <w:tmpl w:val="C1904A6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9B12CA"/>
    <w:multiLevelType w:val="hybridMultilevel"/>
    <w:tmpl w:val="F13E562E"/>
    <w:lvl w:ilvl="0" w:tplc="A8A444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5615E0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C36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CA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292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40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AB6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A49B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AA9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ECA"/>
    <w:multiLevelType w:val="hybridMultilevel"/>
    <w:tmpl w:val="10B2CE74"/>
    <w:lvl w:ilvl="0" w:tplc="DF2C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A2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42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8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E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C1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E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4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5B7A94"/>
    <w:multiLevelType w:val="hybridMultilevel"/>
    <w:tmpl w:val="9BA69988"/>
    <w:lvl w:ilvl="0" w:tplc="5DE4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21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A6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0E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88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CB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69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21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8B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67FDA"/>
    <w:multiLevelType w:val="hybridMultilevel"/>
    <w:tmpl w:val="244250EA"/>
    <w:lvl w:ilvl="0" w:tplc="82429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41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67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A7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03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60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29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2C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2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463E81"/>
    <w:multiLevelType w:val="hybridMultilevel"/>
    <w:tmpl w:val="276A5978"/>
    <w:lvl w:ilvl="0" w:tplc="E31E7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A1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E6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C3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4E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43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43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C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E76F4B"/>
    <w:multiLevelType w:val="hybridMultilevel"/>
    <w:tmpl w:val="C6F075D2"/>
    <w:lvl w:ilvl="0" w:tplc="7D2C7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2C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26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2E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0E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69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A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5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C583A"/>
    <w:multiLevelType w:val="hybridMultilevel"/>
    <w:tmpl w:val="FE5A54B8"/>
    <w:lvl w:ilvl="0" w:tplc="9F3E8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CC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48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8F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03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A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C5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AA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C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5C028E"/>
    <w:multiLevelType w:val="hybridMultilevel"/>
    <w:tmpl w:val="3C54BB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03"/>
    <w:rsid w:val="00001BCE"/>
    <w:rsid w:val="00013EFF"/>
    <w:rsid w:val="00070F45"/>
    <w:rsid w:val="000E6C22"/>
    <w:rsid w:val="001242E2"/>
    <w:rsid w:val="00176039"/>
    <w:rsid w:val="00180D6D"/>
    <w:rsid w:val="002164FD"/>
    <w:rsid w:val="00217277"/>
    <w:rsid w:val="00252E6E"/>
    <w:rsid w:val="002A0FDC"/>
    <w:rsid w:val="003251A5"/>
    <w:rsid w:val="00411176"/>
    <w:rsid w:val="0047226A"/>
    <w:rsid w:val="004A612C"/>
    <w:rsid w:val="005538CA"/>
    <w:rsid w:val="006A2D80"/>
    <w:rsid w:val="007D34DA"/>
    <w:rsid w:val="008F5A99"/>
    <w:rsid w:val="00981A51"/>
    <w:rsid w:val="0098262A"/>
    <w:rsid w:val="009D0A0B"/>
    <w:rsid w:val="009D385A"/>
    <w:rsid w:val="00A273C7"/>
    <w:rsid w:val="00AD7C03"/>
    <w:rsid w:val="00AF0671"/>
    <w:rsid w:val="00AF5E95"/>
    <w:rsid w:val="00B656A2"/>
    <w:rsid w:val="00B8214A"/>
    <w:rsid w:val="00BA57D0"/>
    <w:rsid w:val="00BB60A5"/>
    <w:rsid w:val="00C174F0"/>
    <w:rsid w:val="00C407A2"/>
    <w:rsid w:val="00CC2446"/>
    <w:rsid w:val="00CF6E8D"/>
    <w:rsid w:val="00D77ABC"/>
    <w:rsid w:val="00E2409C"/>
    <w:rsid w:val="00EF1022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27F"/>
  <w15:chartTrackingRefBased/>
  <w15:docId w15:val="{24905C53-5DD9-4C4F-ACA7-8DEC7467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C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E5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5E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7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8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91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20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0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1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0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9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3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7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2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7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0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4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曹志玮</dc:creator>
  <cp:keywords/>
  <dc:description/>
  <cp:lastModifiedBy>jq wu</cp:lastModifiedBy>
  <cp:revision>28</cp:revision>
  <dcterms:created xsi:type="dcterms:W3CDTF">2015-05-06T02:49:00Z</dcterms:created>
  <dcterms:modified xsi:type="dcterms:W3CDTF">2017-05-04T11:16:00Z</dcterms:modified>
</cp:coreProperties>
</file>