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sz w:val="48"/>
        </w:rPr>
        <w:t>Employee NDA and IP Assignment</w:t>
      </w:r>
    </w:p>
    <w:p>
      <w:pPr>
        <w:pStyle w:val="Heading1"/>
      </w:pPr>
      <w:r>
        <w:rPr>
          <w:b/>
          <w:sz w:val="36"/>
        </w:rPr>
        <w:t>EMPLOYEE NON-DISCLOSURE AND INTELLECTUAL PROPERTY ASSIGNMENT AGREEMENT</w:t>
      </w:r>
    </w:p>
    <w:p>
      <w:r>
        <w:t>This Non-Disclosure and IP Assignment Agreement ("Agreement") is executed as of October 10, 2026, by and between Kortex Neural Systems Inc. ("Company") and the undersigned employee ("Employee").</w:t>
      </w:r>
    </w:p>
    <w:p>
      <w:pPr>
        <w:pStyle w:val="Heading2"/>
      </w:pPr>
      <w:r>
        <w:rPr>
          <w:b/>
          <w:sz w:val="28"/>
        </w:rPr>
        <w:t>1. Definition of Proprietary Information</w:t>
      </w:r>
    </w:p>
    <w:p>
      <w:r>
        <w:t>Proprietary Information includes, without limitation, source code, neural model weights, dataset annotations, trade secrets, architecture schemas, financial projections, customer rosters, and unpublished patent applications.</w:t>
      </w:r>
    </w:p>
    <w:p>
      <w:pPr>
        <w:pStyle w:val="Heading2"/>
      </w:pPr>
      <w:r>
        <w:rPr>
          <w:b/>
          <w:sz w:val="28"/>
        </w:rPr>
        <w:t>2. Exclusions from Confidentiality</w:t>
      </w:r>
    </w:p>
    <w:p>
      <w:r>
        <w:t>Confidential Information does not include information that: (a) is or becomes publicly known without breach of this Agreement; (b) was known to Employee prior to disclosure; or (c) is independently developed without reference to Proprietary Information.</w:t>
      </w:r>
    </w:p>
    <w:p>
      <w:pPr>
        <w:pStyle w:val="Heading2"/>
      </w:pPr>
      <w:r>
        <w:rPr>
          <w:b/>
          <w:sz w:val="28"/>
        </w:rPr>
        <w:t>3. Assignment of Inventions</w:t>
      </w:r>
    </w:p>
    <w:p>
      <w:r>
        <w:t>Employee hereby irrevocably transfers, assigns, and conveys to Company all right, title, and interest in and to all inventions, algorithms, designs, and copyrights conceived or developed during the course of employment.</w:t>
      </w:r>
    </w:p>
    <w:p>
      <w:pPr>
        <w:pStyle w:val="Heading2"/>
      </w:pPr>
      <w:r>
        <w:rPr>
          <w:b/>
          <w:sz w:val="28"/>
        </w:rPr>
        <w:t>4. Injunctive Relief and Severability</w:t>
      </w:r>
    </w:p>
    <w:p>
      <w:r>
        <w:t>A breach of this Agreement causes irreparable harm for which monetary damages are inadequate; Company is entitled to seek equitable relief, including injunctions, without necessity of posting bond.</w:t>
      </w:r>
    </w:p>
  </w:body>
</w:document>
</file>