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48"/>
        </w:rPr>
        <w:t>Синаптическая пластичность ЦНС</w:t>
      </w:r>
    </w:p>
    <w:p>
      <w:pPr>
        <w:pStyle w:val="Heading1"/>
      </w:pPr>
      <w:r>
        <w:rPr>
          <w:b/>
          <w:sz w:val="36"/>
        </w:rPr>
        <w:t>Нейробиология синаптической пластичности и памяти</w:t>
      </w:r>
    </w:p>
    <w:p>
      <w:r>
        <w:t>Синаптическая пластичность представляет собой биологический процесс, при котором активность в синапсе приводит к изменению силы синаптической передачи. Это фундаментальный механизм обучения.</w:t>
      </w:r>
    </w:p>
    <w:p>
      <w:pPr>
        <w:pStyle w:val="Heading2"/>
      </w:pPr>
      <w:r>
        <w:rPr>
          <w:b/>
          <w:sz w:val="28"/>
        </w:rPr>
        <w:t>1. Долговременная потенциация (LTP) и NMDA-рецепторы</w:t>
      </w:r>
    </w:p>
    <w:p>
      <w:r>
        <w:t>Активация глутаматных рецепторов NMDA требует деполяризации постсинаптической мембраны для устранения магниевого блока (Mg2+), что позволяет ионам кальция (Ca2+) проникать в клетку.</w:t>
      </w:r>
    </w:p>
    <w:p>
      <w:pPr>
        <w:pStyle w:val="Heading2"/>
      </w:pPr>
      <w:r>
        <w:rPr>
          <w:b/>
          <w:sz w:val="28"/>
        </w:rPr>
        <w:t>2. Таблица синаптических медиаторов</w:t>
      </w:r>
    </w:p>
    <w:tbl>
      <w:tblPr>
        <w:tblBorders>
          <w:top w:val="single" w:sz="4"/>
          <w:left w:val="single" w:sz="4"/>
          <w:bottom w:val="single" w:sz="4"/>
          <w:right w:val="single" w:sz="4"/>
        </w:tblBorders>
      </w:tblPr>
      <w:tr>
        <w:tc>
          <w:p>
            <w:r>
              <w:t>Медиатор</w:t>
            </w:r>
          </w:p>
        </w:tc>
        <w:tc>
          <w:p>
            <w:r>
              <w:t>Тип рецептора</w:t>
            </w:r>
          </w:p>
        </w:tc>
        <w:tc>
          <w:p>
            <w:r>
              <w:t>Основная функция в ЦНС</w:t>
            </w:r>
          </w:p>
        </w:tc>
      </w:tr>
      <w:tr>
        <w:tc>
          <w:p>
            <w:r>
              <w:t>Глутамат</w:t>
            </w:r>
          </w:p>
        </w:tc>
        <w:tc>
          <w:p>
            <w:r>
              <w:t>AMPA, NMDA, Kainate</w:t>
            </w:r>
          </w:p>
        </w:tc>
        <w:tc>
          <w:p>
            <w:r>
              <w:t>Главный возбуждающий нейромедиатор мозга</w:t>
            </w:r>
          </w:p>
        </w:tc>
      </w:tr>
      <w:tr>
        <w:tc>
          <w:p>
            <w:r>
              <w:t>ГАМК (GABA)</w:t>
            </w:r>
          </w:p>
        </w:tc>
        <w:tc>
          <w:p>
            <w:r>
              <w:t>GABA_A, GABA_B</w:t>
            </w:r>
          </w:p>
        </w:tc>
        <w:tc>
          <w:p>
            <w:r>
              <w:t>Главный тормозный нейромедиатор</w:t>
            </w:r>
          </w:p>
        </w:tc>
      </w:tr>
      <w:tr>
        <w:tc>
          <w:p>
            <w:r>
              <w:t>Дофамин</w:t>
            </w:r>
          </w:p>
        </w:tc>
        <w:tc>
          <w:p>
            <w:r>
              <w:t>D1, D2, D3, D4, D5</w:t>
            </w:r>
          </w:p>
        </w:tc>
        <w:tc>
          <w:p>
            <w:r>
              <w:t>Модуляция мотивации, двигательного контроля и вознаграждения</w:t>
            </w:r>
          </w:p>
        </w:tc>
      </w:tr>
      <w:tr>
        <w:tc>
          <w:p>
            <w:r>
              <w:t>Ацетилхолин</w:t>
            </w:r>
          </w:p>
        </w:tc>
        <w:tc>
          <w:p>
            <w:r>
              <w:t>Никотиновые, Мускариновые</w:t>
            </w:r>
          </w:p>
        </w:tc>
        <w:tc>
          <w:p>
            <w:r>
              <w:t>Внимание, бодрствование и нервно-мышечная передача</w:t>
            </w:r>
          </w:p>
        </w:tc>
      </w:tr>
    </w:tbl>
    <w:p>
      <w:r>
        <w:t>Рисунок 1: Внутриклеточный сигнальный каскад CaMKII при индукции долговременной потенциации.</w:t>
      </w:r>
    </w:p>
  </w:body>
</w:document>
</file>