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DVWA на дистрибутив Kali Linux.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 1).</w:t>
      </w:r>
    </w:p>
    <w:p>
      <w:pPr>
        <w:pStyle w:val="CaptionedFigure"/>
      </w:pPr>
      <w:r>
        <w:drawing>
          <wp:inline>
            <wp:extent cx="3733800" cy="1702612"/>
            <wp:effectExtent b="0" l="0" r="0" t="0"/>
            <wp:docPr descr="Клонирование репозитор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 (рис. 2.)</w:t>
      </w:r>
    </w:p>
    <w:p>
      <w:pPr>
        <w:pStyle w:val="CaptionedFigure"/>
      </w:pPr>
      <w:r>
        <w:drawing>
          <wp:inline>
            <wp:extent cx="3733800" cy="1358968"/>
            <wp:effectExtent b="0" l="0" r="0" t="0"/>
            <wp:docPr descr="Изменение прав доступ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Изменение прав доступа</w:t>
      </w:r>
    </w:p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 3)</w:t>
      </w:r>
    </w:p>
    <w:p>
      <w:pPr>
        <w:pStyle w:val="CaptionedFigure"/>
      </w:pPr>
      <w:r>
        <w:drawing>
          <wp:inline>
            <wp:extent cx="3733800" cy="873868"/>
            <wp:effectExtent b="0" l="0" r="0" t="0"/>
            <wp:docPr descr="Перемещение по директориям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по директориям</w:t>
      </w:r>
    </w:p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 4)</w:t>
      </w:r>
    </w:p>
    <w:p>
      <w:pPr>
        <w:pStyle w:val="CaptionedFigure"/>
      </w:pPr>
      <w:r>
        <w:drawing>
          <wp:inline>
            <wp:extent cx="3733800" cy="931352"/>
            <wp:effectExtent b="0" l="0" r="0" t="0"/>
            <wp:docPr descr="Создание копии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копии файла</w:t>
      </w:r>
    </w:p>
    <w:p>
      <w:pPr>
        <w:pStyle w:val="BodyText"/>
      </w:pPr>
      <w:r>
        <w:t xml:space="preserve">Далее открываю файл в текстовом редакторе (рис. 5)</w:t>
      </w:r>
    </w:p>
    <w:p>
      <w:pPr>
        <w:pStyle w:val="CaptionedFigure"/>
      </w:pPr>
      <w:r>
        <w:drawing>
          <wp:inline>
            <wp:extent cx="3733800" cy="399467"/>
            <wp:effectExtent b="0" l="0" r="0" t="0"/>
            <wp:docPr descr="Открытие файла в редактор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в редакторе</w:t>
      </w:r>
    </w:p>
    <w:p>
      <w:pPr>
        <w:pStyle w:val="BodyText"/>
      </w:pPr>
      <w:r>
        <w:t xml:space="preserve">Изменяю данные об имени пользователя и пароле (рис. 6)</w:t>
      </w:r>
    </w:p>
    <w:p>
      <w:pPr>
        <w:pStyle w:val="CaptionedFigure"/>
      </w:pPr>
      <w:r>
        <w:drawing>
          <wp:inline>
            <wp:extent cx="3733800" cy="2382634"/>
            <wp:effectExtent b="0" l="0" r="0" t="0"/>
            <wp:docPr descr="Редактирование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</w:t>
      </w:r>
    </w:p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p>
      <w:pPr>
        <w:pStyle w:val="CaptionedFigure"/>
      </w:pPr>
      <w:r>
        <w:drawing>
          <wp:inline>
            <wp:extent cx="3733800" cy="812719"/>
            <wp:effectExtent b="0" l="0" r="0" t="0"/>
            <wp:docPr descr="Запуск mysql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mysql</w:t>
      </w:r>
    </w:p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</w:t>
      </w:r>
      <w:r>
        <w:t xml:space="preserve">MariaDB</w:t>
      </w:r>
      <w:r>
        <w:t xml:space="preserve">”</w:t>
      </w:r>
      <w:r>
        <w:t xml:space="preserve">, далее создаем в ней нового пользователя, используя учетные данные из файла config.inc.php (рис. 8)</w:t>
      </w:r>
    </w:p>
    <w:p>
      <w:pPr>
        <w:pStyle w:val="CaptionedFigure"/>
      </w:pPr>
      <w:r>
        <w:drawing>
          <wp:inline>
            <wp:extent cx="3733800" cy="1833937"/>
            <wp:effectExtent b="0" l="0" r="0" t="0"/>
            <wp:docPr descr="Авторизация в базе данных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Авторизация в базе данных</w:t>
      </w:r>
    </w:p>
    <w:p>
      <w:pPr>
        <w:pStyle w:val="BodyText"/>
      </w:pPr>
      <w:r>
        <w:t xml:space="preserve">Теперь нужно пользователю предоставить привилегии для работы с этой базой данных (рис. 9)</w:t>
      </w:r>
    </w:p>
    <w:p>
      <w:pPr>
        <w:pStyle w:val="CaptionedFigure"/>
      </w:pPr>
      <w:r>
        <w:drawing>
          <wp:inline>
            <wp:extent cx="3733800" cy="520577"/>
            <wp:effectExtent b="0" l="0" r="0" t="0"/>
            <wp:docPr descr="Изменение прав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прав</w:t>
      </w:r>
    </w:p>
    <w:p>
      <w:pPr>
        <w:pStyle w:val="BodyText"/>
      </w:pPr>
      <w:r>
        <w:t xml:space="preserve">Необходимо настроить сервер apache2, перехожу в соответствующую директорию (рис. 10)</w:t>
      </w:r>
    </w:p>
    <w:p>
      <w:pPr>
        <w:pStyle w:val="CaptionedFigure"/>
      </w:pPr>
      <w:r>
        <w:drawing>
          <wp:inline>
            <wp:extent cx="3733800" cy="1811991"/>
            <wp:effectExtent b="0" l="0" r="0" t="0"/>
            <wp:docPr descr="Перемещение между директориям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между директориями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 (рис. 11)</w:t>
      </w:r>
    </w:p>
    <w:p>
      <w:pPr>
        <w:pStyle w:val="CaptionedFigure"/>
      </w:pPr>
      <w:r>
        <w:drawing>
          <wp:inline>
            <wp:extent cx="3733800" cy="396428"/>
            <wp:effectExtent b="0" l="0" r="0" t="0"/>
            <wp:docPr descr="Открытие файла в текстовом редактор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в текстовом редакторе</w:t>
      </w:r>
    </w:p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734811"/>
            <wp:effectExtent b="0" l="0" r="0" t="0"/>
            <wp:docPr descr="Редакт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Запускаем службу веб-сервера apache и проверяем, запущена ли служба (рис. 13)</w:t>
      </w:r>
    </w:p>
    <w:p>
      <w:pPr>
        <w:pStyle w:val="CaptionedFigure"/>
      </w:pPr>
      <w:r>
        <w:drawing>
          <wp:inline>
            <wp:extent cx="3733800" cy="2212397"/>
            <wp:effectExtent b="0" l="0" r="0" t="0"/>
            <wp:docPr descr="Запуск apche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apche</w:t>
      </w:r>
    </w:p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 (рис. 14)</w:t>
      </w:r>
    </w:p>
    <w:p>
      <w:pPr>
        <w:pStyle w:val="CaptionedFigure"/>
      </w:pPr>
      <w:r>
        <w:drawing>
          <wp:inline>
            <wp:extent cx="3733800" cy="2325590"/>
            <wp:effectExtent b="0" l="0" r="0" t="0"/>
            <wp:docPr descr="Запуск веб-приложен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веб-приложения</w:t>
      </w:r>
    </w:p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, затем регистрируемся.</w:t>
      </w:r>
    </w:p>
    <w:p>
      <w:pPr>
        <w:pStyle w:val="BodyText"/>
      </w:pPr>
      <w:r>
        <w:t xml:space="preserve">После попадаем на домашнюю страницУ веб-приложения, на этом установка окончена (рис. 15)</w:t>
      </w:r>
    </w:p>
    <w:p>
      <w:pPr>
        <w:pStyle w:val="CaptionedFigure"/>
      </w:pPr>
      <w:r>
        <w:drawing>
          <wp:inline>
            <wp:extent cx="3733800" cy="2806450"/>
            <wp:effectExtent b="0" l="0" r="0" t="0"/>
            <wp:docPr descr="Домашняя страница DVWA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Домашняя страница DVWA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Приобрёл практические навыки по установке уязвимого веб-приложения DVWA.</w:t>
      </w:r>
    </w:p>
    <w:bookmarkEnd w:id="68"/>
    <w:bookmarkStart w:id="6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:::—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Дворкина Ева, НКАбд-01-22</dc:creator>
  <dc:language>ru-RU</dc:language>
  <cp:keywords/>
  <dcterms:created xsi:type="dcterms:W3CDTF">2025-03-22T20:50:48Z</dcterms:created>
  <dcterms:modified xsi:type="dcterms:W3CDTF">2025-03-22T20:50:48Z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