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№2</w:t>
      </w:r>
    </w:p>
    <w:p>
      <w:pPr>
        <w:pStyle w:val="Subtitle"/>
      </w:pP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работы — изучение принципов технологий Ethernet и Fast Ethernet и практическое освоение методик оценки работоспособности сети, построенной на базе технологии Fast Ethernet.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FirstParagraph"/>
      </w:pPr>
      <w:r>
        <w:t xml:space="preserve">Требуется оценить работоспособность 100-мегабитной сети Fast Ethernet в соответствии с первой и второй моделями.</w:t>
      </w:r>
    </w:p>
    <w:bookmarkEnd w:id="21"/>
    <w:bookmarkStart w:id="3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25" w:name="оценка-работоспособности-первой-модели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Оценка работоспособности первой модели</w:t>
      </w:r>
    </w:p>
    <w:p>
      <w:pPr>
        <w:pStyle w:val="FirstParagraph"/>
      </w:pPr>
      <w:r>
        <w:t xml:space="preserve">Сеть состоит из терминалов с интерфейсами TX и двух повторителей класса II, следовательно предельно допустимый диаметр домена коллизий равен 205 м.</w:t>
      </w:r>
    </w:p>
    <w:p>
      <w:pPr>
        <w:pStyle w:val="BodyText"/>
      </w:pPr>
      <w:r>
        <w:t xml:space="preserve">Конфигурации сети и топология сети представлены на (рис. [??]). В таблице оранжевым обозначаю те сегменты, которые в сумме будут давать наибольшее значение с учётом повторителей. Потом эту сумму сравниваю с предельно допустимым диаметром домена коллизий (рис. [??]).</w:t>
      </w:r>
    </w:p>
    <w:p>
      <w:pPr>
        <w:pStyle w:val="CaptionedFigure"/>
      </w:pPr>
      <w:r>
        <w:drawing>
          <wp:inline>
            <wp:extent cx="3733800" cy="2162589"/>
            <wp:effectExtent b="0" l="0" r="0" t="0"/>
            <wp:docPr descr="Оценка работоспособности первой модели, топология и конфигурации сети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2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Оценка работоспособности первой модели, топология и конфигурации сети</w:t>
      </w:r>
    </w:p>
    <w:bookmarkEnd w:id="25"/>
    <w:bookmarkStart w:id="29" w:name="оценка-работоспособности-первой-модели-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Оценка работоспособности первой модели</w:t>
      </w:r>
    </w:p>
    <w:p>
      <w:pPr>
        <w:pStyle w:val="FirstParagraph"/>
      </w:pPr>
      <w:r>
        <w:t xml:space="preserve">Затем необходимо оценить работоспособность сети в соответствии со второй моделью. Создаю таблицу в Эксель, куда вношу все конфигурации сети, а также дублирую таблицу метрик и выделяю сегменты, которые в сумме дают наихудший путь между двумя узлами домена коллизий (рис. [??]). Затем составляю таблицу с выделенными элементами помноженными на коэффициент 1,112 (удельное время двойного оборота для нашей витой пары), потом формирую столбец с макс. временем двойного оборота, значения которого являются суммами значений по строке + времени для повторителей и пары терминалов. Формирую столбец с макс. временем двойного оборота с учётом непредвиденных задержек, прибавляя 4 битовых интервала к значениям из предыдущего столбца. Если макс. время двойного оборота с учётом непредвиденных задержек меньше или равна 512, то получаем истину (рис. [??]).</w:t>
      </w:r>
    </w:p>
    <w:p>
      <w:pPr>
        <w:pStyle w:val="CaptionedFigure"/>
      </w:pPr>
      <w:r>
        <w:drawing>
          <wp:inline>
            <wp:extent cx="3733800" cy="825038"/>
            <wp:effectExtent b="0" l="0" r="0" t="0"/>
            <wp:docPr descr="Оценка работоспособности второй модели" title="fig: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250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Оценка работоспособности второй модели</w:t>
      </w:r>
    </w:p>
    <w:bookmarkEnd w:id="29"/>
    <w:bookmarkEnd w:id="30"/>
    <w:bookmarkStart w:id="3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я изучил принципы технологий Ethernet и Fast Ethernet и практически освоил методики оценки работоспособности сети, построенной на базе технологии Fast Ethernet.</w:t>
      </w:r>
    </w:p>
    <w:bookmarkEnd w:id="31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32">
        <w:r>
          <w:rPr>
            <w:rStyle w:val="Hyperlink"/>
          </w:rPr>
          <w:t xml:space="preserve">Сетевые технологии</w:t>
        </w:r>
      </w:hyperlink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32" Target="https://esystem.rudn.ru/pluginfile.php/2858169/mod_resource/content/3/002-lab_ethernet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2" Target="https://esystem.rudn.ru/pluginfile.php/2858169/mod_resource/content/3/002-lab_ethernet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Машков Илья Евгеньевич</dc:creator>
  <dc:language>ru-RU</dc:language>
  <cp:keywords/>
  <dcterms:created xsi:type="dcterms:W3CDTF">2026-03-12T12:39:52Z</dcterms:created>
  <dcterms:modified xsi:type="dcterms:W3CDTF">2026-03-12T12:39:52Z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Сетевые технологии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