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9.png" ContentType="image/png"/>
  <Override PartName="/word/media/rId66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4.png" ContentType="image/png"/>
  <Override PartName="/word/media/rId38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зада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типа Windows (ifconfig для систем типа Linux).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MAC-адреса устройства и его типа.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домашнем устройстве Wireshark.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ARP и ICMP в части кадров канального уровня.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HTTP, DNS в части заголовков и информации протоколов TCP, UDP, QUIC.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проанализировать handshake протокола TCP.</w: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посредством Wireshark кадров Ethernet, анализ PDU протоколов транспортного и прикладного уровней стека TCP/IP.</w:t>
      </w:r>
    </w:p>
    <w:bookmarkEnd w:id="21"/>
    <w:bookmarkStart w:id="9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mac-адресац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MAC-адресация</w:t>
      </w:r>
    </w:p>
    <w:p>
      <w:pPr>
        <w:pStyle w:val="FirstParagraph"/>
      </w:pPr>
      <w:r>
        <w:t xml:space="preserve">С помощью команды ipconfig выводим информацию о текущем сетевом соединении (рис. [??]).</w:t>
      </w:r>
    </w:p>
    <w:p>
      <w:pPr>
        <w:pStyle w:val="CaptionedFigure"/>
      </w:pPr>
      <w:r>
        <w:drawing>
          <wp:inline>
            <wp:extent cx="3733800" cy="2782131"/>
            <wp:effectExtent b="0" l="0" r="0" t="0"/>
            <wp:docPr descr="Вывод ipconfig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ipconfig</w:t>
      </w:r>
    </w:p>
    <w:p>
      <w:pPr>
        <w:pStyle w:val="BodyText"/>
      </w:pPr>
      <w:r>
        <w:t xml:space="preserve">Тут мы видим все сетевые адаптеры, ipv4 и ipv6 адреса и маски подсетей. Адаптер беспроводной локальной сети является основным.</w:t>
      </w:r>
    </w:p>
    <w:p>
      <w:pPr>
        <w:pStyle w:val="BodyText"/>
      </w:pPr>
      <w:r>
        <w:t xml:space="preserve">Дальше применим опцию /all (рис. [??]), (рис. [??]) и (рис. [??]).</w:t>
      </w:r>
    </w:p>
    <w:p>
      <w:pPr>
        <w:pStyle w:val="CaptionedFigure"/>
      </w:pPr>
      <w:r>
        <w:drawing>
          <wp:inline>
            <wp:extent cx="3733800" cy="3606420"/>
            <wp:effectExtent b="0" l="0" r="0" t="0"/>
            <wp:docPr descr="Вывод команды ipconfig /all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ipconfig /all</w:t>
      </w:r>
    </w:p>
    <w:p>
      <w:pPr>
        <w:pStyle w:val="CaptionedFigure"/>
      </w:pPr>
      <w:r>
        <w:drawing>
          <wp:inline>
            <wp:extent cx="3733800" cy="1944274"/>
            <wp:effectExtent b="0" l="0" r="0" t="0"/>
            <wp:docPr descr="Информация об основном адаптере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об основном адаптере</w:t>
      </w:r>
    </w:p>
    <w:p>
      <w:pPr>
        <w:pStyle w:val="CaptionedFigure"/>
      </w:pPr>
      <w:r>
        <w:drawing>
          <wp:inline>
            <wp:extent cx="3733800" cy="827893"/>
            <wp:effectExtent b="0" l="0" r="0" t="0"/>
            <wp:docPr descr="Название рисунка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Здесь можно заметить более подробную информацию: имя ПК, мак-адреса адаптеров, наличие dhcp и dns серверов. Определим MAC-адреса на примере двух адаптеров: основного (рис. [??]) и ethernet (рис. [??]).</w:t>
      </w:r>
    </w:p>
    <w:p>
      <w:pPr>
        <w:pStyle w:val="BodyText"/>
      </w:pPr>
      <w:r>
        <w:t xml:space="preserve">Итак, начнем с адреса основного адаптера беспроводной сети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DC-21-5C-2E-C6-6F</w:t>
      </w:r>
      <w:r>
        <w:rPr>
          <w:b/>
          <w:bCs/>
        </w:rPr>
        <w:t xml:space="preserve">”</w:t>
      </w:r>
      <w:r>
        <w:t xml:space="preserve">. Т.к. адаптер у нас интеловский, то первые 3 байта (DC-21-5C) - это и есть индентификатор производителя. Последующие три байта - уникальный номер. Рассмотрим первый байт DC в двоичной системе счисления выглядит следующим образом: 11011100. Первый бит 0, что означает, что это индивидуальный адрес. Второй бит тоже 0, что означает, что адрес у нас глобально администрируемый.</w:t>
      </w:r>
    </w:p>
    <w:p>
      <w:pPr>
        <w:pStyle w:val="BodyText"/>
      </w:pPr>
      <w:r>
        <w:t xml:space="preserve">MAC-адрес адаптера eternet выглядит так: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D4-93-90-10-51-BF</w:t>
      </w:r>
      <w:r>
        <w:rPr>
          <w:b/>
          <w:bCs/>
        </w:rPr>
        <w:t xml:space="preserve">”</w:t>
      </w:r>
      <w:r>
        <w:t xml:space="preserve">. Первые три байта определяют, что адаптер стоит от Realtek. Рассмотрим первый бит D4 в двоичной СС 11010100. Тут мы видим абсолютно такую же ситуацию, что и в прошлом случае. Что первый, что второй бит равны нулю, что означает то, что у нас индивидуальный и глобально администрируемый адрес.</w:t>
      </w:r>
    </w:p>
    <w:bookmarkEnd w:id="34"/>
    <w:bookmarkStart w:id="65" w:name="X6c76421fbd19cc984e76814c23119fc66625a7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кадров канального уровня в Wireshark</w:t>
      </w:r>
    </w:p>
    <w:p>
      <w:pPr>
        <w:pStyle w:val="FirstParagraph"/>
      </w:pPr>
      <w:r>
        <w:t xml:space="preserve">После установки и запуска WireShark мы наблюдаем стартовый экран, где мы выбираем нашу беспроводную сеть (рис. [??]).</w:t>
      </w:r>
    </w:p>
    <w:p>
      <w:pPr>
        <w:pStyle w:val="CaptionedFigure"/>
      </w:pPr>
      <w:r>
        <w:drawing>
          <wp:inline>
            <wp:extent cx="3733800" cy="2698533"/>
            <wp:effectExtent b="0" l="0" r="0" t="0"/>
            <wp:docPr descr="Стартовый экран Wireshark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Стартовый экран Wireshark</w:t>
      </w:r>
    </w:p>
    <w:p>
      <w:pPr>
        <w:pStyle w:val="BodyText"/>
      </w:pPr>
      <w:r>
        <w:t xml:space="preserve">Пропингуем наш шлюз с адресом 192.168.1.1 (рис. [??]).</w:t>
      </w:r>
    </w:p>
    <w:p>
      <w:pPr>
        <w:pStyle w:val="CaptionedFigure"/>
      </w:pPr>
      <w:r>
        <w:drawing>
          <wp:inline>
            <wp:extent cx="3733800" cy="1609557"/>
            <wp:effectExtent b="0" l="0" r="0" t="0"/>
            <wp:docPr descr="Результат отправки эхо-запроса на шлюз" title="fig: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отправки эхо-запроса на шлюз</w:t>
      </w:r>
    </w:p>
    <w:p>
      <w:pPr>
        <w:pStyle w:val="BodyText"/>
      </w:pPr>
      <w:r>
        <w:t xml:space="preserve">Видим, что появились кадры ICMP(request) (рис. [??]).</w:t>
      </w:r>
    </w:p>
    <w:p>
      <w:pPr>
        <w:pStyle w:val="CaptionedFigure"/>
      </w:pPr>
      <w:r>
        <w:drawing>
          <wp:inline>
            <wp:extent cx="3733800" cy="1087687"/>
            <wp:effectExtent b="0" l="0" r="0" t="0"/>
            <wp:docPr descr="ICMP-пакет(request)" title="fig: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ICMP-пакет(request)</w:t>
      </w:r>
    </w:p>
    <w:p>
      <w:pPr>
        <w:pStyle w:val="BodyText"/>
      </w:pPr>
      <w:r>
        <w:t xml:space="preserve">Здесь мы можем заметить общую информацию: время доставки, адрес отправителя и адресата, размер кадра, номер кадра и пр. (рис. [??]).</w:t>
      </w:r>
    </w:p>
    <w:p>
      <w:pPr>
        <w:pStyle w:val="CaptionedFigure"/>
      </w:pPr>
      <w:r>
        <w:drawing>
          <wp:inline>
            <wp:extent cx="3733800" cy="1727786"/>
            <wp:effectExtent b="0" l="0" r="0" t="0"/>
            <wp:docPr descr="Общая информация icmp запроса" title="fig: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информация icmp запроса</w:t>
      </w:r>
    </w:p>
    <w:p>
      <w:pPr>
        <w:pStyle w:val="BodyText"/>
      </w:pPr>
      <w:r>
        <w:t xml:space="preserve">На данном скриншоте мы видим MAC-адреса отправителя и адресата. Т.к. это детали именно запроса, поэтому отпрвитель это мы, а получатель - это роутер. Как мы можем заметить, оба адреса индивидуальные и глобально администрируемы, что соответствует базовым значениям (рис. [??]).</w:t>
      </w:r>
    </w:p>
    <w:p>
      <w:pPr>
        <w:pStyle w:val="CaptionedFigure"/>
      </w:pPr>
      <w:r>
        <w:drawing>
          <wp:inline>
            <wp:extent cx="3733800" cy="688502"/>
            <wp:effectExtent b="0" l="0" r="0" t="0"/>
            <wp:docPr descr="Детали icmp запроса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 запроса</w:t>
      </w:r>
    </w:p>
    <w:p>
      <w:pPr>
        <w:pStyle w:val="BodyText"/>
      </w:pPr>
      <w:r>
        <w:t xml:space="preserve">Здесь мы можем увидеть всё то же самое, что и в случае запроса, но отправитель и адресат из запроса просто меняются местами (рис. [??]).</w:t>
      </w:r>
    </w:p>
    <w:p>
      <w:pPr>
        <w:pStyle w:val="CaptionedFigure"/>
      </w:pPr>
      <w:r>
        <w:drawing>
          <wp:inline>
            <wp:extent cx="3733800" cy="1776108"/>
            <wp:effectExtent b="0" l="0" r="0" t="0"/>
            <wp:docPr descr="Общая информация icmp ответа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информация icmp ответа</w:t>
      </w:r>
    </w:p>
    <w:p>
      <w:pPr>
        <w:pStyle w:val="BodyText"/>
      </w:pPr>
      <w:r>
        <w:t xml:space="preserve">Затем мы просматриваем ARP-пакеты. Тут мы видим, что шлюз моего роутера Keenetic обращается к широковещательному адресу с вопросом о владельце адреса 192.168.1.1, после чего получает ответ от нашего компьютера (рис. [??]).</w:t>
      </w:r>
    </w:p>
    <w:p>
      <w:pPr>
        <w:pStyle w:val="CaptionedFigure"/>
      </w:pPr>
      <w:r>
        <w:drawing>
          <wp:inline>
            <wp:extent cx="3733800" cy="2287465"/>
            <wp:effectExtent b="0" l="0" r="0" t="0"/>
            <wp:docPr descr="Детали ARP-пакетов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ARP-пакетов</w:t>
      </w:r>
    </w:p>
    <w:p>
      <w:pPr>
        <w:pStyle w:val="BodyText"/>
      </w:pPr>
      <w:r>
        <w:t xml:space="preserve">Пропингуем google.com. Тип всех адресов, которые я получил был индивидуальным и глобально администрируемым, а менялись только адреса и порты (рис. [??]), (рис. [??]), (рис. [??])</w:t>
      </w:r>
    </w:p>
    <w:p>
      <w:pPr>
        <w:pStyle w:val="CaptionedFigure"/>
      </w:pPr>
      <w:r>
        <w:drawing>
          <wp:inline>
            <wp:extent cx="3733800" cy="1871431"/>
            <wp:effectExtent b="0" l="0" r="0" t="0"/>
            <wp:docPr descr="Детали ICMP-пакетов(reply)" title="fig: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ICMP-пакетов(reply)</w:t>
      </w:r>
    </w:p>
    <w:p>
      <w:pPr>
        <w:pStyle w:val="CaptionedFigure"/>
      </w:pPr>
      <w:r>
        <w:drawing>
          <wp:inline>
            <wp:extent cx="3733800" cy="1821254"/>
            <wp:effectExtent b="0" l="0" r="0" t="0"/>
            <wp:docPr descr="Детали icmp-пакетов(request)" title="fig: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icmp-пакетов(request)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Детали ARP-пакетов с google.com" title="fig: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ARP-пакетов с google.com</w:t>
      </w:r>
    </w:p>
    <w:bookmarkEnd w:id="65"/>
    <w:bookmarkStart w:id="84" w:name="X2966bb2fc3c9a92445bae0f6a1e0c47d9574f1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протоколов транспортного уровня в Wireshark</w:t>
      </w:r>
    </w:p>
    <w:p>
      <w:pPr>
        <w:pStyle w:val="FirstParagraph"/>
      </w:pPr>
      <w:r>
        <w:t xml:space="preserve">На сайте info.cern.ch совершаем действия так, чтобы это отобразилось в Wireshark. Важно: делать это надо непосредственно на этом сайте в секции с ответами на вопросы или ссылками на статьи, которые находятся на этом сайте, потому что там есть ссылки на другие сайты, при взаимодействии с которыми в Wireshark мы ничего не увидим. (рис. [??]).</w:t>
      </w:r>
    </w:p>
    <w:p>
      <w:pPr>
        <w:pStyle w:val="CaptionedFigure"/>
      </w:pPr>
      <w:r>
        <w:drawing>
          <wp:inline>
            <wp:extent cx="3733800" cy="1702318"/>
            <wp:effectExtent b="0" l="0" r="0" t="0"/>
            <wp:docPr descr="HTTP ответ 200 OK" title="fig: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 ответ 200 OK</w:t>
      </w:r>
    </w:p>
    <w:p>
      <w:pPr>
        <w:pStyle w:val="BodyText"/>
      </w:pPr>
      <w:r>
        <w:t xml:space="preserve">Здесь мы можем заметить, что адрес сервера 188.185.48.40, а его порт - 59476. Порт источника - 80 (рис. [??]). Также мы тут видим флаги FIN, PSH и ACK, что свидетельствует об удачном завершении TCP-соединения с передачей последних данных.</w:t>
      </w:r>
    </w:p>
    <w:p>
      <w:pPr>
        <w:pStyle w:val="CaptionedFigure"/>
      </w:pPr>
      <w:r>
        <w:drawing>
          <wp:inline>
            <wp:extent cx="3733800" cy="1514440"/>
            <wp:effectExtent b="0" l="0" r="0" t="0"/>
            <wp:docPr descr="Детали http пакета" title="fig: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http пакета</w:t>
      </w:r>
    </w:p>
    <w:p>
      <w:pPr>
        <w:pStyle w:val="BodyText"/>
      </w:pPr>
      <w:r>
        <w:t xml:space="preserve">Далее займёмся анализом DNS-трафика. Видим dns-запросы от нашего компьютера 192.168.1.48 к DNS-серверу 192.168.1.1 и ответы. Получили мы, кстати, стандартную A-запись (рис. [??]).</w:t>
      </w:r>
    </w:p>
    <w:p>
      <w:pPr>
        <w:pStyle w:val="CaptionedFigure"/>
      </w:pPr>
      <w:r>
        <w:drawing>
          <wp:inline>
            <wp:extent cx="3733800" cy="1885202"/>
            <wp:effectExtent b="0" l="0" r="0" t="0"/>
            <wp:docPr descr="DNS-запросы и ответы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DNS-запросы и ответы</w:t>
      </w:r>
    </w:p>
    <w:p>
      <w:pPr>
        <w:pStyle w:val="BodyText"/>
      </w:pPr>
      <w:r>
        <w:t xml:space="preserve">Перейдем к немного более детальному анализу запроса к home.web.cern.ch (рис. [??]). Заметим, что используется UDP-протокол, порт источника и порт назначения. В кадре содержаться записи CNAME и A.</w:t>
      </w:r>
    </w:p>
    <w:p>
      <w:pPr>
        <w:pStyle w:val="CaptionedFigure"/>
      </w:pPr>
      <w:r>
        <w:drawing>
          <wp:inline>
            <wp:extent cx="3733800" cy="2060270"/>
            <wp:effectExtent b="0" l="0" r="0" t="0"/>
            <wp:docPr descr="Детали dns-запроса" title="fig: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dns-запроса</w:t>
      </w:r>
    </w:p>
    <w:p>
      <w:pPr>
        <w:pStyle w:val="BodyText"/>
      </w:pPr>
      <w:r>
        <w:t xml:space="preserve">На этих скриншотах (рис. [??]) и (рис. [??]) ищображены детали пакетов QUIC предназначеных для 443 и 61379 портов.</w:t>
      </w:r>
    </w:p>
    <w:p>
      <w:pPr>
        <w:pStyle w:val="CaptionedFigure"/>
      </w:pPr>
      <w:r>
        <w:drawing>
          <wp:inline>
            <wp:extent cx="3733800" cy="997562"/>
            <wp:effectExtent b="0" l="0" r="0" t="0"/>
            <wp:docPr descr="QUIC-пакеты на 443 порт" title="fig: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QUIC-пакеты на 443 порт</w:t>
      </w:r>
    </w:p>
    <w:p>
      <w:pPr>
        <w:pStyle w:val="CaptionedFigure"/>
      </w:pPr>
      <w:r>
        <w:drawing>
          <wp:inline>
            <wp:extent cx="3733800" cy="1820199"/>
            <wp:effectExtent b="0" l="0" r="0" t="0"/>
            <wp:docPr descr="QUIC-пакеты на 61379 порт" title="fig: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QUIC-пакеты на 61379 порт</w:t>
      </w:r>
    </w:p>
    <w:bookmarkEnd w:id="84"/>
    <w:bookmarkStart w:id="91" w:name="X05456eae27a32c8a8b6775570a47414c2cfb90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Анализ handshake протокола TCP в Wireshark</w:t>
      </w:r>
    </w:p>
    <w:p>
      <w:pPr>
        <w:pStyle w:val="FirstParagraph"/>
      </w:pPr>
      <w:r>
        <w:t xml:space="preserve">Проанализируем трёхступенчатое рукопожатие TCP (рис. [??]). Здесь мы видим отсутствие таких начальных пакетов, как SYN и SYN-ACK, но видим пакеты с флагами ACK, RST и FIN. Также видим ретрансмисии.</w:t>
      </w:r>
    </w:p>
    <w:p>
      <w:pPr>
        <w:pStyle w:val="CaptionedFigure"/>
      </w:pPr>
      <w:r>
        <w:drawing>
          <wp:inline>
            <wp:extent cx="3733800" cy="1851645"/>
            <wp:effectExtent b="0" l="0" r="0" t="0"/>
            <wp:docPr descr="Анализ трёхступенчатого рукопожатия" title="fig: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трёхступенчатого рукопожатия</w:t>
      </w:r>
    </w:p>
    <w:p>
      <w:pPr>
        <w:pStyle w:val="BodyText"/>
      </w:pPr>
      <w:r>
        <w:t xml:space="preserve">Однако даже при отсутствии некоторых пакетов, мы можем построить график потока, на котором мы видим обмены пакетами с подтверждениями (ACK), а также задержки и повторные передачи (рис. [??]).</w:t>
      </w:r>
    </w:p>
    <w:p>
      <w:pPr>
        <w:pStyle w:val="CaptionedFigure"/>
      </w:pPr>
      <w:r>
        <w:drawing>
          <wp:inline>
            <wp:extent cx="3733800" cy="1441279"/>
            <wp:effectExtent b="0" l="0" r="0" t="0"/>
            <wp:docPr descr="График потока TCP" title="fig: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 TCP</w:t>
      </w:r>
    </w:p>
    <w:bookmarkEnd w:id="91"/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мной были изучены посредством Wireshark кадры Ethernet, получены практические навыки по анализу PDU протоколов транспортного и прикладного уровней стека TCP/IP.</w:t>
      </w:r>
    </w:p>
    <w:bookmarkEnd w:id="93"/>
    <w:bookmarkStart w:id="9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94">
        <w:r>
          <w:rPr>
            <w:rStyle w:val="Hyperlink"/>
          </w:rPr>
          <w:t xml:space="preserve">Сетевые технологии</w:t>
        </w:r>
      </w:hyperlink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hyperlink" Id="rId94" Target="https://esystem.rudn.ru/pluginfile.php/2858172/mod_resource/content/3/003-lab_datalink-layer-WSh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esystem.rudn.ru/pluginfile.php/2858172/mod_resource/content/3/003-lab_datalink-layer-WSh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Машков Илья Евгеньевич</dc:creator>
  <dc:language>ru-RU</dc:language>
  <cp:keywords/>
  <dcterms:created xsi:type="dcterms:W3CDTF">2026-03-12T15:27:41Z</dcterms:created>
  <dcterms:modified xsi:type="dcterms:W3CDTF">2026-03-12T15:27:41Z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