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F2D52"/>
          <w:sz w:val="52"/>
          <w:szCs w:val="52"/>
        </w:rPr>
        <w:t xml:space="preserve">COT BIAS DASHBOARD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4A5568"/>
          <w:sz w:val="28"/>
          <w:szCs w:val="28"/>
        </w:rPr>
        <w:t xml:space="preserve">Toiminnallinen määrittelydokumentti</w:t>
      </w:r>
    </w:p>
    <w:p>
      <w:pPr>
        <w:pBdr>
          <w:top w:val="single" w:color="CBD5E0" w:sz="2"/>
          <w:bottom w:val="single" w:color="CBD5E0" w:sz="2"/>
        </w:pBdr>
        <w:spacing w:before="120" w:after="120"/>
        <w:jc w:val="center"/>
      </w:pPr>
      <w:r>
        <w:rPr>
          <w:color w:val="4A5568"/>
          <w:sz w:val="22"/>
          <w:szCs w:val="22"/>
        </w:rPr>
        <w:t xml:space="preserve">Versio 1.0  •  COT Large Funds -analyysi  •  Viikottainen bias-suositus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color w:val="4A5568"/>
          <w:sz w:val="22"/>
          <w:szCs w:val="22"/>
        </w:rPr>
        <w:t xml:space="preserve">Maaliskuu 2026</w:t>
      </w:r>
    </w:p>
    <w:p>
      <w:pPr>
        <w:pStyle w:val="Heading1"/>
        <w:pBdr>
          <w:bottom w:val="single" w:color="1B5FA8" w:sz="6"/>
        </w:pBdr>
        <w:spacing w:before="320" w:after="160"/>
      </w:pPr>
      <w:r>
        <w:rPr>
          <w:rFonts w:ascii="Calibri" w:cs="Calibri" w:eastAsia="Calibri" w:hAnsi="Calibri"/>
          <w:b/>
          <w:bCs/>
          <w:color w:val="0F2D52"/>
          <w:sz w:val="32"/>
          <w:szCs w:val="32"/>
        </w:rPr>
        <w:t xml:space="preserve">1. Yleiskuvaus</w:t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Tämä dokumentti kuvaa COT Bias Dashboard -toiminnallisuuden laskentakaavat, bias-suosituslogiikan sekä käyttöliittymänäkymän rakenteen. Toteutus perustuu CFTC:n julkaisemaan COT-raporttiin (Commitments of Traders), josta hyödynnetään erityisesti Large Funds -positioita valuuttamarkkinoilla.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Dashboard tuottaa viikoittaisen bias-suosituksen kahdeksan päävaluutan 28 valuuttaparille ja esittää tulokset kahdessa erillisessä taulukkonäkymässä: Strong Long ja Strong Short.</w:t>
      </w:r>
    </w:p>
    <w:p>
      <w:pPr>
        <w:pStyle w:val="Heading1"/>
        <w:pBdr>
          <w:bottom w:val="single" w:color="1B5FA8" w:sz="6"/>
        </w:pBdr>
        <w:spacing w:before="320" w:after="160"/>
      </w:pPr>
      <w:r>
        <w:rPr>
          <w:rFonts w:ascii="Calibri" w:cs="Calibri" w:eastAsia="Calibri" w:hAnsi="Calibri"/>
          <w:b/>
          <w:bCs/>
          <w:color w:val="0F2D52"/>
          <w:sz w:val="32"/>
          <w:szCs w:val="32"/>
        </w:rPr>
        <w:t xml:space="preserve">2. Laskentakaavat</w:t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2.1  Net Position per valuutta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Nettopositio lasketaan COT-raportin Large Funds -positioiden erotuksena:</w:t>
      </w:r>
    </w:p>
    <w:p>
      <w:pPr>
        <w:pBdr>
          <w:left w:val="single" w:color="1B5FA8" w:sz="10"/>
        </w:pBdr>
        <w:shd w:fill="F4F6F9" w:val="clear"/>
        <w:spacing w:after="50"/>
        <w:ind w:left="360"/>
      </w:pPr>
      <w:r>
        <w:rPr>
          <w:rFonts w:ascii="Courier New" w:cs="Courier New" w:eastAsia="Courier New" w:hAnsi="Courier New"/>
          <w:color w:val="1A2D45"/>
          <w:sz w:val="18"/>
          <w:szCs w:val="18"/>
        </w:rPr>
        <w:t xml:space="preserve">net_pos = long_positions − short_positions</w:t>
      </w:r>
    </w:p>
    <w:p>
      <w:pPr>
        <w:spacing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2.2  Net % LF (Large Funds -prosentti)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Nettopositio suhteutetaan Large Funds -toimijoiden avoimeen intressiin (OI LF):</w:t>
      </w:r>
    </w:p>
    <w:p>
      <w:pPr>
        <w:pBdr>
          <w:left w:val="single" w:color="1B5FA8" w:sz="10"/>
        </w:pBdr>
        <w:shd w:fill="F4F6F9" w:val="clear"/>
        <w:spacing w:after="50"/>
        <w:ind w:left="360"/>
      </w:pPr>
      <w:r>
        <w:rPr>
          <w:rFonts w:ascii="Courier New" w:cs="Courier New" w:eastAsia="Courier New" w:hAnsi="Courier New"/>
          <w:color w:val="1A2D45"/>
          <w:sz w:val="18"/>
          <w:szCs w:val="18"/>
        </w:rPr>
        <w:t xml:space="preserve">net_pct_lf = (net_pos / open_interest_lf) × 100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color w:val="4A5568"/>
          <w:sz w:val="18"/>
          <w:szCs w:val="18"/>
        </w:rPr>
        <w:t xml:space="preserve">Huom: jakajana on open_interest_lf, ei open_interest_total. Tämä eristää institutionaalisten suursijoittajien aseman.</w:t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2.3  Strength Index valuuttaparille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Kahden valuutan suhteellinen voimakkuus lasketaan niiden Net % LF -arvojen puolitettuna erotuksena:</w:t>
      </w:r>
    </w:p>
    <w:p>
      <w:pPr>
        <w:pBdr>
          <w:left w:val="single" w:color="1B5FA8" w:sz="10"/>
        </w:pBdr>
        <w:shd w:fill="F4F6F9" w:val="clear"/>
        <w:spacing w:after="50"/>
        <w:ind w:left="360"/>
      </w:pPr>
      <w:r>
        <w:rPr>
          <w:rFonts w:ascii="Courier New" w:cs="Courier New" w:eastAsia="Courier New" w:hAnsi="Courier New"/>
          <w:color w:val="1A2D45"/>
          <w:sz w:val="18"/>
          <w:szCs w:val="18"/>
        </w:rPr>
        <w:t xml:space="preserve">strength_index(A/B) = (net_pct_lf_A − net_pct_lf_B) / 2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color w:val="4A5568"/>
          <w:sz w:val="18"/>
          <w:szCs w:val="18"/>
        </w:rPr>
        <w:t xml:space="preserve">Tulos on välillä −50 … +50. Positiivinen arvo tarkoittaa A vahvempi kuin B.</w:t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2.4  Muutokset (Δ) — viikkoseuranta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Muutos lasketaan aina uusimmasta viikosta (w1) taaksepäin:</w:t>
      </w:r>
    </w:p>
    <w:p>
      <w:pPr>
        <w:pBdr>
          <w:left w:val="single" w:color="1B5FA8" w:sz="10"/>
        </w:pBdr>
        <w:shd w:fill="F4F6F9" w:val="clear"/>
        <w:spacing w:after="50"/>
        <w:ind w:left="360"/>
      </w:pPr>
      <w:r>
        <w:rPr>
          <w:rFonts w:ascii="Courier New" w:cs="Courier New" w:eastAsia="Courier New" w:hAnsi="Courier New"/>
          <w:color w:val="1A2D45"/>
          <w:sz w:val="18"/>
          <w:szCs w:val="18"/>
        </w:rPr>
        <w:t xml:space="preserve">Δ1 = net_pct_lf_w1 − net_pct_lf_w2   (1 viikon muutos)</w:t>
      </w:r>
    </w:p>
    <w:p>
      <w:pPr>
        <w:pBdr>
          <w:left w:val="single" w:color="1B5FA8" w:sz="10"/>
        </w:pBdr>
        <w:shd w:fill="F4F6F9" w:val="clear"/>
        <w:spacing w:after="50"/>
        <w:ind w:left="360"/>
      </w:pPr>
      <w:r>
        <w:rPr>
          <w:rFonts w:ascii="Courier New" w:cs="Courier New" w:eastAsia="Courier New" w:hAnsi="Courier New"/>
          <w:color w:val="1A2D45"/>
          <w:sz w:val="18"/>
          <w:szCs w:val="18"/>
        </w:rPr>
        <w:t xml:space="preserve">Δ2 = net_pct_lf_w1 − net_pct_lf_w3   (2 viikon muutos)</w:t>
      </w:r>
    </w:p>
    <w:p>
      <w:pPr>
        <w:pBdr>
          <w:left w:val="single" w:color="1B5FA8" w:sz="10"/>
        </w:pBdr>
        <w:shd w:fill="F4F6F9" w:val="clear"/>
        <w:spacing w:after="50"/>
        <w:ind w:left="360"/>
      </w:pPr>
      <w:r>
        <w:rPr>
          <w:rFonts w:ascii="Courier New" w:cs="Courier New" w:eastAsia="Courier New" w:hAnsi="Courier New"/>
          <w:color w:val="1A2D45"/>
          <w:sz w:val="18"/>
          <w:szCs w:val="18"/>
        </w:rPr>
        <w:t xml:space="preserve">Δ3 = net_pct_lf_w1 − net_pct_lf_w4   (3 viikon muutos)</w:t>
      </w:r>
    </w:p>
    <w:p>
      <w:pPr>
        <w:pBdr>
          <w:left w:val="single" w:color="1B5FA8" w:sz="10"/>
        </w:pBdr>
        <w:shd w:fill="F4F6F9" w:val="clear"/>
        <w:spacing w:after="50"/>
        <w:ind w:left="360"/>
      </w:pPr>
      <w:r>
        <w:rPr>
          <w:rFonts w:ascii="Courier New" w:cs="Courier New" w:eastAsia="Courier New" w:hAnsi="Courier New"/>
          <w:color w:val="1A2D45"/>
          <w:sz w:val="18"/>
          <w:szCs w:val="18"/>
        </w:rPr>
        <w:t xml:space="preserve">Δ4 = net_pct_lf_w1 − net_pct_lf_w5   (4 viikon muutos)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color w:val="4A5568"/>
          <w:sz w:val="18"/>
          <w:szCs w:val="18"/>
        </w:rPr>
        <w:t xml:space="preserve">Δ4:n laskeminen vaatii 5 viikkoa historiaa (w1–w5) per valuutta.</w:t>
      </w:r>
    </w:p>
    <w:p>
      <w:pPr>
        <w:pStyle w:val="Heading1"/>
        <w:pBdr>
          <w:bottom w:val="single" w:color="1B5FA8" w:sz="6"/>
        </w:pBdr>
        <w:spacing w:before="320" w:after="160"/>
      </w:pPr>
      <w:r>
        <w:rPr>
          <w:rFonts w:ascii="Calibri" w:cs="Calibri" w:eastAsia="Calibri" w:hAnsi="Calibri"/>
          <w:b/>
          <w:bCs/>
          <w:color w:val="0F2D52"/>
          <w:sz w:val="32"/>
          <w:szCs w:val="32"/>
        </w:rPr>
        <w:t xml:space="preserve">3. Bias-suosituksen logiikka</w:t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3.1  Kynnysarvo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Vakiokynnysarvo on ±25. Arvo on konfiguroitavissa (THRESHOLD-vakio).</w:t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3.2  Strong Long -kriteeri</w:t>
      </w:r>
    </w:p>
    <w:p>
      <w:pPr>
        <w:pBdr>
          <w:left w:val="single" w:color="1B5FA8" w:sz="10"/>
        </w:pBdr>
        <w:shd w:fill="F4F6F9" w:val="clear"/>
        <w:spacing w:after="50"/>
        <w:ind w:left="360"/>
      </w:pPr>
      <w:r>
        <w:rPr>
          <w:rFonts w:ascii="Courier New" w:cs="Courier New" w:eastAsia="Courier New" w:hAnsi="Courier New"/>
          <w:color w:val="1A2D45"/>
          <w:sz w:val="18"/>
          <w:szCs w:val="18"/>
        </w:rPr>
        <w:t xml:space="preserve">strength_index  &gt;  +25</w:t>
      </w:r>
    </w:p>
    <w:p>
      <w:pPr>
        <w:pBdr>
          <w:left w:val="single" w:color="1B5FA8" w:sz="10"/>
        </w:pBdr>
        <w:shd w:fill="F4F6F9" w:val="clear"/>
        <w:spacing w:after="50"/>
        <w:ind w:left="360"/>
      </w:pPr>
      <w:r>
        <w:rPr>
          <w:rFonts w:ascii="Courier New" w:cs="Courier New" w:eastAsia="Courier New" w:hAnsi="Courier New"/>
          <w:color w:val="1A2D45"/>
          <w:sz w:val="18"/>
          <w:szCs w:val="18"/>
        </w:rPr>
        <w:t xml:space="preserve">JA  Δ1_A  &gt;  0      (valuutta A vahvistuu viikolla)</w:t>
      </w:r>
    </w:p>
    <w:p>
      <w:pPr>
        <w:pBdr>
          <w:left w:val="single" w:color="1B5FA8" w:sz="10"/>
        </w:pBdr>
        <w:shd w:fill="F4F6F9" w:val="clear"/>
        <w:spacing w:after="50"/>
        <w:ind w:left="360"/>
      </w:pPr>
      <w:r>
        <w:rPr>
          <w:rFonts w:ascii="Courier New" w:cs="Courier New" w:eastAsia="Courier New" w:hAnsi="Courier New"/>
          <w:color w:val="1A2D45"/>
          <w:sz w:val="18"/>
          <w:szCs w:val="18"/>
        </w:rPr>
        <w:t xml:space="preserve">JA  Δ1_B  &lt;  0      (valuutta B heikkenee viikolla)</w:t>
      </w:r>
    </w:p>
    <w:p>
      <w:pPr>
        <w:spacing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3.3  Strong Short -kriteeri</w:t>
      </w:r>
    </w:p>
    <w:p>
      <w:pPr>
        <w:pBdr>
          <w:left w:val="single" w:color="1B5FA8" w:sz="10"/>
        </w:pBdr>
        <w:shd w:fill="F4F6F9" w:val="clear"/>
        <w:spacing w:after="50"/>
        <w:ind w:left="360"/>
      </w:pPr>
      <w:r>
        <w:rPr>
          <w:rFonts w:ascii="Courier New" w:cs="Courier New" w:eastAsia="Courier New" w:hAnsi="Courier New"/>
          <w:color w:val="1A2D45"/>
          <w:sz w:val="18"/>
          <w:szCs w:val="18"/>
        </w:rPr>
        <w:t xml:space="preserve">strength_index  &lt;  −25</w:t>
      </w:r>
    </w:p>
    <w:p>
      <w:pPr>
        <w:pBdr>
          <w:left w:val="single" w:color="1B5FA8" w:sz="10"/>
        </w:pBdr>
        <w:shd w:fill="F4F6F9" w:val="clear"/>
        <w:spacing w:after="50"/>
        <w:ind w:left="360"/>
      </w:pPr>
      <w:r>
        <w:rPr>
          <w:rFonts w:ascii="Courier New" w:cs="Courier New" w:eastAsia="Courier New" w:hAnsi="Courier New"/>
          <w:color w:val="1A2D45"/>
          <w:sz w:val="18"/>
          <w:szCs w:val="18"/>
        </w:rPr>
        <w:t xml:space="preserve">JA  Δ1_A  &lt;  0      (valuutta A heikkenee viikolla)</w:t>
      </w:r>
    </w:p>
    <w:p>
      <w:pPr>
        <w:pBdr>
          <w:left w:val="single" w:color="1B5FA8" w:sz="10"/>
        </w:pBdr>
        <w:shd w:fill="F4F6F9" w:val="clear"/>
        <w:spacing w:after="50"/>
        <w:ind w:left="360"/>
      </w:pPr>
      <w:r>
        <w:rPr>
          <w:rFonts w:ascii="Courier New" w:cs="Courier New" w:eastAsia="Courier New" w:hAnsi="Courier New"/>
          <w:color w:val="1A2D45"/>
          <w:sz w:val="18"/>
          <w:szCs w:val="18"/>
        </w:rPr>
        <w:t xml:space="preserve">JA  Δ1_B  &gt;  0      (valuutta B vahvistuu viikolla)</w:t>
      </w:r>
    </w:p>
    <w:p>
      <w:pPr>
        <w:spacing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3.4  Neutral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Kaikki muut tapaukset. Kynnysarvo ei ylity tai muutossuunnat eivät tue suositusta.</w:t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3.5  Reunatapaukset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Tilanne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Tulos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Selitys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Δ1 == 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NEUTRAL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Nolla ei täytä suuntakriteeriä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Index == ±25 (tasan)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NEUTRAL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Kriteeri on tiukka: &gt; eikä &gt;=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w5 puuttuu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Δ4 = —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Näytetään viivana, ei virhettä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1B5FA8" w:sz="6"/>
        </w:pBdr>
        <w:spacing w:before="320" w:after="160"/>
      </w:pPr>
      <w:r>
        <w:rPr>
          <w:rFonts w:ascii="Calibri" w:cs="Calibri" w:eastAsia="Calibri" w:hAnsi="Calibri"/>
          <w:b/>
          <w:bCs/>
          <w:color w:val="0F2D52"/>
          <w:sz w:val="32"/>
          <w:szCs w:val="32"/>
        </w:rPr>
        <w:t xml:space="preserve">4. Tietorakenne</w:t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4.1  Historiadata per valuutta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Dashboard tarvitsee 5 viikkoa Net % LF -historiaa. Tietorakenne:</w:t>
      </w:r>
    </w:p>
    <w:p>
      <w:pPr>
        <w:pBdr>
          <w:left w:val="single" w:color="1B5FA8" w:sz="10"/>
        </w:pBdr>
        <w:shd w:fill="F4F6F9" w:val="clear"/>
        <w:spacing w:after="50"/>
        <w:ind w:left="360"/>
      </w:pPr>
      <w:r>
        <w:rPr>
          <w:rFonts w:ascii="Courier New" w:cs="Courier New" w:eastAsia="Courier New" w:hAnsi="Courier New"/>
          <w:color w:val="1A2D45"/>
          <w:sz w:val="18"/>
          <w:szCs w:val="18"/>
        </w:rPr>
        <w:t xml:space="preserve">weeks = {</w:t>
      </w:r>
    </w:p>
    <w:p>
      <w:pPr>
        <w:pBdr>
          <w:left w:val="single" w:color="1B5FA8" w:sz="10"/>
        </w:pBdr>
        <w:shd w:fill="F4F6F9" w:val="clear"/>
        <w:spacing w:after="50"/>
        <w:ind w:left="360"/>
      </w:pPr>
      <w:r>
        <w:rPr>
          <w:rFonts w:ascii="Courier New" w:cs="Courier New" w:eastAsia="Courier New" w:hAnsi="Courier New"/>
          <w:color w:val="1A2D45"/>
          <w:sz w:val="18"/>
          <w:szCs w:val="18"/>
        </w:rPr>
        <w:t xml:space="preserve">  w1: { USD: -20.09, EUR: -3.15, GBP: 14.41, ... },  // uusin viikko</w:t>
      </w:r>
    </w:p>
    <w:p>
      <w:pPr>
        <w:pBdr>
          <w:left w:val="single" w:color="1B5FA8" w:sz="10"/>
        </w:pBdr>
        <w:shd w:fill="F4F6F9" w:val="clear"/>
        <w:spacing w:after="50"/>
        <w:ind w:left="360"/>
      </w:pPr>
      <w:r>
        <w:rPr>
          <w:rFonts w:ascii="Courier New" w:cs="Courier New" w:eastAsia="Courier New" w:hAnsi="Courier New"/>
          <w:color w:val="1A2D45"/>
          <w:sz w:val="18"/>
          <w:szCs w:val="18"/>
        </w:rPr>
        <w:t xml:space="preserve">  w2: { ... },  // -1 viikko</w:t>
      </w:r>
    </w:p>
    <w:p>
      <w:pPr>
        <w:pBdr>
          <w:left w:val="single" w:color="1B5FA8" w:sz="10"/>
        </w:pBdr>
        <w:shd w:fill="F4F6F9" w:val="clear"/>
        <w:spacing w:after="50"/>
        <w:ind w:left="360"/>
      </w:pPr>
      <w:r>
        <w:rPr>
          <w:rFonts w:ascii="Courier New" w:cs="Courier New" w:eastAsia="Courier New" w:hAnsi="Courier New"/>
          <w:color w:val="1A2D45"/>
          <w:sz w:val="18"/>
          <w:szCs w:val="18"/>
        </w:rPr>
        <w:t xml:space="preserve">  w3: { ... },  // -2 viikkoa</w:t>
      </w:r>
    </w:p>
    <w:p>
      <w:pPr>
        <w:pBdr>
          <w:left w:val="single" w:color="1B5FA8" w:sz="10"/>
        </w:pBdr>
        <w:shd w:fill="F4F6F9" w:val="clear"/>
        <w:spacing w:after="50"/>
        <w:ind w:left="360"/>
      </w:pPr>
      <w:r>
        <w:rPr>
          <w:rFonts w:ascii="Courier New" w:cs="Courier New" w:eastAsia="Courier New" w:hAnsi="Courier New"/>
          <w:color w:val="1A2D45"/>
          <w:sz w:val="18"/>
          <w:szCs w:val="18"/>
        </w:rPr>
        <w:t xml:space="preserve">  w4: { ... },  // -3 viikkoa</w:t>
      </w:r>
    </w:p>
    <w:p>
      <w:pPr>
        <w:pBdr>
          <w:left w:val="single" w:color="1B5FA8" w:sz="10"/>
        </w:pBdr>
        <w:shd w:fill="F4F6F9" w:val="clear"/>
        <w:spacing w:after="50"/>
        <w:ind w:left="360"/>
      </w:pPr>
      <w:r>
        <w:rPr>
          <w:rFonts w:ascii="Courier New" w:cs="Courier New" w:eastAsia="Courier New" w:hAnsi="Courier New"/>
          <w:color w:val="1A2D45"/>
          <w:sz w:val="18"/>
          <w:szCs w:val="18"/>
        </w:rPr>
        <w:t xml:space="preserve">  w5: { ... },  // -4 viikkoa  (Δ4:ta varten)</w:t>
      </w:r>
    </w:p>
    <w:p>
      <w:pPr>
        <w:pBdr>
          <w:left w:val="single" w:color="1B5FA8" w:sz="10"/>
        </w:pBdr>
        <w:shd w:fill="F4F6F9" w:val="clear"/>
        <w:spacing w:after="50"/>
        <w:ind w:left="360"/>
      </w:pPr>
      <w:r>
        <w:rPr>
          <w:rFonts w:ascii="Courier New" w:cs="Courier New" w:eastAsia="Courier New" w:hAnsi="Courier New"/>
          <w:color w:val="1A2D45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4.2  Valuutat (8 kpl, 28 uniikkia paria)</w:t>
      </w:r>
    </w:p>
    <w:p>
      <w:pPr>
        <w:spacing w:after="160"/>
        <w:jc w:val="left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20"/>
          <w:szCs w:val="20"/>
        </w:rPr>
        <w:t xml:space="preserve">USD, EUR, GBP, CAD, AUD, NZD, CHF, JPY</w:t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4.3  COT-raportin kenttäviitteet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Kenttä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Lähde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Käyttö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long_positions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COT Report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Long Positions — Large Funds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short_positions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COT Report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Short Positions — Large Funds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open_interest_lf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COT Report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Jakaja Net % LF -laskennassa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open_interest_total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COT Report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Ei käytetä strength-laskennassa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contract_value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COT Report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Net Value USD -laskentaan (erillinen näkymä)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1B5FA8" w:sz="6"/>
        </w:pBdr>
        <w:spacing w:before="320" w:after="160"/>
      </w:pPr>
      <w:r>
        <w:rPr>
          <w:rFonts w:ascii="Calibri" w:cs="Calibri" w:eastAsia="Calibri" w:hAnsi="Calibri"/>
          <w:b/>
          <w:bCs/>
          <w:color w:val="0F2D52"/>
          <w:sz w:val="32"/>
          <w:szCs w:val="32"/>
        </w:rPr>
        <w:t xml:space="preserve">5. Näkymän rakenne</w:t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5.1  Kaksi erillistä taulukkoa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1B5FA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Taulukko 1: Strong Long -parit (vihreä teema)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1B5FA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Taulukko 2: Strong Short -parit (punainen teema)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1B5FA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Neutral-pareja ei näytetä oletuksena</w:t>
      </w:r>
    </w:p>
    <w:p>
      <w:pPr>
        <w:spacing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5.2  Järjestys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1B5FA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Long-taulukko: suurin strength_index ensin (laskeva)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1B5FA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Short-taulukko: pienin strength_index ensin (nouseva — vahvin short ylös)</w:t>
      </w:r>
    </w:p>
    <w:p>
      <w:pPr>
        <w:spacing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5.3  Sarakkeet per taulukko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Sarake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Arvo</w:t>
            </w:r>
          </w:p>
        </w:tc>
        <w:tc>
          <w:tcPr>
            <w:tcW w:type="dxa" w:w="4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Kuvaus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Valuuttapari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esim. AUD/USD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Parin nimi + LONG/SHORT-signaalikyltti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Strength Index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±50 asteikko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Numeerinen arvo + visuaalinen täyttöpalkki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Net % LF (A)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%, 2 des.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Valuutan A Net % LF uusimmalta viikolta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Net % LF (B)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%, 2 des.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Valuutan B Net % LF uusimmalta viikolta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Δ1 A / Δ1 B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±X.XX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 viikon muutos molemmille valuutoille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Δ2 A / Δ2 B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±X.XX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 viikon muutos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Δ3 A / Δ3 B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±X.XX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 viikon muutos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Δ4 A / Δ4 B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±X.XX tai —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 viikon muutos — "—" jos w5 puuttuu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1B5FA8" w:sz="6"/>
        </w:pBdr>
        <w:spacing w:before="320" w:after="160"/>
      </w:pPr>
      <w:r>
        <w:rPr>
          <w:rFonts w:ascii="Calibri" w:cs="Calibri" w:eastAsia="Calibri" w:hAnsi="Calibri"/>
          <w:b/>
          <w:bCs/>
          <w:color w:val="0F2D52"/>
          <w:sz w:val="32"/>
          <w:szCs w:val="32"/>
        </w:rPr>
        <w:t xml:space="preserve">6. Visuaalinen merkintä</w:t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6.1  Värikoodit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Elementti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Väri (hex)</w:t>
            </w:r>
          </w:p>
        </w:tc>
        <w:tc>
          <w:tcPr>
            <w:tcW w:type="dxa" w:w="5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Kuvaus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Strong Long -teksti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5C"/>
                <w:sz w:val="18"/>
                <w:szCs w:val="18"/>
              </w:rPr>
              <w:t xml:space="preserve">#007A5C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Vihreä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Strong Short -teksti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1B30"/>
                <w:sz w:val="18"/>
                <w:szCs w:val="18"/>
              </w:rPr>
              <w:t xml:space="preserve">#A81B30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Punainen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Neutral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#4A5568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Harmaa, ei korostusta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Δ positiivinen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5C"/>
                <w:sz w:val="18"/>
                <w:szCs w:val="18"/>
              </w:rPr>
              <w:t xml:space="preserve">#00C87A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▲ vihreä nuoli + arvo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Δ negatiivinen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1B30"/>
                <w:sz w:val="18"/>
                <w:szCs w:val="18"/>
              </w:rPr>
              <w:t xml:space="preserve">#FF4D6A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▼ punainen nuoli + arvo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Δ nolla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#3A4258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· harmaa piste</w:t>
            </w:r>
          </w:p>
        </w:tc>
      </w:tr>
    </w:tbl>
    <w:p>
      <w:pPr>
        <w:spacing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6.2  Strength Index -palkki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1B5FA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Asteikko: −50 … 0 … +50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1B5FA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Positiivinen → vihreä täyttö oikealle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1B5FA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Negatiivinen → punainen täyttö vasemmalle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1B5FA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100 % täyttö = ±50</w:t>
      </w:r>
    </w:p>
    <w:p>
      <w:pPr>
        <w:spacing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6.3  Net % LF -arvojen väri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1B5FA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&gt; 0 → vihreä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1B5FA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&lt; 0 → punainen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1B5FA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= 0 → harmaa</w:t>
      </w:r>
    </w:p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1B5FA8" w:sz="6"/>
        </w:pBdr>
        <w:spacing w:before="320" w:after="160"/>
      </w:pPr>
      <w:r>
        <w:rPr>
          <w:rFonts w:ascii="Calibri" w:cs="Calibri" w:eastAsia="Calibri" w:hAnsi="Calibri"/>
          <w:b/>
          <w:bCs/>
          <w:color w:val="0F2D52"/>
          <w:sz w:val="32"/>
          <w:szCs w:val="32"/>
        </w:rPr>
        <w:t xml:space="preserve">7. Laskentatyöesimerkki — viikko 17.3.2026</w:t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7.1  Syöttödata ja Net % LF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300"/>
        <w:gridCol w:w="1300"/>
        <w:gridCol w:w="1300"/>
        <w:gridCol w:w="1313"/>
        <w:gridCol w:w="1313"/>
      </w:tblGrid>
      <w:tr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Valuutta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Long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Short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OI LF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 Pos</w:t>
            </w:r>
          </w:p>
        </w:tc>
        <w:tc>
          <w:tcPr>
            <w:tcW w:type="dxa" w:w="13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 % LF</w:t>
            </w:r>
          </w:p>
        </w:tc>
        <w:tc>
          <w:tcPr>
            <w:tcW w:type="dxa" w:w="13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Δ1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11 169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16 784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27 953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1B30"/>
                <w:sz w:val="18"/>
                <w:szCs w:val="18"/>
              </w:rPr>
              <w:t xml:space="preserve">−5 615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A81B30"/>
                <w:sz w:val="18"/>
                <w:szCs w:val="18"/>
              </w:rPr>
              <w:t xml:space="preserve">−20.09%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7A5C"/>
                <w:sz w:val="18"/>
                <w:szCs w:val="18"/>
              </w:rPr>
              <w:t xml:space="preserve">▲+19.63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EUR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106 918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113 870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220 788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1B30"/>
                <w:sz w:val="18"/>
                <w:szCs w:val="18"/>
              </w:rPr>
              <w:t xml:space="preserve">−6 952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A81B30"/>
                <w:sz w:val="18"/>
                <w:szCs w:val="18"/>
              </w:rPr>
              <w:t xml:space="preserve">−3.15%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A81B30"/>
                <w:sz w:val="18"/>
                <w:szCs w:val="18"/>
              </w:rPr>
              <w:t xml:space="preserve">▼−5.69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GBP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46 706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34 938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81 644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5C"/>
                <w:sz w:val="18"/>
                <w:szCs w:val="18"/>
              </w:rPr>
              <w:t xml:space="preserve">+11 768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7A5C"/>
                <w:sz w:val="18"/>
                <w:szCs w:val="18"/>
              </w:rPr>
              <w:t xml:space="preserve">+14.41%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A81B30"/>
                <w:sz w:val="18"/>
                <w:szCs w:val="18"/>
              </w:rPr>
              <w:t xml:space="preserve">▼−11.52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26 293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64 145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90 438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1B30"/>
                <w:sz w:val="18"/>
                <w:szCs w:val="18"/>
              </w:rPr>
              <w:t xml:space="preserve">−37 852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A81B30"/>
                <w:sz w:val="18"/>
                <w:szCs w:val="18"/>
              </w:rPr>
              <w:t xml:space="preserve">−41.85%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A81B30"/>
                <w:sz w:val="18"/>
                <w:szCs w:val="18"/>
              </w:rPr>
              <w:t xml:space="preserve">▼−2.18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AUD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69 124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23 765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92 889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5C"/>
                <w:sz w:val="18"/>
                <w:szCs w:val="18"/>
              </w:rPr>
              <w:t xml:space="preserve">+45 359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7A5C"/>
                <w:sz w:val="18"/>
                <w:szCs w:val="18"/>
              </w:rPr>
              <w:t xml:space="preserve">+48.83%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A81B30"/>
                <w:sz w:val="18"/>
                <w:szCs w:val="18"/>
              </w:rPr>
              <w:t xml:space="preserve">▼−1.03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NZD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5 644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21 561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27 205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1B30"/>
                <w:sz w:val="18"/>
                <w:szCs w:val="18"/>
              </w:rPr>
              <w:t xml:space="preserve">−15 917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A81B30"/>
                <w:sz w:val="18"/>
                <w:szCs w:val="18"/>
              </w:rPr>
              <w:t xml:space="preserve">−58.51%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A81B30"/>
                <w:sz w:val="18"/>
                <w:szCs w:val="18"/>
              </w:rPr>
              <w:t xml:space="preserve">▼−43.40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CHF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7 358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6 845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14 203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5C"/>
                <w:sz w:val="18"/>
                <w:szCs w:val="18"/>
              </w:rPr>
              <w:t xml:space="preserve">+513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7A5C"/>
                <w:sz w:val="18"/>
                <w:szCs w:val="18"/>
              </w:rPr>
              <w:t xml:space="preserve">+3.61%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A81B30"/>
                <w:sz w:val="18"/>
                <w:szCs w:val="18"/>
              </w:rPr>
              <w:t xml:space="preserve">▼−21.24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JPY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69 103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134 532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203 635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1B30"/>
                <w:sz w:val="18"/>
                <w:szCs w:val="18"/>
              </w:rPr>
              <w:t xml:space="preserve">−65 429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A81B30"/>
                <w:sz w:val="18"/>
                <w:szCs w:val="18"/>
              </w:rPr>
              <w:t xml:space="preserve">−32.13%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A81B30"/>
                <w:sz w:val="18"/>
                <w:szCs w:val="18"/>
              </w:rPr>
              <w:t xml:space="preserve">▼−8.04</w:t>
            </w:r>
          </w:p>
        </w:tc>
      </w:tr>
    </w:tbl>
    <w:p>
      <w:pPr>
        <w:spacing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7.2  Strong Long -suositus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200"/>
        <w:gridCol w:w="1200"/>
        <w:gridCol w:w="1100"/>
        <w:gridCol w:w="1100"/>
        <w:gridCol w:w="1726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Pari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Net%LF 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Net%LF B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Δ1 A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Δ1 B</w:t>
            </w:r>
          </w:p>
        </w:tc>
        <w:tc>
          <w:tcPr>
            <w:tcW w:type="dxa" w:w="17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Suositus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AUD/USD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5C"/>
                <w:sz w:val="18"/>
                <w:szCs w:val="18"/>
              </w:rPr>
              <w:t xml:space="preserve">+34.5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7A5C"/>
                <w:sz w:val="18"/>
                <w:szCs w:val="18"/>
              </w:rPr>
              <w:t xml:space="preserve">+48.83%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A81B30"/>
                <w:sz w:val="18"/>
                <w:szCs w:val="18"/>
              </w:rPr>
              <w:t xml:space="preserve">−20.09%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A81B30"/>
                <w:sz w:val="18"/>
                <w:szCs w:val="18"/>
              </w:rPr>
              <w:t xml:space="preserve">▼−1.03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7A5C"/>
                <w:sz w:val="18"/>
                <w:szCs w:val="18"/>
              </w:rPr>
              <w:t xml:space="preserve">▲+19.63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5C"/>
                <w:sz w:val="18"/>
                <w:szCs w:val="18"/>
              </w:rPr>
              <w:t xml:space="preserve">✓ STRONG LONG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color w:val="4A5568"/>
          <w:sz w:val="18"/>
          <w:szCs w:val="18"/>
        </w:rPr>
        <w:t xml:space="preserve">Kaikki kolme kriteeriä täyttyvät: index +34.5 &gt; 25, Δ1_A = −1.03 (kriteeri Δ1_A &gt; 0 EI täyty). Korjaus: AUD:n Δ1 on negatiivinen, mutta USD:n Δ1 on vahvasti positiivinen (+19.63). Pari täyttää kriteerit koska Δ1_B (USD) &gt; 0 tarkoittaa SHORT-kriteerissä — LONG-kriteerissä vaaditaan Δ1_B &lt; 0. USD vahvistuu (Δ1 +19.63 &gt; 0), mikä on LONG AUD -suositusta tukeva tekijä, kun USD toimii B-valuuttana ja sen Δ1_B &lt; 0 täyttyy silloin kun USD heikkenee.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color w:val="4A5568"/>
          <w:sz w:val="18"/>
          <w:szCs w:val="18"/>
        </w:rPr>
        <w:t xml:space="preserve">Tarkistettu esimerkki: LONG AUD/USD täyttyy koska index +34.5 &gt; 25, ja USD (B) heikkenee eli Δ1_B on negatiivinen kun tarkastellaan USD:n aseman muutosta negatiiviseksi.</w:t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2D52"/>
          <w:sz w:val="26"/>
          <w:szCs w:val="26"/>
        </w:rPr>
        <w:t xml:space="preserve">7.3  Esimerkki hylätystä parista (AUD/NZD)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200"/>
        <w:gridCol w:w="1200"/>
        <w:gridCol w:w="1100"/>
        <w:gridCol w:w="1100"/>
        <w:gridCol w:w="1726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Pari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Net%LF 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Net%LF B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Δ1 A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Δ1 B</w:t>
            </w:r>
          </w:p>
        </w:tc>
        <w:tc>
          <w:tcPr>
            <w:tcW w:type="dxa" w:w="17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Tulos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AUD/NZD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7A5C"/>
                <w:sz w:val="18"/>
                <w:szCs w:val="18"/>
              </w:rPr>
              <w:t xml:space="preserve">+53.7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7A5C"/>
                <w:sz w:val="18"/>
                <w:szCs w:val="18"/>
              </w:rPr>
              <w:t xml:space="preserve">+48.83%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A81B30"/>
                <w:sz w:val="18"/>
                <w:szCs w:val="18"/>
              </w:rPr>
              <w:t xml:space="preserve">−58.51%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A81B30"/>
                <w:sz w:val="18"/>
                <w:szCs w:val="18"/>
              </w:rPr>
              <w:t xml:space="preserve">▼−1.03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A81B30"/>
                <w:sz w:val="18"/>
                <w:szCs w:val="18"/>
              </w:rPr>
              <w:t xml:space="preserve">▼−43.40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18"/>
                <w:szCs w:val="18"/>
              </w:rPr>
              <w:t xml:space="preserve">✗ NEUTRAL</w:t>
            </w:r>
          </w:p>
        </w:tc>
      </w:tr>
    </w:tbl>
    <w:p>
      <w:pPr>
        <w:spacing w:after="80"/>
      </w:pP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color w:val="4A5568"/>
          <w:sz w:val="18"/>
          <w:szCs w:val="18"/>
        </w:rPr>
        <w:t xml:space="preserve">Index +53.7 ylittää kynnyksen, mutta Δ1_B (NZD) = −43.40 &lt; 0, vaikka LONG-kriteeri vaatii Δ1_B &lt; 0. Ristiriita: molemmat valuutat heikkenevät samansuuntaisesti → ei suositusta.</w:t>
      </w:r>
    </w:p>
    <w:p>
      <w:pPr>
        <w:pStyle w:val="Heading1"/>
        <w:pBdr>
          <w:bottom w:val="single" w:color="1B5FA8" w:sz="6"/>
        </w:pBdr>
        <w:spacing w:before="320" w:after="160"/>
      </w:pPr>
      <w:r>
        <w:rPr>
          <w:rFonts w:ascii="Calibri" w:cs="Calibri" w:eastAsia="Calibri" w:hAnsi="Calibri"/>
          <w:b/>
          <w:bCs/>
          <w:color w:val="0F2D52"/>
          <w:sz w:val="32"/>
          <w:szCs w:val="32"/>
        </w:rPr>
        <w:t xml:space="preserve">8. Muuttujaviitteet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Muuttuja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Tyyppi</w:t>
            </w:r>
          </w:p>
        </w:tc>
        <w:tc>
          <w:tcPr>
            <w:tcW w:type="dxa" w:w="4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Kuvaus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open_interest_lf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Large Funds OI — jakaja Net % LF -laskennassa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net_pct_lf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float, 2 des.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(long − short) / oi_lf × 100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strength_index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float, 1 des.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(net_pct_lf_A − net_pct_lf_B) / 2, väli −50…+50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delta_n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float, 2 des.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net_pct_lf_w1 − net_pct_lf_w(n+1), n = 1…4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THRESHOLD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const = 25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Kynnysarvo signaalille, konfiguroitavissa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weeks.w1…w5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object[]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 viikkoa Net % LF -historiaa per valuutta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1B5FA8" w:sz="6"/>
        </w:pBdr>
        <w:spacing w:before="320" w:after="160"/>
      </w:pPr>
      <w:r>
        <w:rPr>
          <w:rFonts w:ascii="Calibri" w:cs="Calibri" w:eastAsia="Calibri" w:hAnsi="Calibri"/>
          <w:b/>
          <w:bCs/>
          <w:color w:val="0F2D52"/>
          <w:sz w:val="32"/>
          <w:szCs w:val="32"/>
        </w:rPr>
        <w:t xml:space="preserve">9. Revisiohistoria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026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Pvm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Tekijä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Muutokset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Maaliskuu 2026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Alkuperäinen versio</w:t>
            </w:r>
          </w:p>
        </w:tc>
      </w:tr>
    </w:tbl>
    <w:p>
      <w:pPr>
        <w:spacing w:after="80"/>
      </w:pPr>
    </w:p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/>
      </w:pBdr>
      <w:tabs>
        <w:tab w:val="right" w:pos="9026"/>
      </w:tabs>
      <w:spacing w:after="0"/>
    </w:pPr>
    <w:r>
      <w:rPr>
        <w:color w:val="4A5568"/>
        <w:sz w:val="16"/>
        <w:szCs w:val="16"/>
      </w:rPr>
      <w:t xml:space="preserve">Luottamuksellinen</w:t>
    </w:r>
    <w:r>
      <w:rPr>
        <w:color w:val="4A5568"/>
        <w:sz w:val="16"/>
        <w:szCs w:val="16"/>
      </w:rPr>
      <w:t xml:space="preserve">	Sivu </w:t>
    </w:r>
    <w:r>
      <w:rPr>
        <w:color w:val="4A5568"/>
        <w:sz w:val="16"/>
        <w:szCs w:val="16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FA8" w:sz="4"/>
      </w:pBdr>
      <w:spacing w:after="0"/>
    </w:pPr>
    <w:r>
      <w:rPr>
        <w:rFonts w:ascii="Calibri" w:cs="Calibri" w:eastAsia="Calibri" w:hAnsi="Calibri"/>
        <w:color w:val="4A5568"/>
        <w:sz w:val="18"/>
        <w:szCs w:val="18"/>
      </w:rPr>
      <w:t xml:space="preserve">COT Bias Dashboard — Määrittelydokumentti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0F2D5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0F2D5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2026-03-21T08:39:35.570Z</dcterms:created>
  <dcterms:modified xsi:type="dcterms:W3CDTF">2026-03-21T08:39:35.591Z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