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>
      <w:pPr>
        <w:pStyle w:val="15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hint="default"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2020/21</w:t>
      </w:r>
    </w:p>
    <w:p>
      <w:pPr>
        <w:pStyle w:val="15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>
      <w:pPr>
        <w:pStyle w:val="15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>
      <w:pPr>
        <w:pStyle w:val="15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>
      <w:pPr>
        <w:pStyle w:val="15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hint="default"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>
      <w:pPr>
        <w:pStyle w:val="10"/>
        <w:jc w:val="center"/>
        <w:rPr>
          <w:rFonts w:hint="default" w:asciiTheme="minorHAnsi" w:hAnsiTheme="minorHAnsi" w:cstheme="minorHAnsi"/>
          <w:b w:val="0"/>
          <w:bCs/>
          <w:sz w:val="48"/>
          <w:szCs w:val="48"/>
          <w:lang w:val="en"/>
        </w:rPr>
      </w:pPr>
      <w:r>
        <w:rPr>
          <w:rFonts w:hint="default" w:asciiTheme="minorHAnsi" w:hAnsiTheme="minorHAnsi" w:cstheme="minorHAnsi"/>
          <w:b w:val="0"/>
          <w:bCs/>
          <w:sz w:val="48"/>
          <w:szCs w:val="48"/>
          <w:lang w:val="en"/>
        </w:rPr>
        <w:t>Risk Management Plan</w:t>
      </w: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p>
      <w:pPr>
        <w:pStyle w:val="15"/>
        <w:jc w:val="both"/>
        <w:rPr>
          <w:rFonts w:asciiTheme="minorHAnsi" w:hAnsiTheme="minorHAnsi" w:cstheme="minorHAnsi"/>
        </w:rPr>
      </w:pPr>
    </w:p>
    <w:tbl>
      <w:tblPr>
        <w:tblStyle w:val="9"/>
        <w:tblpPr w:leftFromText="180" w:rightFromText="180" w:vertAnchor="text" w:horzAnchor="page" w:tblpX="6157" w:tblpY="209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Profesor: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Nemanja Zdravković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Marina Damnjanović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Student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sz w:val="20"/>
                <w:szCs w:val="20"/>
                <w:lang w:val="en"/>
              </w:rPr>
              <w:t>Nikola Tasić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Indeks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"/>
              </w:rPr>
              <w:t>3698</w:t>
            </w:r>
          </w:p>
        </w:tc>
      </w:tr>
    </w:tbl>
    <w:p>
      <w:pPr>
        <w:pStyle w:val="15"/>
        <w:jc w:val="both"/>
        <w:rPr>
          <w:rFonts w:asciiTheme="minorHAnsi" w:hAnsiTheme="minorHAnsi" w:cstheme="minorHAnsi"/>
          <w:b/>
        </w:rPr>
      </w:pPr>
    </w:p>
    <w:p>
      <w:pPr>
        <w:pStyle w:val="1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hAnsi="Calibri" w:eastAsia="Calibri" w:cs="Times New Roman"/>
          <w:color w:val="auto"/>
          <w:sz w:val="28"/>
          <w:szCs w:val="22"/>
        </w:rPr>
        <w:id w:val="1379751615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sz w:val="28"/>
          <w:szCs w:val="22"/>
        </w:rPr>
      </w:sdtEndPr>
      <w:sdtContent>
        <w:p>
          <w:pPr>
            <w:pStyle w:val="17"/>
            <w:jc w:val="both"/>
            <w:rPr>
              <w:rFonts w:ascii="Calibri" w:hAnsi="Calibri" w:eastAsia="Calibri" w:cs="Times New Roman"/>
              <w:color w:val="auto"/>
              <w:sz w:val="28"/>
              <w:szCs w:val="22"/>
            </w:rPr>
          </w:pPr>
        </w:p>
        <w:p>
          <w:r>
            <w:rPr>
              <w:color w:val="C00000"/>
            </w:rPr>
            <w:br w:type="page"/>
          </w:r>
        </w:p>
      </w:sdtContent>
    </w:sdt>
    <w:p>
      <w:pPr>
        <w:pStyle w:val="11"/>
        <w:tabs>
          <w:tab w:val="right" w:leader="dot" w:pos="9360"/>
        </w:tabs>
      </w:pPr>
      <w:bookmarkStart w:id="7" w:name="_GoBack"/>
      <w:bookmarkEnd w:id="7"/>
      <w:bookmarkStart w:id="0" w:name="_Toc73039371"/>
      <w:r>
        <w:rPr>
          <w:color w:val="C00000"/>
        </w:rPr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r>
        <w:rPr>
          <w:color w:val="C00000"/>
        </w:rPr>
        <w:fldChar w:fldCharType="begin"/>
      </w:r>
      <w:r>
        <w:instrText xml:space="preserve"> HYPERLINK \l _Toc2100762051 </w:instrText>
      </w:r>
      <w:r>
        <w:fldChar w:fldCharType="separate"/>
      </w:r>
      <w:r>
        <w:t>Uvod</w:t>
      </w:r>
      <w:r>
        <w:tab/>
      </w:r>
      <w:r>
        <w:fldChar w:fldCharType="begin"/>
      </w:r>
      <w:r>
        <w:instrText xml:space="preserve"> PAGEREF _Toc2100762051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_Toc1716567310 </w:instrText>
      </w:r>
      <w:r>
        <w:fldChar w:fldCharType="separate"/>
      </w:r>
      <w:r>
        <w:rPr>
          <w:rFonts w:hint="default"/>
          <w:lang w:val="en"/>
        </w:rPr>
        <w:t>Rizici</w:t>
      </w:r>
      <w:r>
        <w:tab/>
      </w:r>
      <w:r>
        <w:fldChar w:fldCharType="begin"/>
      </w:r>
      <w:r>
        <w:instrText xml:space="preserve"> PAGEREF _Toc1716567310 </w:instrText>
      </w:r>
      <w:r>
        <w:fldChar w:fldCharType="separate"/>
      </w:r>
      <w:r>
        <w:t>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_Toc459900373 </w:instrText>
      </w:r>
      <w:r>
        <w:fldChar w:fldCharType="separate"/>
      </w:r>
      <w:r>
        <w:rPr>
          <w:rFonts w:hint="default"/>
          <w:lang w:val="en"/>
        </w:rPr>
        <w:t>Upravljanje rizicima</w:t>
      </w:r>
      <w:r>
        <w:tab/>
      </w:r>
      <w:r>
        <w:fldChar w:fldCharType="begin"/>
      </w:r>
      <w:r>
        <w:instrText xml:space="preserve"> PAGEREF _Toc459900373 </w:instrText>
      </w:r>
      <w:r>
        <w:fldChar w:fldCharType="separate"/>
      </w:r>
      <w:r>
        <w:t>4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_Toc2086716402 </w:instrText>
      </w:r>
      <w:r>
        <w:fldChar w:fldCharType="separate"/>
      </w:r>
      <w:r>
        <w:rPr>
          <w:rFonts w:hint="default"/>
          <w:lang w:val="en"/>
        </w:rPr>
        <w:t>Akcioni plan za slučaj ulaska u rizik</w:t>
      </w:r>
      <w:r>
        <w:tab/>
      </w:r>
      <w:r>
        <w:fldChar w:fldCharType="begin"/>
      </w:r>
      <w:r>
        <w:instrText xml:space="preserve"> PAGEREF _Toc2086716402 </w:instrText>
      </w:r>
      <w:r>
        <w:fldChar w:fldCharType="separate"/>
      </w:r>
      <w:r>
        <w:t>4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1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_Toc706066097 </w:instrText>
      </w:r>
      <w:r>
        <w:fldChar w:fldCharType="separate"/>
      </w:r>
      <w:r>
        <w:t>Zaključak</w:t>
      </w:r>
      <w:r>
        <w:tab/>
      </w:r>
      <w:r>
        <w:fldChar w:fldCharType="begin"/>
      </w:r>
      <w:r>
        <w:instrText xml:space="preserve"> PAGEREF _Toc706066097 </w:instrText>
      </w:r>
      <w:r>
        <w:fldChar w:fldCharType="separate"/>
      </w:r>
      <w:r>
        <w:t>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2"/>
        <w:jc w:val="both"/>
        <w:rPr>
          <w:color w:val="C00000"/>
        </w:rPr>
      </w:pPr>
      <w:r>
        <w:rPr>
          <w:color w:val="C00000"/>
        </w:rPr>
        <w:fldChar w:fldCharType="end"/>
      </w:r>
    </w:p>
    <w:p>
      <w:pPr>
        <w:rPr>
          <w:color w:val="C00000"/>
        </w:rPr>
      </w:pPr>
      <w:r>
        <w:rPr>
          <w:color w:val="C00000"/>
        </w:rPr>
        <w:br w:type="page"/>
      </w:r>
    </w:p>
    <w:p>
      <w:pPr>
        <w:pStyle w:val="2"/>
        <w:jc w:val="both"/>
        <w:rPr>
          <w:color w:val="C00000"/>
        </w:rPr>
      </w:pPr>
      <w:bookmarkStart w:id="1" w:name="_Toc2100762051"/>
      <w:r>
        <w:rPr>
          <w:color w:val="C00000"/>
        </w:rPr>
        <w:t>Uvod</w:t>
      </w:r>
      <w:bookmarkEnd w:id="0"/>
      <w:bookmarkEnd w:id="1"/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Kao i svaki projekat većeg obima AskDoc određeni broj rizika koji imaju veze sa njegovim razvojem i takođe njegovim korišćenjem kada se nađe u produkcionom okruženju. Detaljna analiza rizika je ono što možemo učitinit da te rizike identifikujemo i da damo napore usmerene ka njihovom rešavanju.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2" w:name="_Toc1716567310"/>
      <w:r>
        <w:rPr>
          <w:rFonts w:hint="default"/>
          <w:color w:val="C00000"/>
          <w:lang w:val="en"/>
        </w:rPr>
        <w:t>Rizici</w:t>
      </w:r>
      <w:bookmarkEnd w:id="2"/>
    </w:p>
    <w:p>
      <w:pPr>
        <w:rPr>
          <w:rFonts w:hint="default"/>
          <w:color w:val="C00000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Generički rizici koji su prisutni na gotovo svakom projektu su sledeći: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Pogrešno tumačenje zahteva - Moramo biti svesni da u toku komunikacije i u procesu izazivanja/prikupljanja zahteva može doći do grešaka u interpretiranju želja naručioca i izvršioca projekta.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Probijanje rokova - Takođe rizik koji postoji na svakom projektu koji ima rok. Ovaj problem ćemo rešiti detaljnim praćenja razvoja i statusa u projekta u razvojnim fazama.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Probijanje budžeta - Budžet za ovaj projekat iako nije najveći rizik jer se projekat razvija kao potencijalni starup oko ideje može predstavljati problem u kontekstu pojedinačnih developera koji mogu odustati od projekta ako on ne može da pokrije njihove finansijske zahteve u smislu naknade.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Specifični rizici: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en"/>
        </w:rPr>
        <w:t>P</w:t>
      </w:r>
      <w:r>
        <w:rPr>
          <w:rFonts w:hint="default"/>
          <w:sz w:val="24"/>
          <w:szCs w:val="24"/>
          <w:lang w:val="sr-Latn-RS"/>
        </w:rPr>
        <w:t>ravni rizici - problemi vezni za pravnu osnovu postojanja ovakvog sistema mogu da se pojave pri nedostatku prava ili neispunjavanja uslova za masovno emitovanje materijala koji je direktno vezan za zdravstvo.</w:t>
      </w:r>
    </w:p>
    <w:p>
      <w:pPr>
        <w:rPr>
          <w:rFonts w:hint="default"/>
          <w:sz w:val="24"/>
          <w:szCs w:val="24"/>
          <w:lang w:val="sr-Latn-R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en"/>
        </w:rPr>
        <w:t>D</w:t>
      </w:r>
      <w:r>
        <w:rPr>
          <w:rFonts w:hint="default"/>
          <w:sz w:val="24"/>
          <w:szCs w:val="24"/>
          <w:lang w:val="sr-Latn-RS"/>
        </w:rPr>
        <w:t>ruštveni rizici - moguće je potencijalno loše prihvatanje ovakvog sistema u društvu ukoliko ne postoji jasna naznaka u validnosti informacija i stručnosti kadra koji te informacije prezentuje.</w:t>
      </w:r>
    </w:p>
    <w:p>
      <w:pPr>
        <w:rPr>
          <w:rFonts w:hint="default"/>
          <w:sz w:val="24"/>
          <w:szCs w:val="24"/>
          <w:lang w:val="sr-Latn-R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E</w:t>
      </w:r>
      <w:r>
        <w:rPr>
          <w:rFonts w:hint="default"/>
          <w:sz w:val="24"/>
          <w:szCs w:val="24"/>
          <w:lang w:val="sr-Latn-RS"/>
        </w:rPr>
        <w:t>tički rizici - svi problemi vezani za nepoštovanje Kodeksa medicinske etike Lekarske komore</w:t>
      </w:r>
      <w:r>
        <w:rPr>
          <w:rFonts w:hint="default"/>
          <w:sz w:val="24"/>
          <w:szCs w:val="24"/>
          <w:lang w:val="en"/>
        </w:rPr>
        <w:t>.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"/>
        </w:rPr>
      </w:pPr>
    </w:p>
    <w:p>
      <w:pPr>
        <w:pStyle w:val="2"/>
        <w:bidi w:val="0"/>
        <w:rPr>
          <w:rFonts w:hint="default"/>
          <w:color w:val="C00000"/>
          <w:lang w:val="en"/>
        </w:rPr>
      </w:pPr>
      <w:bookmarkStart w:id="3" w:name="_Toc459900373"/>
      <w:r>
        <w:rPr>
          <w:rFonts w:hint="default"/>
          <w:color w:val="C00000"/>
          <w:lang w:val="en"/>
        </w:rPr>
        <w:t>Upravljanje rizicima</w:t>
      </w:r>
      <w:bookmarkEnd w:id="3"/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Odgovornost za isporuku projekta i upravljanje mogućim rizicima pada na lidera tima. On je zadužen da identifikuje i predupredi potencijalne rizike koji mogu nastati u procesu razvoja ovog projekta. Tu između ostalog veliki uticaj ima poznavanje situacije u timu i individualni kontakt sa članovima tima.</w:t>
      </w:r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Jedan od najvažnijih metoda identifikacije rizike pored detaljne analize jeste interakcija lidera, kao što je već rečeno, sa članovima tima i prepoznavanje potencijalnih nedostataka bilo procesa razvoja ili zahteva proizvoda koji bi trebalo rešiti što pre.</w:t>
      </w:r>
    </w:p>
    <w:p>
      <w:pPr>
        <w:ind w:firstLine="720" w:firstLineChars="0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Lider svojim iskustvom na raznim projektima razvoja ima znanje koje je potrebno da se određeni rizici prepoznaju pre ispoljavanja. Takođe stalnim monitoringom lider ima bolji uvid u stanje tima i projekta i to mu pomaže da predvidi rizike.</w:t>
      </w:r>
    </w:p>
    <w:p>
      <w:pPr>
        <w:pStyle w:val="2"/>
        <w:bidi w:val="0"/>
        <w:rPr>
          <w:rFonts w:hint="default"/>
          <w:color w:val="C00000"/>
          <w:lang w:val="en"/>
        </w:rPr>
      </w:pPr>
      <w:bookmarkStart w:id="4" w:name="_Toc2086716402"/>
      <w:r>
        <w:rPr>
          <w:rFonts w:hint="default"/>
          <w:color w:val="C00000"/>
          <w:lang w:val="en"/>
        </w:rPr>
        <w:t>Akcioni plan za slučaj ulaska u rizik</w:t>
      </w:r>
      <w:bookmarkEnd w:id="4"/>
    </w:p>
    <w:p>
      <w:pPr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Pogrešno tumačenje zahteva - u slučaju identifikacije ovog rizika lider je u obavezi da sazove vanredni sastanak sa stejkholderima gde se mora detaljno analizirati da situacija i potencijalne mere koje moraju biti preduzete u ovom slučaju. Potencijane izmene mogu da obuhvate bilo koj deo plana projekta.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Probijanje rokova - ukoliko dođe do probijanja rokova lider mora da pred stejkholdere izađe sa planom kako se potencijalno može nadoknaditi vreme koje je izgubljeno usled kašnjenja.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Probijanje budžeta - u ovom slučaju lider mora da ukoliko je u pitanju potreba za novim resursima ima objašnjenje zašto su resursi potrebni. Ukoliko je probijanje nepredviđeno mora zajedno sa stejkolderima da napravi analizu situacije i potencijalne alternativne tokove finansiranja projekta ako je to potrebno.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Pravni rizici - u ovom slučaju se u komunikaciji dolazi do alternativnih metoda ili funkcionalnosti koje neće uticati na legalnost projekta.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Društveni rizici - ukoliko dođe do potencijalnih društvenih problema lider mora da izađe u javnost sa PR planom koji rešava potencijalni problem. Ovo može da zahteva angažovanje osobe za odnose sa javnošću.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Etički rizici - identični akcioni plan kao kod pravnih rizika.</w:t>
      </w:r>
    </w:p>
    <w:p>
      <w:pPr>
        <w:rPr>
          <w:rFonts w:hint="default"/>
          <w:color w:val="C00000"/>
          <w:lang w:val="en"/>
        </w:rPr>
      </w:pPr>
    </w:p>
    <w:p>
      <w:pPr>
        <w:pStyle w:val="2"/>
        <w:jc w:val="both"/>
      </w:pPr>
      <w:bookmarkStart w:id="5" w:name="_Toc73039379"/>
      <w:bookmarkStart w:id="6" w:name="_Toc706066097"/>
      <w:r>
        <w:rPr>
          <w:color w:val="C00000"/>
        </w:rPr>
        <w:t>Zaključak</w:t>
      </w:r>
      <w:bookmarkEnd w:id="5"/>
      <w:bookmarkEnd w:id="6"/>
    </w:p>
    <w:p>
      <w:pPr>
        <w:ind w:firstLine="7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Ni jedan projekat se ne može započeti bez identifikovanja nekih potencijalnih rizika koji mogu nastati u toku ili posle njegovog razvoja. Uloga lidera tima jeste da identifikuje ove rizike i ima dobar plan kako se njihove negativne posledice mogu izbeći ili umanjiti.</w:t>
      </w:r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ejaVu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ejaVu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Code Nerd Font">
    <w:panose1 w:val="020B0809050000020004"/>
    <w:charset w:val="00"/>
    <w:family w:val="auto"/>
    <w:pitch w:val="default"/>
    <w:sig w:usb0="40000287" w:usb1="02003901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43895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2021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FD1CD"/>
    <w:multiLevelType w:val="singleLevel"/>
    <w:tmpl w:val="BDEFD1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7DFE08D"/>
    <w:multiLevelType w:val="singleLevel"/>
    <w:tmpl w:val="E7DFE0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B"/>
    <w:rsid w:val="0009087C"/>
    <w:rsid w:val="00194980"/>
    <w:rsid w:val="001B1875"/>
    <w:rsid w:val="002E2E47"/>
    <w:rsid w:val="005858BB"/>
    <w:rsid w:val="006055EA"/>
    <w:rsid w:val="008A2FAB"/>
    <w:rsid w:val="00B40210"/>
    <w:rsid w:val="00B46BAE"/>
    <w:rsid w:val="00BD436A"/>
    <w:rsid w:val="00F01CA9"/>
    <w:rsid w:val="00F612DD"/>
    <w:rsid w:val="23AF7FD6"/>
    <w:rsid w:val="29A7AC55"/>
    <w:rsid w:val="3FB7700E"/>
    <w:rsid w:val="3FCB10EE"/>
    <w:rsid w:val="577D8FFD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EE225"/>
    <w:rsid w:val="BABFDC11"/>
    <w:rsid w:val="BEDF4388"/>
    <w:rsid w:val="C7E9E029"/>
    <w:rsid w:val="D9BFCABF"/>
    <w:rsid w:val="EF9EB186"/>
    <w:rsid w:val="F5FFA03A"/>
    <w:rsid w:val="F7FD5C2D"/>
    <w:rsid w:val="FBFD738B"/>
    <w:rsid w:val="FCBF0578"/>
    <w:rsid w:val="FCBFA528"/>
    <w:rsid w:val="FCFD9E2C"/>
    <w:rsid w:val="FFBCC029"/>
    <w:rsid w:val="FFFCDC6A"/>
    <w:rsid w:val="FF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table" w:styleId="9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qFormat/>
    <w:uiPriority w:val="1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2"/>
    <w:basedOn w:val="1"/>
    <w:next w:val="1"/>
    <w:unhideWhenUsed/>
    <w:qFormat/>
    <w:uiPriority w:val="39"/>
    <w:pPr>
      <w:spacing w:after="100"/>
      <w:ind w:left="280"/>
    </w:pPr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Footer Char"/>
    <w:basedOn w:val="4"/>
    <w:link w:val="6"/>
    <w:qFormat/>
    <w:uiPriority w:val="99"/>
    <w:rPr>
      <w:rFonts w:ascii="Calibri" w:hAnsi="Calibri" w:eastAsia="Calibri" w:cs="Times New Roman"/>
      <w:sz w:val="28"/>
    </w:rPr>
  </w:style>
  <w:style w:type="character" w:customStyle="1" w:styleId="19">
    <w:name w:val="Header Char"/>
    <w:basedOn w:val="4"/>
    <w:link w:val="7"/>
    <w:qFormat/>
    <w:uiPriority w:val="99"/>
    <w:rPr>
      <w:rFonts w:ascii="Calibri" w:hAnsi="Calibri" w:eastAsia="Calibri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1335</Words>
  <Characters>7616</Characters>
  <Lines>63</Lines>
  <Paragraphs>17</Paragraphs>
  <TotalTime>0</TotalTime>
  <ScaleCrop>false</ScaleCrop>
  <LinksUpToDate>false</LinksUpToDate>
  <CharactersWithSpaces>8934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2021-05-28T04:21:00Z</dcterms:created>
  <dc:creator>Miksi</dc:creator>
  <cp:lastModifiedBy>nik</cp:lastModifiedBy>
  <dcterms:modified xsi:type="dcterms:W3CDTF">2021-06-05T18:41:33Z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