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1A1A1A"/>
          <w:sz w:val="32"/>
        </w:rPr>
        <w:t>Point d’avancement — polyspace.mr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1A1A1A"/>
          <w:sz w:val="24"/>
        </w:rPr>
        <w:t>Plateforme de gestion de la scolarité</w:t>
      </w:r>
    </w:p>
    <w:p>
      <w:pPr>
        <w:jc w:val="center"/>
      </w:pPr>
      <w:r>
        <w:rPr>
          <w:rFonts w:ascii="Calibri" w:hAnsi="Calibri" w:eastAsia="Calibri"/>
          <w:b w:val="0"/>
          <w:i/>
          <w:color w:val="1A1A1A"/>
          <w:sz w:val="20"/>
        </w:rPr>
        <w:t>Note de synthèse — septembre 2026</w:t>
      </w:r>
    </w:p>
    <w:p/>
    <w:p>
      <w:pPr>
        <w:spacing w:before="200" w:after="80"/>
      </w:pPr>
      <w:r>
        <w:rPr>
          <w:rFonts w:ascii="Calibri" w:hAnsi="Calibri" w:eastAsia="Calibri"/>
          <w:b/>
          <w:i w:val="0"/>
          <w:color w:val="1A1A1A"/>
          <w:sz w:val="24"/>
        </w:rPr>
        <w:t>1. Objet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Point court sur l’avancement de polyspace.mr par rapport au cahier des charges, à l’attention de l’encadrement.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A1A1A"/>
          <w:sz w:val="24"/>
        </w:rPr>
        <w:t>2. Synthèse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Le socle est en place et démontrable : connexion, dossiers étudiants, menu complet et exports. Plusieurs rubriques métier reprennent volontairement le même type d’écran (liste → fiche individuelle → actions → export), ce qui facilite la prise en main. La suite du travail consiste à finaliser les ajustements du cahier et à consolider ces modules avant la mise en service sur polyspace.mr.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A1A1A"/>
          <w:sz w:val="24"/>
        </w:rPr>
        <w:t>3. Réalisations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A1A1A"/>
          <w:sz w:val="22"/>
        </w:rPr>
        <w:t>Connexion utilisateurs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A1A1A"/>
          <w:sz w:val="22"/>
        </w:rPr>
        <w:t>Dossiers étudiants : création, consultation, modification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A1A1A"/>
          <w:sz w:val="22"/>
        </w:rPr>
        <w:t>Menu : tableau de bord, scolarité, équipement, sanctions, droits, demandes, suivi médical, journal, présence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A1A1A"/>
          <w:sz w:val="22"/>
        </w:rPr>
        <w:t>Exports PDF / Excel sur plusieurs écrans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A1A1A"/>
          <w:sz w:val="22"/>
        </w:rPr>
        <w:t>Démo en ligne disponible ; bascule prévue vers polyspace.mr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A1A1A"/>
          <w:sz w:val="24"/>
        </w:rPr>
        <w:t>4. Interface répétée (choix retenu)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Équipement, sanctions, demandes, suivi médical et journal suivent le même schéma d’interface, aligné sur le cahier : une liste d’élèves avec recherche et filtres, puis une fiche par élève (ajout / modification / suppression) et un export. La scolarité s’inscrit dans la même logique. Les droits et la présence ont un parcours un peu différent (traitement par période / appel). Cette répétition rend l’outil homogène ; la phase actuelle vise à peaufiner chaque rubrique sans changer ce modèle commun.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A1A1A"/>
          <w:sz w:val="24"/>
        </w:rPr>
        <w:t>5. Prochaines étapes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A1A1A"/>
          <w:sz w:val="22"/>
        </w:rPr>
        <w:t>Ajustements dossier (messages clairs, compagnie/section auto, libellés, confirmation, clic sur la ligne)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A1A1A"/>
          <w:sz w:val="22"/>
        </w:rPr>
        <w:t>Fiche de mesure et PDF étudiant avec photo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A1A1A"/>
          <w:sz w:val="22"/>
        </w:rPr>
        <w:t>Arabe (interface et saisie)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A1A1A"/>
          <w:sz w:val="22"/>
        </w:rPr>
        <w:t>Consolider les modules au modèle commun (données partagées, détail métier)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A1A1A"/>
          <w:sz w:val="22"/>
        </w:rPr>
        <w:t>Présence : selon arbitrage du cahier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A1A1A"/>
          <w:sz w:val="22"/>
        </w:rPr>
        <w:t>Stabiliser la mise en ligne et déployer sur polyspace.mr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i w:val="0"/>
          <w:color w:val="1A1A1A"/>
          <w:sz w:val="22"/>
        </w:rPr>
        <w:t>Récupération de mot de passe ; retrait des éléments non retenus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A1A1A"/>
          <w:sz w:val="24"/>
        </w:rPr>
        <w:t>6. Niveau d’avancement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La majorité des parcours est déjà visible. Environ la moitié du produit est démontrable ; le reste porte sur la finalisation et la solidité, pour un usage opérationnel conforme au cahier.</w:t>
      </w:r>
    </w:p>
    <w:p>
      <w:pPr>
        <w:spacing w:before="200" w:after="80"/>
      </w:pPr>
      <w:r>
        <w:rPr>
          <w:rFonts w:ascii="Calibri" w:hAnsi="Calibri" w:eastAsia="Calibri"/>
          <w:b/>
          <w:i w:val="0"/>
          <w:color w:val="1A1A1A"/>
          <w:sz w:val="24"/>
        </w:rPr>
        <w:t>7. Proposition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Valider un ordre de priorité (dossier, consolidation des modules au modèle commun, déploiement polyspace.mr), puis livrer par étapes avec points de contrôle.</w:t>
      </w:r>
    </w:p>
    <w:p/>
    <w:p>
      <w:pPr>
        <w:jc w:val="center"/>
      </w:pPr>
      <w:r>
        <w:rPr>
          <w:rFonts w:ascii="Calibri" w:hAnsi="Calibri" w:eastAsia="Calibri"/>
          <w:b w:val="0"/>
          <w:i/>
          <w:color w:val="1A1A1A"/>
          <w:sz w:val="20"/>
        </w:rPr>
        <w:t>— Fin 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