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</w:rPr>
        <w:t>Introduction to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</w:rPr>
        <w:t>P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  <w:t>EGA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</w:rPr>
        <w:t xml:space="preserve"> Ethos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Ethos is derived from a Greek term</w:t>
      </w: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used to describe distinguishing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practices, values and ideals.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Enterprise solutions are built using</w:t>
      </w: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Pega and its ethos.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• Low-code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• Model-driven</w:t>
      </w: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  <w:lang w:val="en-US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 format to write and implement software quickly, effectively and at minimum cost</w:t>
      </w: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  <w:lang w:val="en-US"/>
        </w:rPr>
        <w:t>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• Visual design</w:t>
      </w: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• Rule-based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</w:rPr>
        <w:t>• Reusable componen</w:t>
      </w:r>
      <w: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  <w:lang w:val="en-US"/>
        </w:rPr>
        <w:t>ts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r>
        <w:drawing>
          <wp:inline distT="0" distB="0" distL="114300" distR="114300">
            <wp:extent cx="4579620" cy="2095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Pega Rules Process Commander (PRPC)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Pega Platform access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Operator ID rule – User ID and password to access Pega application resources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Access Group rule – Defines the applications available to the user with the level of access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(role and privilege)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Application rule – Defines application resources (rulesets, classes and rule instances)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• Rule – Logical instructions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• Class – Grouping of rule instances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• RuleSet – Container of classes and rule instances for deployment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drawing>
          <wp:inline distT="0" distB="0" distL="114300" distR="114300">
            <wp:extent cx="5006340" cy="26898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4134F"/>
    <w:rsid w:val="1E5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2023-07-20T12:26:00Z</dcterms:created>
  <dc:creator>KESAVA SAI AVINASH TUMMALAPALL</dc:creator>
  <cp:lastModifiedBy>KESAVA SAI AVINASH TUMMALAPALL</cp:lastModifiedBy>
  <dcterms:modified xsi:type="dcterms:W3CDTF">2023-07-20T12:45:25Z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D1C6EFC9CC764AF8A07D294227035412</vt:lpwstr>
  </property>
</Properties>
</file>