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AegisPay Application Guide</w:t>
      </w:r>
    </w:p>
    <w:p>
      <w:pPr>
        <w:pStyle w:val="Subtitle"/>
      </w:pPr>
      <w:r>
        <w:t>Current workflow and local testing</w:t>
        <w:br/>
        <w:t>16 October 2026</w:t>
      </w:r>
    </w:p>
    <w:p>
      <w:r>
        <w:t>AegisPay helps a business manage accounts payable: amounts it owes approved vendors. It turns invoice images into recorded obligations, checks them against accepted purchase orders and treasury rules, and submits eligible USDC payments through Circle on Arc Testnet.</w:t>
      </w:r>
    </w:p>
    <w:p>
      <w:r>
        <w:t>This guide is for the owner or operator using the dashboard. It explains what each stage does, when human review is needed, and how to understand the result. The application currently uses testnet funds. Payment dispatch is enabled, but invoice approvals and financial limits still apply.</w:t>
      </w:r>
    </w:p>
    <w:p>
      <w:pPr>
        <w:pStyle w:val="Heading2"/>
      </w:pPr>
      <w:r>
        <w:t>The complete workflow in seven steps</w:t>
      </w:r>
    </w:p>
    <w:p>
      <w:r>
        <w:rPr>
          <w:b/>
        </w:rPr>
        <w:t xml:space="preserve">1  Maintain approved business records  </w:t>
      </w:r>
      <w:r>
        <w:t>The owner records vendor wallet details, accepted purchase orders and payment limits before an invoice can qualify.</w:t>
      </w:r>
    </w:p>
    <w:p>
      <w:r>
        <w:rPr>
          <w:b/>
        </w:rPr>
        <w:t xml:space="preserve">2  Upload the invoice  </w:t>
      </w:r>
      <w:r>
        <w:t>Submit a PNG or JPEG. The API validates the image, checks duplicate input and stores the invoice privately.</w:t>
      </w:r>
    </w:p>
    <w:p>
      <w:r>
        <w:rPr>
          <w:b/>
        </w:rPr>
        <w:t xml:space="preserve">3  Extract the visible facts  </w:t>
      </w:r>
      <w:r>
        <w:t>Gemini reads the vendor, invoice number, PO reference, dates, currency, amounts and supporting source text.</w:t>
      </w:r>
    </w:p>
    <w:p>
      <w:r>
        <w:rPr>
          <w:b/>
        </w:rPr>
        <w:t xml:space="preserve">4  Verify the obligation  </w:t>
      </w:r>
      <w:r>
        <w:t>The application compares those facts with the approved vendor and PO. Missing or inconsistent evidence causes a hold or rejection.</w:t>
      </w:r>
    </w:p>
    <w:p>
      <w:r>
        <w:rPr>
          <w:b/>
        </w:rPr>
        <w:t xml:space="preserve">5  Evaluate the treasury  </w:t>
      </w:r>
      <w:r>
        <w:t>Current cash, reserves, commitments, budgets, fees, due dates and verified discounts constrain the available decisions.</w:t>
      </w:r>
    </w:p>
    <w:p>
      <w:r>
        <w:rPr>
          <w:b/>
        </w:rPr>
        <w:t xml:space="preserve">6  Approve and execute when eligible  </w:t>
      </w:r>
      <w:r>
        <w:t>The owner approves exact terms when required. The worker rechecks them, reserves funds and submits the stored transfer through Circle.</w:t>
      </w:r>
    </w:p>
    <w:p>
      <w:r>
        <w:rPr>
          <w:b/>
        </w:rPr>
        <w:t xml:space="preserve">7  Verify and record the outcome  </w:t>
      </w:r>
      <w:r>
        <w:t>The application checks Circle status and independent Arc receipt evidence, then records settlement and the audit history.</w:t>
      </w:r>
    </w:p>
    <w:p>
      <w:r>
        <w:rPr>
          <w:b/>
        </w:rPr>
        <w:t xml:space="preserve">Reading the result  </w:t>
      </w:r>
      <w:r>
        <w:t>A successful upload or extraction does not mean a payment has been sent. A payment is settled only after independent verification.</w:t>
      </w:r>
    </w:p>
    <w:p>
      <w:r>
        <w:br w:type="page"/>
      </w:r>
    </w:p>
    <w:p>
      <w:pPr>
        <w:pStyle w:val="Heading1"/>
      </w:pPr>
      <w:r>
        <w:t>People wallets and business records</w:t>
      </w:r>
    </w:p>
    <w:p>
      <w:pPr>
        <w:pStyle w:val="Heading2"/>
      </w:pPr>
      <w:r>
        <w:t>Owner and reviewer access</w:t>
      </w:r>
    </w:p>
    <w:p>
      <w:r>
        <w:t>The operator signs in using the private DEMO_ACCESS_CODE configured in .env. This role can upload invoices, maintain approved records, correct facts, approve exact payment terms, pause the treasury and inspect private activity. The prototype uses access codes and signed sessions; it does not provide a full organization or employee account system.</w:t>
      </w:r>
    </w:p>
    <w:p>
      <w:r>
        <w:t>Reviewer access uses a separate REVIEWER_ACCESS_CODE when configured. Reviewers can explore sanitized policy examples. They cannot view the private business inbox, edit vendors or policies, approve invoices or spend funds.</w:t>
      </w:r>
    </w:p>
    <w:p>
      <w:pPr>
        <w:pStyle w:val="Heading2"/>
      </w:pPr>
      <w:r>
        <w:t>Why the application has two wallets</w:t>
      </w:r>
    </w:p>
    <w:p>
      <w:r>
        <w:t>The treasury wallet is the business sender. It holds the testnet USDC used for payouts and transaction fees. The recipient wallet belongs to the vendor being paid. Separating them lets the application match the intended sender, recipient and amount in the settlement evidence.</w:t>
      </w:r>
    </w:p>
    <w:p>
      <w:r>
        <w:t>The current test recipient is a separate wallet controlled for the synthetic scenario. A real vendor would provide its own independently verified address. The application does not require the business to create a wallet for every real vendor, and it refuses a recipient equal to the treasury address.</w:t>
      </w:r>
    </w:p>
    <w:p>
      <w:pPr>
        <w:pStyle w:val="Heading2"/>
      </w:pPr>
      <w:r>
        <w:t>Records maintained before payment</w:t>
      </w:r>
    </w:p>
    <w:tbl>
      <w:tblPr>
        <w:tblW w:type="auto" w:w="0"/>
        <w:jc w:val="center"/>
        <w:tblLayout w:type="fixed"/>
        <w:tblLook w:firstColumn="1" w:firstRow="1" w:lastColumn="0" w:lastRow="0" w:noHBand="0" w:noVBand="1" w:val="04A0"/>
      </w:tblPr>
      <w:tblGrid>
        <w:gridCol w:w="1944"/>
        <w:gridCol w:w="7560"/>
      </w:tblGrid>
      <w:tr>
        <w:trPr>
          <w:tblHeade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Record</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What it establishes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Vendor</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Approved or blocked status, name and aliases, Arc recipient address, category, address version and verification reference.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Purchase order</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Expected amount, vendor, due date, accepted delivery evidence, outstanding amount and optional service period or verified discount.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Treasury policy</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Automatic threshold, hard transfer ceiling, daily and category budgets, minimum reserve and cash preservation cost.</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Invoice obligation</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The uploaded source, extracted and normalized facts, verification result, version, decision and any payment reference.</w:t>
            </w:r>
          </w:p>
        </w:tc>
      </w:tr>
    </w:tbl>
    <w:p>
      <w:pPr>
        <w:spacing w:after="0"/>
      </w:pPr>
      <w:r/>
    </w:p>
    <w:p>
      <w:r>
        <w:t>Use Load administration in the dashboard to inspect or maintain vendor, PO and policy records. Registry edits require the current version and a reason. A material change invalidates unsubmitted decisions and approvals so old terms cannot authorize a new payment.</w:t>
      </w:r>
    </w:p>
    <w:p>
      <w:pPr>
        <w:pStyle w:val="Heading2"/>
      </w:pPr>
      <w:r>
        <w:t>What the dashboard shows</w:t>
      </w:r>
    </w:p>
    <w:p>
      <w:r>
        <w:t>The inbox lists invoice and decision states. Treasury shows cash, protected commitments, holds, available budget and pause status. Opening an invoice reveals source facts, review controls, decision evidence and activity. Private activity can be exported as JSON.</w:t>
      </w:r>
    </w:p>
    <w:p>
      <w:r>
        <w:br w:type="page"/>
      </w:r>
    </w:p>
    <w:p>
      <w:pPr>
        <w:pStyle w:val="Heading1"/>
      </w:pPr>
      <w:r>
        <w:t>Invoice extraction verification and review</w:t>
      </w:r>
    </w:p>
    <w:p>
      <w:pPr>
        <w:pStyle w:val="Heading2"/>
      </w:pPr>
      <w:r>
        <w:t>What happens after upload</w:t>
      </w:r>
    </w:p>
    <w:p>
      <w:r>
        <w:t>The API accepts one PNG or JPEG and checks its actual file signature, dimensions and configured size limits. It stores the image and a content hash, creates a durable invoice record and returns promptly. The background worker processes it asynchronously, so the browser does not need to remain open.</w:t>
      </w:r>
    </w:p>
    <w:p>
      <w:r>
        <w:t>Gemini extracts visible facts with source text and uncertainty markers. Critical facts include vendor, invoice number, PO, issue and due dates, currency, subtotal, tax and total. Service description, service period, payment terms, printed address and line items are also retained when available. Missing facts remain missing; they are not evidence of acceptance.</w:t>
      </w:r>
    </w:p>
    <w:p>
      <w:pPr>
        <w:pStyle w:val="Heading2"/>
      </w:pPr>
      <w:r>
        <w:t>Independent checks</w:t>
      </w:r>
    </w:p>
    <w:p>
      <w:r>
        <w:t>The application matches the vendor and accepted PO, checks currency and the settlement agreement, validates totals and supplied line-item arithmetic, and checks any printed address against the registry. It also detects repeated file content and vendor invoice identity. Similar amounts and service periods under different invoice numbers trigger review.</w:t>
      </w:r>
    </w:p>
    <w:p>
      <w:r>
        <w:t>An optional PO hint helps identify the expected record, but it cannot override conflicting extracted evidence. An invoice cannot register a new vendor address or establish that goods or services were accepted.</w:t>
      </w:r>
    </w:p>
    <w:tbl>
      <w:tblPr>
        <w:tblW w:type="auto" w:w="0"/>
        <w:jc w:val="center"/>
        <w:tblLayout w:type="fixed"/>
        <w:tblLook w:firstColumn="1" w:firstRow="1" w:lastColumn="0" w:lastRow="0" w:noHBand="0" w:noVBand="1" w:val="04A0"/>
      </w:tblPr>
      <w:tblGrid>
        <w:gridCol w:w="2448"/>
        <w:gridCol w:w="7056"/>
      </w:tblGrid>
      <w:tr>
        <w:trPr>
          <w:tblHeade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Decision</w:t>
            </w:r>
          </w:p>
        </w:tc>
        <w:tc>
          <w:tcPr>
            <w:tcW w:type="dxa" w:w="70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Meaning and next action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HOLD</w:t>
            </w:r>
          </w:p>
        </w:tc>
        <w:tc>
          <w:tcPr>
            <w:tcW w:type="dxa" w:w="70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Payment is blocked. Read the reason, correct evidence or resolve funding, policy or dependency problems, then evaluate again.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REJECT</w:t>
            </w:r>
          </w:p>
        </w:tc>
        <w:tc>
          <w:tcPr>
            <w:tcW w:type="dxa" w:w="70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The invoice is refused, for example because it is a duplicate or the vendor is blocked. Inspect the recorded reason.</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REQUIRE_APPROVAL</w:t>
            </w:r>
          </w:p>
        </w:tc>
        <w:tc>
          <w:tcPr>
            <w:tcW w:type="dxa" w:w="70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The otherwise eligible amount exceeds the automatic threshold. An operator must review the exact terms.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SCHEDULE</w:t>
            </w:r>
          </w:p>
        </w:tc>
        <w:tc>
          <w:tcPr>
            <w:tcW w:type="dxa" w:w="70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The invoice remains open for a future evaluation. Funding is checked again when it becomes due.</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PAY_NOW</w:t>
            </w:r>
          </w:p>
        </w:tc>
        <w:tc>
          <w:tcPr>
            <w:tcW w:type="dxa" w:w="7056"/>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The decision permits immediate processing, subject to fresh reservation and dispatch checks. It is not settlement.</w:t>
            </w:r>
          </w:p>
        </w:tc>
      </w:tr>
    </w:tbl>
    <w:p>
      <w:pPr>
        <w:spacing w:after="0"/>
      </w:pPr>
      <w:r/>
    </w:p>
    <w:p>
      <w:pPr>
        <w:pStyle w:val="Heading2"/>
      </w:pPr>
      <w:r>
        <w:t>Correcting or reevaluating an invoice</w:t>
      </w:r>
    </w:p>
    <w:p>
      <w:r>
        <w:t>For a correction, provide a reason and an independent evidence reference. Original extraction remains distinguishable from owner-verified corrections. Re-extraction asks the model to read the stored image again; reevaluation checks the current facts and treasury conditions. These actions use version checks and invalidate stale unsubmitted authorization.</w:t>
      </w:r>
    </w:p>
    <w:p>
      <w:r>
        <w:t>Submitted, pending, unknown and settled payments cannot be edited or resent through invoice review. Rejecting an unsubmitted invoice is different from reversing a transfer already sent.</w:t>
      </w:r>
    </w:p>
    <w:p>
      <w:r>
        <w:br w:type="page"/>
      </w:r>
    </w:p>
    <w:p>
      <w:pPr>
        <w:pStyle w:val="Heading1"/>
      </w:pPr>
      <w:r>
        <w:t>How the application decides when to pay</w:t>
      </w:r>
    </w:p>
    <w:p>
      <w:pPr>
        <w:pStyle w:val="Heading2"/>
      </w:pPr>
      <w:r>
        <w:t>Cash and financial limits</w:t>
      </w:r>
    </w:p>
    <w:p>
      <w:r>
        <w:t>The application reads USDC from a finalized Arc block and checks the configured chain, token, wallet and data freshness. Spendable cash accounts for minimum reserve, protected accepted obligations and active payment holds. Transfers already reflected in the balance are not subtracted twice. A new transfer also needs a fresh fee estimate.</w:t>
      </w:r>
    </w:p>
    <w:p>
      <w:r>
        <w:t>Cash and budget are separate checks. A well-funded wallet can still fail its daily, category or per-transfer limit. Missing or stale evidence makes the relevant result unavailable; the application does not assume that an unavailable balance is zero or sufficient.</w:t>
      </w:r>
    </w:p>
    <w:tbl>
      <w:tblPr>
        <w:tblW w:type="auto" w:w="0"/>
        <w:jc w:val="center"/>
        <w:tblLayout w:type="fixed"/>
        <w:tblLook w:firstColumn="1" w:firstRow="1" w:lastColumn="0" w:lastRow="0" w:noHBand="0" w:noVBand="1" w:val="04A0"/>
      </w:tblPr>
      <w:tblGrid>
        <w:gridCol w:w="6480"/>
        <w:gridCol w:w="3024"/>
      </w:tblGrid>
      <w:tr>
        <w:trPr>
          <w:tblHeader/>
          <w:cantSplit/>
        </w:trPr>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Current configured policy</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Value</w:t>
            </w:r>
          </w:p>
        </w:tc>
      </w:tr>
      <w:tr>
        <w:trPr>
          <w:cantSplit/>
        </w:trPr>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Automatic payment threshold</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0.00 USDC</w:t>
            </w:r>
          </w:p>
        </w:tc>
      </w:tr>
      <w:tr>
        <w:trPr>
          <w:cantSplit/>
        </w:trPr>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Hard maximum per transfer</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1.00 USDC</w:t>
            </w:r>
          </w:p>
        </w:tc>
      </w:tr>
      <w:tr>
        <w:trPr>
          <w:cantSplit/>
        </w:trPr>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Daily payout budget</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1.00 USDC</w:t>
            </w:r>
          </w:p>
        </w:tc>
      </w:tr>
      <w:tr>
        <w:trPr>
          <w:cantSplit/>
        </w:trPr>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Category payout budget</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1.00 USDC</w:t>
            </w:r>
          </w:p>
        </w:tc>
      </w:tr>
      <w:tr>
        <w:trPr>
          <w:cantSplit/>
        </w:trPr>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Minimum treasury reserve</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10.00 USDC</w:t>
            </w:r>
          </w:p>
        </w:tc>
      </w:tr>
      <w:tr>
        <w:trPr>
          <w:cantSplit/>
        </w:trPr>
        <w:tc>
          <w:tcPr>
            <w:tcW w:type="dxa" w:w="648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Annual cash preservation cost</w:t>
            </w:r>
          </w:p>
        </w:tc>
        <w:tc>
          <w:tcPr>
            <w:tcW w:type="dxa" w:w="302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0 basis points</w:t>
            </w:r>
          </w:p>
        </w:tc>
      </w:tr>
    </w:tbl>
    <w:p>
      <w:pPr>
        <w:spacing w:after="0"/>
      </w:pPr>
      <w:r/>
    </w:p>
    <w:p>
      <w:r>
        <w:t>These are the current test settings checked on 16 October 2026, not universal product defaults. With the automatic threshold at zero, every positive otherwise eligible payout requires operator approval. Approval cannot override hard caps, insufficient cash, duplicates or invalid evidence.</w:t>
      </w:r>
    </w:p>
    <w:p>
      <w:pPr>
        <w:pStyle w:val="Heading2"/>
      </w:pPr>
      <w:r>
        <w:t>Due dates and discounts</w:t>
      </w:r>
    </w:p>
    <w:p>
      <w:r>
        <w:t>An eligible future invoice normally schedules evaluation for 09:00 UTC on its due date, which is 14:30 India time. A schedule is not a reservation or a promise of future funding. The worker reevaluates the latest financial state before dispatch.</w:t>
      </w:r>
    </w:p>
    <w:p>
      <w:r>
        <w:t>An early-payment discount requires owner-verified terms on the PO: the exact discounted USDC amount, UTC expiry, verification reference and agreement that it fully settles the invoice. Percentage terms are not inferred. The application compares savings with the configured cash preservation cost and still enforces all reserves and limits.</w:t>
      </w:r>
    </w:p>
    <w:p>
      <w:r>
        <w:t>For example, a hypothetical nominal 1.00-USDC invoice with an accepted 0.90-USDC full-settlement offer has a 0.10-USDC adjustment. If selected and settled, budgets use the 0.90 payout and the PO closes for its full 1.00 obligation. This example is explanatory and is not an enrolled payment.</w:t>
      </w:r>
    </w:p>
    <w:p>
      <w:pPr>
        <w:pStyle w:val="Heading2"/>
      </w:pPr>
      <w:r>
        <w:t>The role of the AI planner</w:t>
      </w:r>
    </w:p>
    <w:p>
      <w:r>
        <w:t>After deterministic checks, the planner can select only from server-generated candidates and cite their evidence. It cannot choose a new recipient, invent an amount or change policy. Invalid or unavailable model output produces a hold. The application stores a concise explanation and alternatives considered.</w:t>
      </w:r>
    </w:p>
    <w:p>
      <w:r>
        <w:br w:type="page"/>
      </w:r>
    </w:p>
    <w:p>
      <w:pPr>
        <w:pStyle w:val="Heading1"/>
      </w:pPr>
      <w:r>
        <w:t>Approvals payment execution and recovery</w:t>
      </w:r>
    </w:p>
    <w:p>
      <w:pPr>
        <w:pStyle w:val="Heading2"/>
      </w:pPr>
      <w:r>
        <w:t>What an approval authorizes</w:t>
      </w:r>
    </w:p>
    <w:p>
      <w:r>
        <w:t>An operator reviews the displayed amount, recipient, chain and token, then approves with a reason. Approval binds the exact invoice, decision, policy, vendor and PO versions. It is limited in time, can expire earlier for a discount, and cannot be reused for another invoice or changed terms.</w:t>
      </w:r>
    </w:p>
    <w:p>
      <w:r>
        <w:t>Approval creates authority for the normal worker path; it is not a direct wallet transfer. The worker checks current evidence and policy again. Changing the recipient, amount or other material terms invalidates unsubmitted authorization.</w:t>
      </w:r>
    </w:p>
    <w:p>
      <w:pPr>
        <w:pStyle w:val="Heading2"/>
      </w:pPr>
      <w:r>
        <w:t>How the transfer moves through the system</w:t>
      </w:r>
    </w:p>
    <w:tbl>
      <w:tblPr>
        <w:tblW w:type="auto" w:w="0"/>
        <w:jc w:val="center"/>
        <w:tblLayout w:type="fixed"/>
        <w:tblLook w:firstColumn="1" w:firstRow="1" w:lastColumn="0" w:lastRow="0" w:noHBand="0" w:noVBand="1" w:val="04A0"/>
      </w:tblPr>
      <w:tblGrid>
        <w:gridCol w:w="2160"/>
        <w:gridCol w:w="7344"/>
      </w:tblGrid>
      <w:tr>
        <w:trPr>
          <w:tblHeade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Payment state</w:t>
            </w:r>
          </w:p>
        </w:tc>
        <w:tc>
          <w:tcPr>
            <w:tcW w:type="dxa" w:w="73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What is happening</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RESERVED</w:t>
            </w:r>
          </w:p>
        </w:tc>
        <w:tc>
          <w:tcPr>
            <w:tcW w:type="dxa" w:w="73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The database holds the payout and fee allowance against one immutable payment intent.</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SUBMITTING</w:t>
            </w:r>
          </w:p>
        </w:tc>
        <w:tc>
          <w:tcPr>
            <w:tcW w:type="dxa" w:w="73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Submission has begun using the stored provider identity. A missing response does not prove failure.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PENDING</w:t>
            </w:r>
          </w:p>
        </w:tc>
        <w:tc>
          <w:tcPr>
            <w:tcW w:type="dxa" w:w="73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Circle or Arc has not yet provided terminal matching settlement evidence.</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UNKNOWN</w:t>
            </w:r>
          </w:p>
        </w:tc>
        <w:tc>
          <w:tcPr>
            <w:tcW w:type="dxa" w:w="73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The outcome is uncertain. Keep the hold and reconcile the same attempt; do not pay again.</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SETTLED</w:t>
            </w:r>
          </w:p>
        </w:tc>
        <w:tc>
          <w:tcPr>
            <w:tcW w:type="dxa" w:w="73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Circle success and independently matching Arc receipt evidence are verified and committed locally.</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FAILED or CANCELLED</w:t>
            </w:r>
          </w:p>
        </w:tc>
        <w:tc>
          <w:tcPr>
            <w:tcW w:type="dxa" w:w="734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Definitive failure or safe cancellation before submission is recorded. New action requires fresh eligibility checks.</w:t>
            </w:r>
          </w:p>
        </w:tc>
      </w:tr>
    </w:tbl>
    <w:p>
      <w:pPr>
        <w:spacing w:after="0"/>
      </w:pPr>
      <w:r/>
    </w:p>
    <w:p>
      <w:r>
        <w:t>Before the Circle request, the application persists the exact recipient, payout, chain, token and stable idempotency key. A treasury lock and one in-flight transfer per treasury prevent competing workers from allocating the same money. Amounts use integer micro-USDC throughout; one USDC equals 1,000,000 micro-USDC.</w:t>
      </w:r>
    </w:p>
    <w:p>
      <w:pPr>
        <w:pStyle w:val="Heading2"/>
      </w:pPr>
      <w:r>
        <w:t>How settlement is established</w:t>
      </w:r>
    </w:p>
    <w:p>
      <w:r>
        <w:t>A transaction hash or an accepted submission is not sufficient. The application requires provider completion and an independently verified successful Arc receipt matching the intended sender, recipient, token and amount. Settlement, reservation consumption, PO adjustment, approval consumption and the audit event are committed together.</w:t>
      </w:r>
    </w:p>
    <w:p>
      <w:pPr>
        <w:pStyle w:val="Heading2"/>
      </w:pPr>
      <w:r>
        <w:t>What happens after interruptions</w:t>
      </w:r>
    </w:p>
    <w:p>
      <w:r>
        <w:t>Restart recovery reconciles stored pending or uncertain attempts instead of creating replacement payments. If the chain succeeded but a database update failed, recovery finishes the local settlement record without resending. Manual reconciliation checks an existing attempt and cannot initiate a transfer.</w:t>
      </w:r>
    </w:p>
    <w:p>
      <w:r>
        <w:t>Pausing the treasury stops new submissions while reconciliation continues. It cannot reverse a transaction already submitted. Disabling dispatch in .env requires restarting the API and worker for consistent configuration.</w:t>
      </w:r>
    </w:p>
    <w:p>
      <w:r>
        <w:br w:type="page"/>
      </w:r>
    </w:p>
    <w:p>
      <w:pPr>
        <w:pStyle w:val="Heading1"/>
      </w:pPr>
      <w:r>
        <w:t>Running the application and understanding problems</w:t>
      </w:r>
    </w:p>
    <w:p>
      <w:pPr>
        <w:pStyle w:val="Heading2"/>
      </w:pPr>
      <w:r>
        <w:t>The components that must work together</w:t>
      </w:r>
    </w:p>
    <w:tbl>
      <w:tblPr>
        <w:tblW w:type="auto" w:w="0"/>
        <w:jc w:val="center"/>
        <w:tblLayout w:type="fixed"/>
        <w:tblLook w:firstColumn="1" w:firstRow="1" w:lastColumn="0" w:lastRow="0" w:noHBand="0" w:noVBand="1" w:val="04A0"/>
      </w:tblPr>
      <w:tblGrid>
        <w:gridCol w:w="2520"/>
        <w:gridCol w:w="6984"/>
      </w:tblGrid>
      <w:tr>
        <w:trPr>
          <w:tblHeade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Component</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Responsibility</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Dashboard on port 3000</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Next.js interface for sign-in, invoices, administration, approvals and audit inspection.</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API on port 4000</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Express service for authenticated operations, validation, business ownership and readiness.</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Background worker</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Extraction, evaluation, scheduling, reservation, dispatch, reconciliation and input cleanup.</w:t>
            </w:r>
          </w:p>
        </w:tc>
      </w:tr>
      <w:tr>
        <w:trPr>
          <w:cantSplit/>
        </w:trPr>
        <w:tc>
          <w:tcPr>
            <w:tcW w:type="dxa" w:w="252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External services</w:t>
            </w:r>
          </w:p>
        </w:tc>
        <w:tc>
          <w:tcPr>
            <w:tcW w:type="dxa" w:w="698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Supabase PostgreSQL stores durable records; Gemini extracts and proposes; Circle submits; Arc supplies balance and receipt evidence.</w:t>
            </w:r>
          </w:p>
        </w:tc>
      </w:tr>
    </w:tbl>
    <w:p>
      <w:pPr>
        <w:spacing w:after="0"/>
      </w:pPr>
      <w:r/>
    </w:p>
    <w:p>
      <w:pPr>
        <w:pStyle w:val="Heading2"/>
      </w:pPr>
      <w:r>
        <w:t>Local run commands</w:t>
      </w:r>
    </w:p>
    <w:p>
      <w:r>
        <w:t>Use Node 22 and npm 10 or newer. From /home/bryan/Desktop/AegisPay, run the following in separate terminals. The private .env is already configured in this checkout.</w:t>
      </w:r>
    </w:p>
    <w:p>
      <w:r>
        <w:rPr>
          <w:rFonts w:ascii="DejaVu Sans Mono" w:hAnsi="DejaVu Sans Mono"/>
        </w:rPr>
        <w:t>Terminal 1     npm run dev</w:t>
        <w:br/>
        <w:t>Terminal 2     npm run worker</w:t>
      </w:r>
    </w:p>
    <w:p>
      <w:r>
        <w:t>Open http://localhost:3000/dashboard and sign in with your private DEMO_ACCESS_CODE. Use localhost consistently with the configured web origin. The browser does not need a connected MetaMask or other signing wallet for this server-managed flow.</w:t>
      </w:r>
    </w:p>
    <w:p>
      <w:r>
        <w:t>Run npm run doctor for read-only dependency checks. /health reports API process liveness; /ready also checks authentication setup, database/schema, provider dependencies and recent worker health. A green readiness result does not prove that a real payment has settled.</w:t>
      </w:r>
    </w:p>
    <w:p>
      <w:pPr>
        <w:pStyle w:val="Heading2"/>
      </w:pPr>
      <w:r>
        <w:t>Common situations and the next action</w:t>
      </w:r>
    </w:p>
    <w:p>
      <w:r>
        <w:t>For pending extraction, check worker health and Gemini availability. For a hold, read the reason and resolve it before reevaluation. A stale approval requires fresh terms. For a duplicate response, open the existing invoice.</w:t>
      </w:r>
    </w:p>
    <w:p>
      <w:r>
        <w:t>For a pending or unknown transfer, reconcile the existing intent and retain the hold. Unavailable treasury data calls for provider or RPC checks. This checkout uses the Supabase Session pooler for IPv4 connectivity.</w:t>
      </w:r>
    </w:p>
    <w:p>
      <w:pPr>
        <w:pStyle w:val="Heading2"/>
      </w:pPr>
      <w:r>
        <w:t>Private data and operating boundaries</w:t>
      </w:r>
    </w:p>
    <w:p>
      <w:r>
        <w:t>Keys, entity secret, database credentials and login secrets stay server-side in .env. Signed sessions, origin and CSRF checks, rate limits and input validation protect requests. Raw-input retention defaults to seven days; unresolved work prevents cleanup. Financial audit facts remain separately stored.</w:t>
      </w:r>
    </w:p>
    <w:p>
      <w:r>
        <w:t>Local registry screening checks owner-maintained records; it is not sanctions clearance. Share private activity exports only with intended recipients. Audit events are append-only for the application, but database administrators retain control.</w:t>
      </w:r>
    </w:p>
    <w:p>
      <w:r>
        <w:br w:type="page"/>
      </w:r>
    </w:p>
    <w:p>
      <w:pPr>
        <w:pStyle w:val="Heading1"/>
      </w:pPr>
      <w:r>
        <w:t>Current verification and testing status</w:t>
      </w:r>
    </w:p>
    <w:p>
      <w:r>
        <w:t>Status checked on 16 October 2026 at 19:16 India time. This is a dated snapshot; invoices and settings can change while the application is being used.</w:t>
      </w:r>
    </w:p>
    <w:tbl>
      <w:tblPr>
        <w:tblW w:type="auto" w:w="0"/>
        <w:jc w:val="center"/>
        <w:tblLayout w:type="fixed"/>
        <w:tblLook w:firstColumn="1" w:firstRow="1" w:lastColumn="0" w:lastRow="0" w:noHBand="0" w:noVBand="1" w:val="04A0"/>
      </w:tblPr>
      <w:tblGrid>
        <w:gridCol w:w="2304"/>
        <w:gridCol w:w="7200"/>
      </w:tblGrid>
      <w:tr>
        <w:trPr>
          <w:tblHeade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Item</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E7EDF3"/>
          </w:tcPr>
          <w:p>
            <w:pPr>
              <w:spacing w:after="40" w:line="247" w:lineRule="auto"/>
            </w:pPr>
            <w:r>
              <w:rPr>
                <w:b/>
                <w:sz w:val="20"/>
              </w:rPr>
              <w:t>Verified status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Local services</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Dashboard HTTP 200 and API readiness HTTP 200; extraction and payment worker health available.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Database</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Supabase Session pooler connected; migrations 001 through 008 previously checksum-verified and applied.</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Dispatch and treasury</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Arc Testnet dispatch enabled; treasury resumed at the status check.</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Current records</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Two open invoices; no payment intents present at the status check.</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Wallet setup</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Configured sender and separate controlled synthetic recipient verified through Circle.</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Actual extraction</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5F7F9"/>
          </w:tcPr>
          <w:p>
            <w:pPr>
              <w:spacing w:after="40" w:line="247" w:lineRule="auto"/>
            </w:pPr>
            <w:r>
              <w:rPr>
                <w:b w:val="0"/>
                <w:sz w:val="20"/>
              </w:rPr>
              <w:t>Gemini extracted the synthetic 0.10-USDC invoice, including original source facts, after a provider-schema compatibility fix.</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Actual settlement</w:t>
            </w:r>
          </w:p>
        </w:tc>
        <w:tc>
          <w:tcPr>
            <w:tcW w:type="dxa" w:w="7200"/>
            <w:vAlign w:val="center"/>
            <w:tcBorders>
              <w:top w:val="single" w:sz="4" w:color="D9D9D9"/>
              <w:left w:val="single" w:sz="4" w:color="D9D9D9"/>
              <w:bottom w:val="single" w:sz="4" w:color="D9D9D9"/>
              <w:right w:val="single" w:sz="4" w:color="D9D9D9"/>
            </w:tcBorders>
            <w:tcMar>
              <w:top w:w="90" w:type="dxa"/>
              <w:bottom w:w="90" w:type="dxa"/>
              <w:left w:w="110" w:type="dxa"/>
              <w:right w:w="110" w:type="dxa"/>
            </w:tcMar>
            <w:shd w:fill="FFFFFF"/>
          </w:tcPr>
          <w:p>
            <w:pPr>
              <w:spacing w:after="40" w:line="247" w:lineRule="auto"/>
            </w:pPr>
            <w:r>
              <w:rPr>
                <w:b w:val="0"/>
                <w:sz w:val="20"/>
              </w:rPr>
              <w:t>No verified live settlement is recorded in this checkpoint. Enabling dispatch does not itself send an invoice payment.</w:t>
            </w:r>
          </w:p>
        </w:tc>
      </w:tr>
    </w:tbl>
    <w:p>
      <w:pPr>
        <w:spacing w:after="0"/>
      </w:pPr>
      <w:r/>
    </w:p>
    <w:p>
      <w:pPr>
        <w:pStyle w:val="Heading2"/>
      </w:pPr>
      <w:r>
        <w:t>Automated evidence already recorded</w:t>
      </w:r>
    </w:p>
    <w:p>
      <w:r>
        <w:t>The full offline checkpoint on 15 October passed 247 regular tests, 47 PostgreSQL tests, six fixture browser journeys, one PostgreSQL-backed browser journey with worker restart, lint, typechecks and the production build. Those browser/payment fixtures used isolated synthetic providers and do not establish live chain settlement.</w:t>
      </w:r>
    </w:p>
    <w:p>
      <w:r>
        <w:t>After the 16 October Gemini compatibility fix, 11 focused extraction/planner tests, relevant lint, server and root typechecks, and the server build passed. The actual worker then extracted the synthetic document successfully, and a repeated upload under another request key returned HTTP 409. The entire offline suite was not rerun after that targeted fix.</w:t>
      </w:r>
    </w:p>
    <w:p>
      <w:pPr>
        <w:pStyle w:val="Heading2"/>
      </w:pPr>
      <w:r>
        <w:t>What is still outside this verification</w:t>
      </w:r>
    </w:p>
    <w:p>
      <w:r>
        <w:t>The implemented payment path still needs one completed, independently verified Arc Testnet settlement to satisfy the live payment acceptance requirement. Genuine business activity, a production deployment, production cookie behavior, pilot feedback and public release or submission are not established by local testing.</w:t>
      </w:r>
    </w:p>
    <w:p>
      <w:r>
        <w:t>The current scope is one business and treasury, PNG/JPEG invoices, full USD/USDC obligations with verified settlement agreement, owner-maintained vendors and accepted POs, and Arc Testnet payouts. PDF or email ingestion, receivables, partial payments, FX, cross-chain payments, ERP integration and custom on-chain policy custody are outside this implementation.</w:t>
      </w:r>
    </w:p>
    <w:p>
      <w:pPr>
        <w:pStyle w:val="Heading2"/>
      </w:pPr>
      <w:r>
        <w:t>Where to find the supporting detail</w:t>
      </w:r>
    </w:p>
    <w:p>
      <w:r>
        <w:t>README.MD describes scope and acceptance requirements. docs/TESTING.md contains operating and test commands. docs/RELEASE_EVIDENCE.md and HISTORY.MD distinguish recorded results from outstanding acceptance work. The current guide explains the implemented behavior without including secrets, wallet credentials or private invoice contents.</w:t>
      </w:r>
    </w:p>
    <w:sectPr w:rsidR="00FC693F" w:rsidRPr="0006063C" w:rsidSect="00034616">
      <w:footerReference w:type="default" r:id="rId9"/>
      <w:pgSz w:w="11909" w:h="16834"/>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AegisPay Application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64"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40" w:line="26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4" w:lineRule="auto"/>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Calibri" w:hAnsi="Calibri"/>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AegisPay Application Guide</dc:title>
  <dc:subject>Current application workflow and local Arc Testnet operations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