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Microsoft YaHei" w:cs="Microsoft YaHei" w:eastAsia="Microsoft YaHei" w:hAnsi="Microsoft YaHei"/>
          <w:b/>
          <w:bCs/>
          <w:color w:val="1A1A1A"/>
          <w:sz w:val="34"/>
          <w:szCs w:val="34"/>
        </w:rPr>
        <w:t xml:space="preserve">跨器官 IL18 高 / CASP1 低 细胞类型筛选</w:t>
      </w:r>
    </w:p>
    <w:p>
      <w:pPr>
        <w:spacing w:after="60" w:before="0" w:line="288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人与小鼠 · 肺 肝 胰 脑 脊髓 · 静息基线 · 修订版（参考层扩展 + 判读更正 + 检出率口径更正）</w:t>
      </w:r>
    </w:p>
    <w:p>
      <w:pPr>
        <w:spacing w:after="20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CELLxGENE Census LTS 2025-11-08 · 以供体为统计单位 · 2026-10-13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〇、检出率的定义：百分比是什么的百分比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检出率 = 分子 ÷ 分母。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分母 = 该细胞类型在某一分层（数据集 × 器官 × 单细胞/单核）内、每位供体至少 20 个细胞后进入分析的细胞总数；分子 = 其中该基因原始计数 ≥ 1 的细胞个数。即「有多少比例的细胞里测得到这个基因」——不是表达量占比，不是相对最高值的百分比，不是读段占比。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本版的更正：改用合并检出率，不再用供体中位数。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上一版图表标注的是「每位供体各算一次检出率、再取中位数」。每位供体只有数十到上百个该类型细胞，当真实检出率低于约 1/细胞数 时，半数以上供体恰好 0 个阳性细胞，中位数被截断为 0——这是统计量把低值压成零，不是真的没有检出。本版全部改用合并检出率（全部供体的阳性细胞数 ÷ 全部分析细胞数），并同时标注阳性细胞数与有阳性的供体数；供体中位数单列保留，供对照。</w:t>
      </w:r>
    </w:p>
    <w:tbl>
      <w:tblPr>
        <w:tblW w:type="dxa" w:w="990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3100"/>
        <w:gridCol w:w="2600"/>
        <w:gridCol w:w="1400"/>
        <w:gridCol w:w="1300"/>
        <w:gridCol w:w="1500"/>
      </w:tblGrid>
      <w:tr>
        <w:trPr>
          <w:tblHeader/>
        </w:trPr>
        <w:tc>
          <w:tcPr>
            <w:tcW w:type="dxa" w:w="31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26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阳性细胞 / 分析细胞</w:t>
            </w:r>
          </w:p>
        </w:tc>
        <w:tc>
          <w:tcPr>
            <w:tcW w:type="dxa" w:w="14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合并检出率</w:t>
            </w:r>
          </w:p>
        </w:tc>
        <w:tc>
          <w:tcPr>
            <w:tcW w:type="dxa" w:w="13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供体中位数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有阳性的供体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 肥大细胞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138 / 5299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 / 44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小胶质/CNS巨噬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 / 818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 / 20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 纤毛上皮（单核）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 / 660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 / 8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 胰导管细胞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1947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9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星形胶质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3766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40</w:t>
            </w:r>
          </w:p>
        </w:tc>
      </w:tr>
      <w:tr>
        <w:tc>
          <w:tcPr>
            <w:tcW w:type="dxa" w:w="31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 少突胶质</w:t>
            </w:r>
          </w:p>
        </w:tc>
        <w:tc>
          <w:tcPr>
            <w:tcW w:type="dxa" w:w="26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8987</w:t>
            </w:r>
          </w:p>
        </w:tc>
        <w:tc>
          <w:tcPr>
            <w:tcW w:type="dxa" w:w="14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</w:t>
            </w:r>
          </w:p>
        </w:tc>
        <w:tc>
          <w:tcPr>
            <w:tcW w:type="dxa" w:w="13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 / 55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7"/>
          <w:szCs w:val="17"/>
        </w:rPr>
        <w:t xml:space="preserve">这六行在上一版里全部显示为 0.0%，而真实检出率相差一百倍以上：肥大细胞 2.60%（138 个阳性细胞、21/44 供体有阳性）是实实在在的信号；少突胶质 0.02%（8987 个细胞里 2 个）才是在充分样本量下的真·近零。因此「0%」在上一版既可能是真低，也可能只是统计量的截断，必须分开看。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IL18:CASP1 参考比值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 = 参考层中同一来源、同一单位、同一状态下 IL18 与 CASP1 的中位值之比；不同来源单位不可比，故只在来源内部计算。inf 表示该来源中 CASP1 处于其零底线。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一、本次修订更正了什么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（1）判读实现错误。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前一版的「零值判读」脚本从未打开过参考文件，也从未使用候选自身的 CASP1 值——判读结果是细胞谱系标签的纯函数。因此星形胶质被判为可信，而肺泡巨噬被判为「dropout 伪影」，而后者恰恰是全部候选中 CASP1 检出最高的一个。该脚本已废弃，由 evidence_integrate.py 取代：真正读取参考值与候选自身数值，按来源内部比值分级。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（2）不再以「你的零不可信」否定检出。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按规格 §9.5，CASP1 零值只做并列呈现、不做统计检验，也不删除候选。本版被排除的候选全部给出正面理由——CASP1 在该细胞中确实被检出（C 级），或方向相反（D 级）。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（3）参考层扩展。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从 3 个来源扩展到 Human Protein Atlas（含抗体 IHC 蛋白层面）、GTEx（含脊髓）、Monaco 2019 / Haemopedia、ImmGen 扩展面板、Allen Brain Map、brainrnaseq/Zhang、CELLxGENE WMG，以及本次新检索到的 FACS 分选数据集（分选胰岛 α/β/δ、腺泡/导管、纯化肝细胞、急性纯化人小胶质）。统一参考表共 1624 行，带匹配质量标注（exact / close / tissue_level / extrapolated），只有 exact 与 close 参与判读。扩展后，前一版因「无分选对照」而无法判读的五个实质细胞群全部变为可判读。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A1A1A"/>
          <w:sz w:val="18"/>
          <w:szCs w:val="18"/>
        </w:rPr>
        <w:t xml:space="preserve">（4）检出率口径更正。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见上一节。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二、明确答案：按证据强度分级</w:t>
      </w:r>
    </w:p>
    <w:tbl>
      <w:tblPr>
        <w:tblW w:type="dxa" w:w="10050"/>
        <w:tblBorders>
          <w:top w:val="single" w:color="D8DBE0" w:sz="2"/>
          <w:left w:val="single" w:color="D8DBE0" w:sz="2"/>
          <w:bottom w:val="single" w:color="D8DBE0" w:sz="2"/>
          <w:right w:val="single" w:color="D8DBE0" w:sz="2"/>
          <w:insideH w:val="single" w:color="D8DBE0" w:sz="2"/>
          <w:insideV w:val="single" w:color="D8DBE0" w:sz="2"/>
        </w:tblBorders>
      </w:tblPr>
      <w:tblGrid>
        <w:gridCol w:w="1650"/>
        <w:gridCol w:w="780"/>
        <w:gridCol w:w="560"/>
        <w:gridCol w:w="1950"/>
        <w:gridCol w:w="1500"/>
        <w:gridCol w:w="1550"/>
        <w:gridCol w:w="820"/>
        <w:gridCol w:w="700"/>
        <w:gridCol w:w="540"/>
      </w:tblGrid>
      <w:tr>
        <w:trPr>
          <w:tblHeader/>
        </w:trPr>
        <w:tc>
          <w:tcPr>
            <w:tcW w:type="dxa" w:w="16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证据级别</w:t>
            </w:r>
          </w:p>
        </w:tc>
        <w:tc>
          <w:tcPr>
            <w:tcW w:type="dxa" w:w="78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物种·器官</w:t>
            </w:r>
          </w:p>
        </w:tc>
        <w:tc>
          <w:tcPr>
            <w:tcW w:type="dxa" w:w="56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类型</w:t>
            </w:r>
          </w:p>
        </w:tc>
        <w:tc>
          <w:tcPr>
            <w:tcW w:type="dxa" w:w="19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细胞类型</w:t>
            </w:r>
          </w:p>
        </w:tc>
        <w:tc>
          <w:tcPr>
            <w:tcW w:type="dxa" w:w="15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IL18 检出（阳性/分析细胞）</w:t>
            </w:r>
          </w:p>
        </w:tc>
        <w:tc>
          <w:tcPr>
            <w:tcW w:type="dxa" w:w="155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CASP1 检出（阳性/分析细胞）</w:t>
            </w:r>
          </w:p>
        </w:tc>
        <w:tc>
          <w:tcPr>
            <w:tcW w:type="dxa" w:w="82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有 CASP1 阳性的供体</w:t>
            </w:r>
          </w:p>
        </w:tc>
        <w:tc>
          <w:tcPr>
            <w:tcW w:type="dxa" w:w="70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参考比值</w:t>
            </w:r>
          </w:p>
        </w:tc>
        <w:tc>
          <w:tcPr>
            <w:tcW w:type="dxa" w:w="540"/>
            <w:shd w:fill="EEF1F5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1A"/>
                <w:sz w:val="15"/>
                <w:szCs w:val="15"/>
              </w:rPr>
              <w:t xml:space="preserve">参考源数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A 多源一致支持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星形胶质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56.7%（2135/3766）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0.05%（2/3766）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2/40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B7A43"/>
                <w:sz w:val="14"/>
                <w:szCs w:val="14"/>
              </w:rPr>
              <w:t xml:space="preserve">A 多源一致支持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少突胶质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27.3%（2452/8987）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0.02%（2/8987）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2/55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肥大细胞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34.9%（1851/5299）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2.6%（138/5299）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21/44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29.9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细胞（全胰）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19.6%（52/266）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0.38%（1/266）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1/4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胰导管细胞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13.2%（256/1947）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0.10%（2/1947）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36.0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1F5FA8"/>
                <w:sz w:val="14"/>
                <w:szCs w:val="14"/>
              </w:rPr>
              <w:t xml:space="preserve">B 潜在可能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小鼠·胰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胰岛 D(δ) 细胞（分选胰岛）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11.3%（842/7468）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0.08%（6/7468）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5/24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inf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F6FB4"/>
                <w:sz w:val="14"/>
                <w:szCs w:val="14"/>
              </w:rPr>
              <w:t xml:space="preserve">B 潜在（相对规则漏掉）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49.1%（1775/3618）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1.9%（67/3618）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9/9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2F6FB4"/>
                <w:sz w:val="14"/>
                <w:szCs w:val="14"/>
              </w:rPr>
              <w:t xml:space="preserve">B 潜在（相对规则漏掉）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AT1 肺泡上皮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28.2%（2473/8756）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4.2%（372/8756）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46/56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27.1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肺泡巨噬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71.6%（960/1341）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13.3%（178/1341）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14/14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4.67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6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气道多纤毛上皮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21.6%（5330/24728）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5.6%（1380/24728）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82/100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小胶质/CNS巨噬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20.5%（168/818）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1.8%（15/818）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4/20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3.37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7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B07A00"/>
                <w:sz w:val="14"/>
                <w:szCs w:val="14"/>
              </w:rPr>
              <w:t xml:space="preserve">C CASP1 确实存在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纤毛上皮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18.8%（124/660）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1.1%（7/660）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3/8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11.9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D 方向相反，排除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人·肝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嗜碱粒细胞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15.5%（58/374）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4.8%（18/374）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4/6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0.0851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5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9A2B2B"/>
                <w:sz w:val="14"/>
                <w:szCs w:val="14"/>
              </w:rPr>
              <w:t xml:space="preserve">D 方向相反，排除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人·肺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单核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树突状细胞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10.9%（17/156）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1.3%（2/156）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2/5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2.01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2</w:t>
            </w:r>
          </w:p>
        </w:tc>
      </w:tr>
      <w:tr>
        <w:tc>
          <w:tcPr>
            <w:tcW w:type="dxa" w:w="16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/>
                <w:bCs/>
                <w:color w:val="6B6B6B"/>
                <w:sz w:val="14"/>
                <w:szCs w:val="14"/>
              </w:rPr>
              <w:t xml:space="preserve">E 仍无匹配参考</w:t>
            </w:r>
          </w:p>
        </w:tc>
        <w:tc>
          <w:tcPr>
            <w:tcW w:type="dxa" w:w="78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小鼠·脑</w:t>
            </w:r>
          </w:p>
        </w:tc>
        <w:tc>
          <w:tcPr>
            <w:tcW w:type="dxa" w:w="56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单细胞</w:t>
            </w:r>
          </w:p>
        </w:tc>
        <w:tc>
          <w:tcPr>
            <w:tcW w:type="dxa" w:w="19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Cajal-Retzius 神经元</w:t>
            </w:r>
          </w:p>
        </w:tc>
        <w:tc>
          <w:tcPr>
            <w:tcW w:type="dxa" w:w="15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12.5%（17/136）</w:t>
            </w:r>
          </w:p>
        </w:tc>
        <w:tc>
          <w:tcPr>
            <w:tcW w:type="dxa" w:w="155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0.00%（0/136）</w:t>
            </w:r>
          </w:p>
        </w:tc>
        <w:tc>
          <w:tcPr>
            <w:tcW w:type="dxa" w:w="82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0/4</w:t>
            </w:r>
          </w:p>
        </w:tc>
        <w:tc>
          <w:tcPr>
            <w:tcW w:type="dxa" w:w="70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—</w:t>
            </w:r>
          </w:p>
        </w:tc>
        <w:tc>
          <w:tcPr>
            <w:tcW w:type="dxa" w:w="540"/>
            <w:tcMar>
              <w:top w:type="dxa" w:w="30"/>
              <w:left w:type="dxa" w:w="60"/>
              <w:bottom w:type="dxa" w:w="30"/>
              <w:right w:type="dxa" w:w="60"/>
            </w:tcMar>
          </w:tcPr>
          <w:p>
            <w:pPr>
              <w:spacing w:after="0" w:before="0" w:line="288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color w:val="1A1A1A"/>
                <w:sz w:val="14"/>
                <w:szCs w:val="14"/>
              </w:rPr>
              <w:t xml:space="preserve">0</w:t>
            </w:r>
          </w:p>
        </w:tc>
      </w:tr>
    </w:tbl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5"/>
          <w:szCs w:val="15"/>
        </w:rPr>
        <w:t xml:space="preserve">检出率为单细胞/单核数据的合并值（分母见第〇节）；参考比值为参考层同源同单位的 IL18:CASP1。最后一行 Cajal-Retzius 神经元无匹配参考，仅作记录。</w:t>
      </w:r>
    </w:p>
    <w:p>
      <w:pPr>
        <w:spacing w:after="100" w:before="200"/>
      </w:pPr>
      <w:r>
        <w:rPr>
          <w:rFonts w:ascii="Microsoft YaHei" w:cs="Microsoft YaHei" w:eastAsia="Microsoft YaHei" w:hAnsi="Microsoft YaHei"/>
          <w:b/>
          <w:bCs/>
          <w:color w:val="1A1A1A"/>
          <w:sz w:val="17"/>
          <w:szCs w:val="17"/>
        </w:rPr>
        <w:t xml:space="preserve">图：候选总览（左 IL18、右 CASP1，同一分母；CASP1 为对数轴）</w:t>
      </w:r>
    </w:p>
    <w:p>
      <w:pPr>
        <w:spacing w:after="160"/>
      </w:pPr>
      <w:r>
        <w:drawing>
          <wp:inline distT="0" distB="0" distL="0" distR="0">
            <wp:extent cx="59055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三、逐级说明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B7A43"/>
          <w:sz w:val="18"/>
          <w:szCs w:val="18"/>
        </w:rPr>
        <w:t xml:space="preserve">A 级 — 小鼠脑 星形胶质、少突胶质。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Allen Brain Map、CELLxGENE、brainrnaseq/Zhang 三个独立来源一致：Il18 明确存在而 Casp1 处于零底线（Zhang：星形胶质 Il18 115.1 vs Casp1 1.13 FPKM，约 102 倍；少突胶质 24.7 vs 0.12）。本数据中星形胶质 IL18 56.7%（2135/3766 细胞、40/40 供体），CASP1 仅 2/3766；少突胶质 IL18 27.3%（2452/8987），CASP1 2/8987。样本量足够大，近零是真的近零，不是统计截断。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人肺肥大细胞。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单细胞（n=1237）IL18 331.5 nCPM 为人肺所有细胞类型中最高，CASP1 仅 11.1 nCPM（约 30 倍）。本数据 IL18 34.9%（1851/5299），CASP1 2.6%（138/5299，21/44 供体有阳性）——CASP1 低但确有检出，另有来源显示 CASP1 可测到，故列为潜在而非确证。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1F5FA8"/>
          <w:sz w:val="18"/>
          <w:szCs w:val="18"/>
        </w:rPr>
        <w:t xml:space="preserve">B 级 — 小鼠胰岛 D(δ) 细胞、胰导管细胞。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前一版因「无分选对照」判为无法判读；本次检索到 FACS 分选数据（GSE80673）：Il18 13.16 RPKM vs Casp1 0.016 RPKM。两套独立单细胞数据集同向：分选胰岛 δ 细胞 IL18 11.3%（842/7468）而 CASP1 仅 6/7468；胰导管细胞 IL18 13.2% 而 CASP1 2/1947。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2F6FB4"/>
          <w:sz w:val="18"/>
          <w:szCs w:val="18"/>
        </w:rPr>
        <w:t xml:space="preserve">B 级 — 人肺 AT1（被筛选的相对规则漏掉）。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AT1 在人肺单细胞分层 IL18 排名 3/39、单核分层排名 1/23，HPA 给出 IL18 214.1 vs CASP1 7.9 nCPM（27 倍）。它未进候选，仅因该分层另有三分之一的细胞类型 CASP1 比它更低——这是「分层内最低三分位」这一相对排序规则的结构性盲点，不是证据不足。需注意其自身 CASP1 检出并不低（单核 1.9%，67/3618；单细胞 4.2%，372/8756），故列为需复核的潜在项而非确证。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B07A00"/>
          <w:sz w:val="18"/>
          <w:szCs w:val="18"/>
        </w:rPr>
        <w:t xml:space="preserve">C 级 — CASP1 确实存在，不满足「加工酶缺失」前提。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小鼠肺泡巨噬 IL18 检出 71.6%（960/1341）为全部候选最高，但其 CASP1 同样是全部候选中最高的 13.3%（178/1341，14/14 供体全部有阳性），ImmGen 分选 Casp1 = 511（Il18 2384，比值仅 4.7）。小鼠脑小胶质 CASP1 1.8%（15/818），参考比值 3.4。人肺纤毛上皮参考比值 11.9–13.3。它们被排除，是因为 CASP1 被检出，不是因为测不准。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D 级 — 方向相反。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人肝嗜碱粒细胞参考层 CASP1 60–234 nTPM 而 IL18 仅 4.7–14.8（比值 0.085）；人肺树突状细胞参考比值 2.0。两者在参考层中 CASP1 不低于或接近 IL18，与筛选前提方向相反。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四、必须注明的物种差异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b/>
          <w:bCs/>
          <w:color w:val="9A2B2B"/>
          <w:sz w:val="18"/>
          <w:szCs w:val="18"/>
        </w:rPr>
        <w:t xml:space="preserve">A 级结论为小鼠特异，不可外推到人。</w:t>
      </w:r>
      <w:r>
        <w:rPr>
          <w:rFonts w:ascii="Microsoft YaHei" w:cs="Microsoft YaHei" w:eastAsia="Microsoft YaHei" w:hAnsi="Microsoft YaHei"/>
          <w:color w:val="1A1A1A"/>
          <w:sz w:val="18"/>
          <w:szCs w:val="18"/>
        </w:rPr>
        <w:t xml:space="preserve">HPA 人脑单核数据显示 IL18 压倒性集中于小胶质（338.5 nCPM），星形胶质仅 3.7、少突胶质 2.6 nCPM。即小鼠 CNS 胶质的「IL18 高 / CASP1 低」在人脑并不成立：人脑该表型属于小胶质，而人小胶质 CASP1 为 41.2 nCPM（比值 8.2），不满足前提。人脑目前没有对应的 A 级候选。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五、限制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环境 RNA 未校正：本机无 GPU（CellBender 不可行），Census 源矩阵已过滤、无空液滴（SoupX 不可行），全部候选标 ambient_uncorrected=TRUE，为待验证结果。环境污染会抬高低表达细胞的 CASP1，使保留的近零值偏保守，但对低表达的神经/胶质候选影响最大。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单核与单细胞不可混比；跨器官只比候选名单，不比表达量；跨物种不比表达量。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三分位、CASP3 最低 20% 下限、以及本报告的 20 倍 / 3 倍参考比值分界，均为工程取值，无生物学依据；完整数值已输出，可自行重切。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小鼠脊髓数据（GSE103892）仅有基因符号、无 Ensembl ID，按规格 §1.2 不进入候选判定；人脑成年正常单细胞、人脊髓多供体为已知数据缺口，未用邻近组织顶替。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• IL18 转录本 ≠ pro-IL-18 蛋白储量；CASP3 mRNA ≠ caspase-3 酶活性；静息基线不能回答刺激后 CASP1 能否诱导。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六、建议的后续验证优先级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1. 小鼠脑星形胶质与少突胶质（A 级，多源一致）——蛋白层面检测 pro-IL-18 与 pro-caspase-1。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2. 小鼠胰岛 D(δ) 细胞与胰导管细胞、人肺肥大细胞、人肺 AT1（B 级，单一来源支持或被相对规则漏掉）——先用带空液滴的原始矩阵做环境 RNA 校正复核，再进蛋白层面。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1A1A1A"/>
          <w:sz w:val="21"/>
          <w:szCs w:val="21"/>
        </w:rPr>
        <w:t xml:space="preserve">3. 人脑：无 A 级候选；若要在人体系统中找同类表型，需另行筛选而非沿用小鼠结论。</w:t>
      </w:r>
    </w:p>
    <w:p>
      <w:pPr>
        <w:pStyle w:val="Heading1"/>
        <w:spacing w:after="120" w:before="260"/>
      </w:pPr>
      <w:r>
        <w:rPr>
          <w:rFonts w:ascii="Microsoft YaHei" w:cs="Microsoft YaHei" w:eastAsia="Microsoft YaHei" w:hAnsi="Microsoft YaHei"/>
          <w:b/>
          <w:bCs/>
          <w:color w:val="1A1A1A"/>
          <w:sz w:val="28"/>
          <w:szCs w:val="28"/>
        </w:rPr>
        <w:t xml:space="preserve">附：交付物</w:t>
      </w:r>
    </w:p>
    <w:p>
      <w:pPr>
        <w:spacing w:after="120" w:before="0" w:line="288"/>
      </w:pPr>
      <w:r>
        <w:rPr>
          <w:rFonts w:ascii="Microsoft YaHei" w:cs="Microsoft YaHei" w:eastAsia="Microsoft YaHei" w:hAnsi="Microsoft YaHei"/>
          <w:color w:val="666666"/>
          <w:sz w:val="16"/>
          <w:szCs w:val="16"/>
        </w:rPr>
        <w:t xml:space="preserve">answer_table.tsv / answer_table.json（本报告的答案表，含合并检出率与供体中位数两套口径）、il18_casp1_evidence.tsv（参考层整合判读）、screen_missed_but_reference_supported.tsv（被相对规则漏掉者）、reference/ext/unified_reference.tsv（统一参考表，含匹配质量标注）、candidates.tsv、il18_casp_summary.tsv、il18_casp_celltype_table.tsv、census_scan.tsv、threshold_sensitivity.tsv、celltype_map.tsv、datasets.yaml、run_log.md、README.md、figures/。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c4183f7d8ad17acdeea6911bc384dad03305bb8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2026-10-13T12:02:51.206Z</dcterms:created>
  <dcterms:modified xsi:type="dcterms:W3CDTF">2026-10-13T12:02:51.206Z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