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00D87F">
      <w:pPr>
        <w:pStyle w:val="2"/>
        <w:spacing w:line="240" w:lineRule="auto"/>
        <w:ind w:firstLine="0" w:firstLineChars="0"/>
        <w:jc w:val="center"/>
        <w:rPr>
          <w:rFonts w:hint="eastAsia" w:ascii="方正小标宋简体" w:hAnsi="等线" w:eastAsia="方正小标宋简体" w:cs="方正小标宋_GBK"/>
          <w:i w:val="0"/>
          <w:iCs/>
          <w:sz w:val="72"/>
          <w:szCs w:val="72"/>
          <w:lang w:val="en-US" w:eastAsia="zh-CN" w:bidi="ar"/>
        </w:rPr>
      </w:pPr>
    </w:p>
    <w:p w14:paraId="563A18F5">
      <w:pPr>
        <w:pStyle w:val="2"/>
        <w:spacing w:line="240" w:lineRule="auto"/>
        <w:ind w:firstLine="0" w:firstLineChars="0"/>
        <w:jc w:val="center"/>
        <w:rPr>
          <w:rFonts w:hint="eastAsia" w:ascii="方正小标宋简体" w:hAnsi="等线" w:eastAsia="方正小标宋简体" w:cs="方正小标宋_GBK"/>
          <w:i w:val="0"/>
          <w:iCs/>
          <w:sz w:val="72"/>
          <w:szCs w:val="72"/>
          <w:lang w:val="en-US" w:eastAsia="zh-CN" w:bidi="ar"/>
        </w:rPr>
      </w:pPr>
    </w:p>
    <w:p w14:paraId="19C40C66">
      <w:pPr>
        <w:pStyle w:val="2"/>
        <w:spacing w:line="240" w:lineRule="auto"/>
        <w:ind w:firstLine="0" w:firstLineChars="0"/>
        <w:jc w:val="center"/>
        <w:rPr>
          <w:rFonts w:hint="eastAsia" w:ascii="方正小标宋简体" w:hAnsi="等线" w:eastAsia="方正小标宋简体" w:cs="方正小标宋_GBK"/>
          <w:i w:val="0"/>
          <w:iCs/>
          <w:sz w:val="72"/>
          <w:szCs w:val="72"/>
          <w:lang w:val="en-US" w:eastAsia="zh-CN" w:bidi="ar"/>
        </w:rPr>
      </w:pPr>
      <w:r>
        <w:rPr>
          <w:rFonts w:hint="eastAsia" w:ascii="方正小标宋简体" w:hAnsi="等线" w:eastAsia="方正小标宋简体" w:cs="方正小标宋_GBK"/>
          <w:i w:val="0"/>
          <w:iCs/>
          <w:sz w:val="72"/>
          <w:szCs w:val="72"/>
          <w:lang w:val="en-US" w:eastAsia="zh-CN" w:bidi="ar"/>
        </w:rPr>
        <w:t>糖尿病风险预测中的</w:t>
      </w:r>
    </w:p>
    <w:p w14:paraId="1EA01C28">
      <w:pPr>
        <w:pStyle w:val="2"/>
        <w:spacing w:line="240" w:lineRule="auto"/>
        <w:ind w:firstLine="0" w:firstLineChars="0"/>
        <w:jc w:val="center"/>
        <w:rPr>
          <w:rFonts w:hint="eastAsia" w:ascii="方正小标宋简体" w:hAnsi="等线" w:eastAsia="方正小标宋简体" w:cs="方正小标宋_GBK"/>
          <w:i w:val="0"/>
          <w:iCs/>
          <w:sz w:val="72"/>
          <w:szCs w:val="72"/>
          <w:lang w:val="en-US" w:eastAsia="zh-CN" w:bidi="ar"/>
        </w:rPr>
      </w:pPr>
      <w:r>
        <w:rPr>
          <w:rFonts w:hint="eastAsia" w:ascii="方正小标宋简体" w:hAnsi="等线" w:eastAsia="方正小标宋简体" w:cs="方正小标宋_GBK"/>
          <w:i w:val="0"/>
          <w:iCs/>
          <w:sz w:val="72"/>
          <w:szCs w:val="72"/>
          <w:lang w:val="en-US" w:eastAsia="zh-CN" w:bidi="ar"/>
        </w:rPr>
        <w:t>机器学习模型对比实验</w:t>
      </w:r>
    </w:p>
    <w:p w14:paraId="1883369A">
      <w:pPr>
        <w:jc w:val="center"/>
        <w:rPr>
          <w:rFonts w:hint="eastAsia" w:asciiTheme="majorEastAsia" w:hAnsiTheme="majorEastAsia" w:eastAsiaTheme="majorEastAsia" w:cstheme="majorEastAsia"/>
          <w:b/>
          <w:bCs/>
          <w:sz w:val="72"/>
          <w:szCs w:val="72"/>
          <w:lang w:val="en-US" w:eastAsia="zh-CN"/>
        </w:rPr>
      </w:pPr>
    </w:p>
    <w:p w14:paraId="5DE7B7DE">
      <w:pPr>
        <w:jc w:val="center"/>
        <w:rPr>
          <w:rFonts w:hint="eastAsia" w:asciiTheme="majorEastAsia" w:hAnsiTheme="majorEastAsia" w:eastAsiaTheme="majorEastAsia" w:cstheme="majorEastAsia"/>
          <w:b/>
          <w:bCs/>
          <w:sz w:val="72"/>
          <w:szCs w:val="72"/>
          <w:lang w:val="en-US" w:eastAsia="zh-CN"/>
        </w:rPr>
      </w:pPr>
    </w:p>
    <w:p w14:paraId="4D89F1F2">
      <w:pPr>
        <w:jc w:val="center"/>
        <w:rPr>
          <w:rFonts w:hint="eastAsia" w:asciiTheme="majorEastAsia" w:hAnsiTheme="majorEastAsia" w:eastAsiaTheme="majorEastAsia" w:cstheme="majorEastAsia"/>
          <w:b/>
          <w:bCs/>
          <w:sz w:val="72"/>
          <w:szCs w:val="72"/>
          <w:lang w:val="en-US" w:eastAsia="zh-CN"/>
        </w:rPr>
      </w:pPr>
    </w:p>
    <w:p w14:paraId="21D41671">
      <w:pPr>
        <w:jc w:val="center"/>
        <w:rPr>
          <w:rFonts w:hint="eastAsia" w:asciiTheme="majorEastAsia" w:hAnsiTheme="majorEastAsia" w:eastAsiaTheme="majorEastAsia" w:cstheme="majorEastAsia"/>
          <w:b/>
          <w:bCs/>
          <w:sz w:val="72"/>
          <w:szCs w:val="72"/>
          <w:lang w:val="en-US" w:eastAsia="zh-CN"/>
        </w:rPr>
      </w:pPr>
    </w:p>
    <w:p w14:paraId="229C4252">
      <w:pPr>
        <w:jc w:val="center"/>
        <w:rPr>
          <w:rFonts w:hint="eastAsia" w:asciiTheme="majorEastAsia" w:hAnsiTheme="majorEastAsia" w:eastAsiaTheme="majorEastAsia" w:cstheme="majorEastAsia"/>
          <w:b/>
          <w:bCs/>
          <w:sz w:val="72"/>
          <w:szCs w:val="72"/>
          <w:lang w:val="en-US" w:eastAsia="zh-CN"/>
        </w:rPr>
      </w:pPr>
    </w:p>
    <w:p w14:paraId="51691471">
      <w:pPr>
        <w:jc w:val="both"/>
        <w:rPr>
          <w:rFonts w:hint="eastAsia" w:asciiTheme="minorEastAsia" w:hAnsiTheme="minorEastAsia" w:eastAsiaTheme="minorEastAsia" w:cstheme="minorEastAsia"/>
          <w:b w:val="0"/>
          <w:bCs w:val="0"/>
          <w:sz w:val="28"/>
          <w:szCs w:val="28"/>
          <w:lang w:val="en-US" w:eastAsia="zh-CN"/>
        </w:rPr>
      </w:pPr>
    </w:p>
    <w:p w14:paraId="279D6D6D">
      <w:pPr>
        <w:pStyle w:val="2"/>
        <w:rPr>
          <w:rFonts w:hint="eastAsia" w:asciiTheme="minorEastAsia" w:hAnsiTheme="minorEastAsia" w:eastAsiaTheme="minorEastAsia" w:cstheme="minorEastAsia"/>
          <w:b w:val="0"/>
          <w:bCs w:val="0"/>
          <w:sz w:val="28"/>
          <w:szCs w:val="28"/>
          <w:lang w:val="en-US" w:eastAsia="zh-CN"/>
        </w:rPr>
      </w:pPr>
    </w:p>
    <w:p w14:paraId="42702142">
      <w:pPr>
        <w:pStyle w:val="2"/>
        <w:rPr>
          <w:rFonts w:hint="eastAsia" w:asciiTheme="minorEastAsia" w:hAnsiTheme="minorEastAsia" w:eastAsiaTheme="minorEastAsia" w:cstheme="minorEastAsia"/>
          <w:b w:val="0"/>
          <w:bCs w:val="0"/>
          <w:sz w:val="28"/>
          <w:szCs w:val="28"/>
          <w:lang w:val="en-US" w:eastAsia="zh-CN"/>
        </w:rPr>
      </w:pPr>
    </w:p>
    <w:p w14:paraId="54CDD710">
      <w:pPr>
        <w:jc w:val="right"/>
        <w:rPr>
          <w:rFonts w:hint="eastAsia" w:asciiTheme="minorEastAsia" w:hAnsiTheme="minorEastAsia" w:cstheme="minorEastAsia"/>
          <w:b w:val="0"/>
          <w:bCs w:val="0"/>
          <w:sz w:val="32"/>
          <w:szCs w:val="32"/>
          <w:lang w:val="en-US" w:eastAsia="zh-CN"/>
        </w:rPr>
      </w:pPr>
    </w:p>
    <w:p w14:paraId="23922373">
      <w:pPr>
        <w:jc w:val="right"/>
        <w:rPr>
          <w:rFonts w:hint="eastAsia" w:asciiTheme="minorEastAsia" w:hAnsiTheme="minorEastAsia" w:cstheme="minorEastAsia"/>
          <w:b w:val="0"/>
          <w:bCs w:val="0"/>
          <w:sz w:val="32"/>
          <w:szCs w:val="32"/>
          <w:lang w:val="en-US" w:eastAsia="zh-CN"/>
        </w:rPr>
      </w:pPr>
    </w:p>
    <w:p w14:paraId="2C933F42">
      <w:pPr>
        <w:jc w:val="right"/>
        <w:rPr>
          <w:rFonts w:hint="default" w:asciiTheme="minorEastAsia" w:hAnsiTheme="minorEastAsia" w:cstheme="minorEastAsia"/>
          <w:b w:val="0"/>
          <w:bCs w:val="0"/>
          <w:sz w:val="32"/>
          <w:szCs w:val="32"/>
          <w:lang w:val="en-US" w:eastAsia="zh-CN"/>
        </w:rPr>
      </w:pPr>
      <w:bookmarkStart w:id="31" w:name="_GoBack"/>
      <w:bookmarkEnd w:id="31"/>
      <w:r>
        <w:rPr>
          <w:rFonts w:hint="eastAsia" w:asciiTheme="minorEastAsia" w:hAnsiTheme="minorEastAsia" w:cstheme="minorEastAsia"/>
          <w:b w:val="0"/>
          <w:bCs w:val="0"/>
          <w:sz w:val="32"/>
          <w:szCs w:val="32"/>
          <w:lang w:val="en-US" w:eastAsia="zh-CN"/>
        </w:rPr>
        <w:t>日期：2025.10.13</w:t>
      </w:r>
    </w:p>
    <w:p w14:paraId="100012C4">
      <w:pPr>
        <w:pStyle w:val="3"/>
        <w:bidi w:val="0"/>
        <w:jc w:val="center"/>
        <w:rPr>
          <w:rFonts w:hint="eastAsia"/>
          <w:lang w:val="en-US" w:eastAsia="zh-CN"/>
        </w:rPr>
      </w:pPr>
      <w:bookmarkStart w:id="0" w:name="_Toc8999"/>
      <w:r>
        <w:rPr>
          <w:rFonts w:hint="eastAsia"/>
          <w:lang w:val="en-US" w:eastAsia="zh-CN"/>
        </w:rPr>
        <w:t>摘要</w:t>
      </w:r>
      <w:bookmarkEnd w:id="0"/>
    </w:p>
    <w:p w14:paraId="1C56F51F">
      <w:pPr>
        <w:keepNext w:val="0"/>
        <w:keepLines w:val="0"/>
        <w:pageBreakBefore w:val="0"/>
        <w:widowControl w:val="0"/>
        <w:kinsoku/>
        <w:wordWrap/>
        <w:overflowPunct/>
        <w:topLinePunct w:val="0"/>
        <w:autoSpaceDE/>
        <w:autoSpaceDN/>
        <w:bidi w:val="0"/>
        <w:adjustRightInd/>
        <w:snapToGrid/>
        <w:spacing w:line="300" w:lineRule="auto"/>
        <w:ind w:firstLine="560" w:firstLineChars="20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本研究旨在基于Kaggle平台提供的“Diabetes Prediction Dataset”数据集，构建糖尿病预测模型，并比较两种常用机器学习算法——随机森林（Random Forest）与逻辑回归（Logistic Regression）在该任务中的表现差异。通过对原始数据进行数据清洗、异常值处理、特征编码与可视化分析，初步完成变量筛选，并对目标变量（是否患糖尿病）进行单变量分析与多变量相关性验证。</w:t>
      </w:r>
    </w:p>
    <w:p w14:paraId="6FD8D683">
      <w:pPr>
        <w:keepNext w:val="0"/>
        <w:keepLines w:val="0"/>
        <w:pageBreakBefore w:val="0"/>
        <w:widowControl w:val="0"/>
        <w:kinsoku/>
        <w:wordWrap/>
        <w:overflowPunct/>
        <w:topLinePunct w:val="0"/>
        <w:autoSpaceDE/>
        <w:autoSpaceDN/>
        <w:bidi w:val="0"/>
        <w:adjustRightInd/>
        <w:snapToGrid/>
        <w:spacing w:line="300" w:lineRule="auto"/>
        <w:ind w:firstLine="560" w:firstLineChars="20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在模型构建阶段，分别以相同特征输入建立了逻辑回归模型与随机森林模型，比较其预测准确率、召回率、混淆矩阵及ROC-AUC等性能指标。在进一步的模型优化中，研究尝试通过调整阈值提升模型在召回率与准确率之间的平衡，确定最优分类界限。</w:t>
      </w:r>
    </w:p>
    <w:p w14:paraId="218A3582">
      <w:pPr>
        <w:keepNext w:val="0"/>
        <w:keepLines w:val="0"/>
        <w:pageBreakBefore w:val="0"/>
        <w:widowControl w:val="0"/>
        <w:kinsoku/>
        <w:wordWrap/>
        <w:overflowPunct/>
        <w:topLinePunct w:val="0"/>
        <w:autoSpaceDE/>
        <w:autoSpaceDN/>
        <w:bidi w:val="0"/>
        <w:adjustRightInd/>
        <w:snapToGrid/>
        <w:spacing w:line="300" w:lineRule="auto"/>
        <w:ind w:firstLine="560" w:firstLineChars="20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结果表明，在数据量适中的前提下，随机森林模型在预测准确率和稳定性方面优于逻辑回归模型，而逻辑回归则在模型解释性方面具备优势。最终的研究为糖尿病早期风险筛查提供了一种高效、可扩展的建模思路。</w:t>
      </w:r>
    </w:p>
    <w:p w14:paraId="077534EF">
      <w:pPr>
        <w:keepNext w:val="0"/>
        <w:keepLines w:val="0"/>
        <w:pageBreakBefore w:val="0"/>
        <w:widowControl w:val="0"/>
        <w:kinsoku/>
        <w:wordWrap/>
        <w:overflowPunct/>
        <w:topLinePunct w:val="0"/>
        <w:autoSpaceDE/>
        <w:autoSpaceDN/>
        <w:bidi w:val="0"/>
        <w:adjustRightInd/>
        <w:snapToGrid/>
        <w:spacing w:line="300" w:lineRule="auto"/>
        <w:ind w:firstLine="560" w:firstLineChars="20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本研究暂未进行跨数据集迁移验证，未来可考虑引入更多样化的数据源，进一步检验模型的泛化能力与实际应用价值。</w:t>
      </w:r>
    </w:p>
    <w:p w14:paraId="3D5F48F1">
      <w:pPr>
        <w:keepNext w:val="0"/>
        <w:keepLines w:val="0"/>
        <w:pageBreakBefore w:val="0"/>
        <w:widowControl w:val="0"/>
        <w:kinsoku/>
        <w:wordWrap/>
        <w:overflowPunct/>
        <w:topLinePunct w:val="0"/>
        <w:autoSpaceDE/>
        <w:autoSpaceDN/>
        <w:bidi w:val="0"/>
        <w:adjustRightInd/>
        <w:snapToGrid/>
        <w:spacing w:line="300" w:lineRule="auto"/>
        <w:ind w:firstLine="560" w:firstLineChars="200"/>
        <w:jc w:val="both"/>
        <w:textAlignment w:val="auto"/>
        <w:rPr>
          <w:rFonts w:hint="default" w:asciiTheme="minorEastAsia" w:hAnsiTheme="minorEastAsia" w:cstheme="minorEastAsia"/>
          <w:b w:val="0"/>
          <w:bCs w:val="0"/>
          <w:sz w:val="28"/>
          <w:szCs w:val="28"/>
          <w:lang w:val="en-US" w:eastAsia="zh-CN"/>
        </w:rPr>
        <w:sectPr>
          <w:footerReference r:id="rId3" w:type="default"/>
          <w:pgSz w:w="11906" w:h="16838"/>
          <w:pgMar w:top="1440" w:right="1800" w:bottom="1440" w:left="1800" w:header="851" w:footer="992" w:gutter="0"/>
          <w:cols w:space="425" w:num="1"/>
          <w:docGrid w:type="lines" w:linePitch="312" w:charSpace="0"/>
        </w:sectPr>
      </w:pPr>
      <w:r>
        <w:rPr>
          <w:rFonts w:hint="eastAsia" w:asciiTheme="minorEastAsia" w:hAnsiTheme="minorEastAsia" w:cstheme="minorEastAsia"/>
          <w:b w:val="0"/>
          <w:bCs w:val="0"/>
          <w:sz w:val="28"/>
          <w:szCs w:val="28"/>
          <w:lang w:val="en-US" w:eastAsia="zh-CN"/>
        </w:rPr>
        <w:t>关键词：糖尿病预测 机器学习 随机森林 逻辑回归 多模型对比 公众健康数据</w:t>
      </w:r>
    </w:p>
    <w:p w14:paraId="32C3DC84">
      <w:pPr>
        <w:pStyle w:val="3"/>
        <w:bidi w:val="0"/>
        <w:jc w:val="center"/>
        <w:rPr>
          <w:rFonts w:ascii="Times New Roman" w:hAnsi="Times New Roman"/>
          <w:b w:val="0"/>
          <w:bCs w:val="0"/>
          <w:szCs w:val="30"/>
        </w:rPr>
      </w:pPr>
      <w:bookmarkStart w:id="1" w:name="_Toc28649"/>
      <w:bookmarkStart w:id="2" w:name="_Toc166536399"/>
      <w:r>
        <w:rPr>
          <w:rFonts w:hint="default" w:ascii="Times New Roman" w:hAnsi="Times New Roman" w:cs="Times New Roman"/>
          <w:sz w:val="30"/>
          <w:szCs w:val="30"/>
        </w:rPr>
        <w:t>Abstract</w:t>
      </w:r>
      <w:bookmarkEnd w:id="1"/>
      <w:bookmarkEnd w:id="2"/>
    </w:p>
    <w:p w14:paraId="4CFD3BB3">
      <w:pPr>
        <w:spacing w:line="480" w:lineRule="exact"/>
        <w:ind w:firstLine="480" w:firstLineChars="200"/>
        <w:rPr>
          <w:rFonts w:hint="default" w:ascii="Times New Roman" w:hAnsi="Times New Roman"/>
          <w:sz w:val="24"/>
          <w:szCs w:val="24"/>
          <w:lang w:val="en-US" w:eastAsia="zh-CN"/>
        </w:rPr>
      </w:pPr>
      <w:r>
        <w:rPr>
          <w:rFonts w:hint="default" w:ascii="Times New Roman" w:hAnsi="Times New Roman"/>
          <w:sz w:val="24"/>
          <w:szCs w:val="24"/>
          <w:lang w:val="en-US" w:eastAsia="zh-CN"/>
        </w:rPr>
        <w:t>This study aims to develop a predictive model for diabetes based on the “Diabetes Prediction Dataset” from Kaggle, and to compare the performance of two machine learning algorithms — Random Forest and Logistic Regression. After conducting thorough data preprocessing, including outlier removal, feature encoding, and exploratory data analysis, relevant features were selected for model construction.</w:t>
      </w:r>
    </w:p>
    <w:p w14:paraId="39F949B9">
      <w:pPr>
        <w:spacing w:line="480" w:lineRule="exact"/>
        <w:ind w:firstLine="480" w:firstLineChars="200"/>
        <w:rPr>
          <w:rFonts w:hint="default" w:ascii="Times New Roman" w:hAnsi="Times New Roman"/>
          <w:sz w:val="24"/>
          <w:szCs w:val="24"/>
          <w:lang w:val="en-US" w:eastAsia="zh-CN"/>
        </w:rPr>
      </w:pPr>
      <w:r>
        <w:rPr>
          <w:rFonts w:hint="default" w:ascii="Times New Roman" w:hAnsi="Times New Roman"/>
          <w:sz w:val="24"/>
          <w:szCs w:val="24"/>
          <w:lang w:val="en-US" w:eastAsia="zh-CN"/>
        </w:rPr>
        <w:t>Both models were trained using the same set of features, and their performance was evaluated using metrics such as accuracy, recall, confusion matrix, and ROC-AUC score. Furthermore, the study experimented with threshold adjustment to optimize the trade-off between precision and recall, identifying an optimal classification threshold.</w:t>
      </w:r>
    </w:p>
    <w:p w14:paraId="40EC4931">
      <w:pPr>
        <w:spacing w:line="480" w:lineRule="exact"/>
        <w:ind w:firstLine="480" w:firstLineChars="200"/>
        <w:rPr>
          <w:rFonts w:hint="default" w:ascii="Times New Roman" w:hAnsi="Times New Roman"/>
          <w:sz w:val="24"/>
          <w:szCs w:val="24"/>
          <w:lang w:val="en-US" w:eastAsia="zh-CN"/>
        </w:rPr>
      </w:pPr>
      <w:r>
        <w:rPr>
          <w:rFonts w:hint="default" w:ascii="Times New Roman" w:hAnsi="Times New Roman"/>
          <w:sz w:val="24"/>
          <w:szCs w:val="24"/>
          <w:lang w:val="en-US" w:eastAsia="zh-CN"/>
        </w:rPr>
        <w:t>The results suggest that Random Forest outperforms Logistic Regression in terms of predictive accuracy and robustness, while Logistic Regression offers better interpretability. The findings support the effectiveness of machine learning approaches in early diabetes risk screening and demonstrate the feasibility of applying such models to public health datasets.</w:t>
      </w:r>
    </w:p>
    <w:p w14:paraId="79B29A6F">
      <w:pPr>
        <w:spacing w:line="480" w:lineRule="exact"/>
        <w:ind w:firstLine="480" w:firstLineChars="200"/>
        <w:rPr>
          <w:rFonts w:hint="default" w:ascii="Times New Roman" w:hAnsi="Times New Roman"/>
          <w:sz w:val="24"/>
          <w:szCs w:val="24"/>
          <w:lang w:val="en-US" w:eastAsia="zh-CN"/>
        </w:rPr>
      </w:pPr>
      <w:r>
        <w:rPr>
          <w:rFonts w:hint="default" w:ascii="Times New Roman" w:hAnsi="Times New Roman"/>
          <w:sz w:val="24"/>
          <w:szCs w:val="24"/>
          <w:lang w:val="en-US" w:eastAsia="zh-CN"/>
        </w:rPr>
        <w:t>Although this study does not include cross-dataset generalization due to data limitations, future work may incorporate external datasets to evaluate the generalizability and practical applicability of the proposed models.</w:t>
      </w:r>
    </w:p>
    <w:p w14:paraId="24CE5BCE">
      <w:pPr>
        <w:spacing w:line="480" w:lineRule="exact"/>
        <w:ind w:firstLine="480" w:firstLineChars="200"/>
        <w:rPr>
          <w:rFonts w:hint="eastAsia" w:ascii="Times New Roman" w:hAnsi="Times New Roman"/>
          <w:sz w:val="24"/>
          <w:szCs w:val="24"/>
          <w:lang w:val="en-US" w:eastAsia="zh-CN"/>
        </w:rPr>
        <w:sectPr>
          <w:pgSz w:w="11906" w:h="16838"/>
          <w:pgMar w:top="1440" w:right="1800" w:bottom="1440" w:left="1800" w:header="851" w:footer="992" w:gutter="0"/>
          <w:cols w:space="425" w:num="1"/>
          <w:docGrid w:type="lines" w:linePitch="312" w:charSpace="0"/>
        </w:sectPr>
      </w:pPr>
      <w:r>
        <w:rPr>
          <w:rFonts w:hint="eastAsia" w:ascii="Times New Roman" w:hAnsi="Times New Roman"/>
          <w:sz w:val="24"/>
          <w:szCs w:val="24"/>
          <w:lang w:val="en-US" w:eastAsia="zh-CN"/>
        </w:rPr>
        <w:t>Keywords:Diabetes prediction, Machine learning, Random Forest, Logistic Regression, Model comparison, Public health data</w:t>
      </w:r>
    </w:p>
    <w:sdt>
      <w:sdtPr>
        <w:rPr>
          <w:rFonts w:ascii="宋体" w:hAnsi="宋体" w:eastAsia="宋体" w:cstheme="minorBidi"/>
          <w:kern w:val="2"/>
          <w:sz w:val="21"/>
          <w:szCs w:val="24"/>
          <w:lang w:val="en-US" w:eastAsia="zh-CN" w:bidi="ar-SA"/>
        </w:rPr>
        <w:id w:val="147456567"/>
        <w15:color w:val="DBDBDB"/>
        <w:docPartObj>
          <w:docPartGallery w:val="Table of Contents"/>
          <w:docPartUnique/>
        </w:docPartObj>
      </w:sdtPr>
      <w:sdtEndPr>
        <w:rPr>
          <w:rFonts w:ascii="Cambria Math" w:hAnsi="Cambria Math" w:eastAsia="仿宋_GB2312" w:cs="黑体"/>
          <w:i/>
          <w:color w:val="191A24"/>
          <w:kern w:val="0"/>
          <w:sz w:val="24"/>
          <w:szCs w:val="24"/>
          <w:lang w:val="en-US" w:eastAsia="zh-CN" w:bidi="ar-SA"/>
        </w:rPr>
      </w:sdtEndPr>
      <w:sdtContent>
        <w:p w14:paraId="6CBCA812">
          <w:pPr>
            <w:spacing w:before="0" w:beforeLines="0" w:after="0" w:afterLines="0" w:line="240" w:lineRule="auto"/>
            <w:ind w:left="0" w:leftChars="0" w:right="0" w:rightChars="0" w:firstLine="0" w:firstLineChars="0"/>
            <w:jc w:val="center"/>
          </w:pPr>
          <w:r>
            <w:rPr>
              <w:rFonts w:ascii="宋体" w:hAnsi="宋体" w:eastAsia="宋体"/>
              <w:sz w:val="21"/>
            </w:rPr>
            <w:t>目录</w:t>
          </w:r>
        </w:p>
        <w:p w14:paraId="704E4F6D">
          <w:pPr>
            <w:pStyle w:val="9"/>
            <w:tabs>
              <w:tab w:val="right" w:leader="dot" w:pos="8306"/>
            </w:tabs>
          </w:pPr>
          <w:r>
            <w:rPr>
              <w:rFonts w:ascii="Cambria Math" w:hAnsi="Cambria Math" w:eastAsia="仿宋_GB2312" w:cs="黑体"/>
              <w:i/>
              <w:color w:val="191A24"/>
              <w:kern w:val="0"/>
              <w:sz w:val="24"/>
              <w:szCs w:val="24"/>
              <w:lang w:val="en-US" w:eastAsia="zh-CN" w:bidi="ar-SA"/>
            </w:rPr>
            <w:fldChar w:fldCharType="begin"/>
          </w:r>
          <w:r>
            <w:rPr>
              <w:rFonts w:ascii="Cambria Math" w:hAnsi="Cambria Math" w:eastAsia="仿宋_GB2312" w:cs="黑体"/>
              <w:i/>
              <w:color w:val="191A24"/>
              <w:kern w:val="0"/>
              <w:sz w:val="24"/>
              <w:szCs w:val="24"/>
              <w:lang w:val="en-US" w:eastAsia="zh-CN" w:bidi="ar-SA"/>
            </w:rPr>
            <w:instrText xml:space="preserve">TOC \o "1-2" \h \u </w:instrText>
          </w:r>
          <w:r>
            <w:rPr>
              <w:rFonts w:ascii="Cambria Math" w:hAnsi="Cambria Math" w:eastAsia="仿宋_GB2312" w:cs="黑体"/>
              <w:i/>
              <w:color w:val="191A24"/>
              <w:kern w:val="0"/>
              <w:sz w:val="24"/>
              <w:szCs w:val="24"/>
              <w:lang w:val="en-US" w:eastAsia="zh-CN" w:bidi="ar-SA"/>
            </w:rPr>
            <w:fldChar w:fldCharType="separate"/>
          </w: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_Toc8999 </w:instrText>
          </w:r>
          <w:r>
            <w:rPr>
              <w:rFonts w:ascii="Cambria Math" w:hAnsi="Cambria Math" w:eastAsia="仿宋_GB2312" w:cs="黑体"/>
              <w:i/>
              <w:kern w:val="0"/>
              <w:szCs w:val="24"/>
              <w:lang w:val="en-US" w:eastAsia="zh-CN" w:bidi="ar-SA"/>
            </w:rPr>
            <w:fldChar w:fldCharType="separate"/>
          </w:r>
          <w:r>
            <w:rPr>
              <w:rFonts w:hint="eastAsia"/>
              <w:lang w:val="en-US" w:eastAsia="zh-CN"/>
            </w:rPr>
            <w:t>摘要</w:t>
          </w:r>
          <w:r>
            <w:tab/>
          </w:r>
          <w:r>
            <w:fldChar w:fldCharType="begin"/>
          </w:r>
          <w:r>
            <w:instrText xml:space="preserve"> PAGEREF _Toc8999 \h </w:instrText>
          </w:r>
          <w:r>
            <w:fldChar w:fldCharType="separate"/>
          </w:r>
          <w:r>
            <w:t>2</w:t>
          </w:r>
          <w:r>
            <w:fldChar w:fldCharType="end"/>
          </w:r>
          <w:r>
            <w:rPr>
              <w:rFonts w:ascii="Cambria Math" w:hAnsi="Cambria Math" w:eastAsia="仿宋_GB2312" w:cs="黑体"/>
              <w:i/>
              <w:color w:val="191A24"/>
              <w:kern w:val="0"/>
              <w:szCs w:val="24"/>
              <w:lang w:val="en-US" w:eastAsia="zh-CN" w:bidi="ar-SA"/>
            </w:rPr>
            <w:fldChar w:fldCharType="end"/>
          </w:r>
        </w:p>
        <w:p w14:paraId="1E204ED5">
          <w:pPr>
            <w:pStyle w:val="9"/>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_Toc28649 </w:instrText>
          </w:r>
          <w:r>
            <w:rPr>
              <w:rFonts w:ascii="Cambria Math" w:hAnsi="Cambria Math" w:eastAsia="仿宋_GB2312" w:cs="黑体"/>
              <w:i/>
              <w:kern w:val="0"/>
              <w:szCs w:val="24"/>
              <w:lang w:val="en-US" w:eastAsia="zh-CN" w:bidi="ar-SA"/>
            </w:rPr>
            <w:fldChar w:fldCharType="separate"/>
          </w:r>
          <w:r>
            <w:rPr>
              <w:rFonts w:hint="default" w:ascii="Times New Roman" w:hAnsi="Times New Roman" w:cs="Times New Roman"/>
              <w:szCs w:val="30"/>
            </w:rPr>
            <w:t>Abstract</w:t>
          </w:r>
          <w:r>
            <w:tab/>
          </w:r>
          <w:r>
            <w:fldChar w:fldCharType="begin"/>
          </w:r>
          <w:r>
            <w:instrText xml:space="preserve"> PAGEREF _Toc28649 \h </w:instrText>
          </w:r>
          <w:r>
            <w:fldChar w:fldCharType="separate"/>
          </w:r>
          <w:r>
            <w:t>3</w:t>
          </w:r>
          <w:r>
            <w:fldChar w:fldCharType="end"/>
          </w:r>
          <w:r>
            <w:rPr>
              <w:rFonts w:ascii="Cambria Math" w:hAnsi="Cambria Math" w:eastAsia="仿宋_GB2312" w:cs="黑体"/>
              <w:i/>
              <w:color w:val="191A24"/>
              <w:kern w:val="0"/>
              <w:szCs w:val="24"/>
              <w:lang w:val="en-US" w:eastAsia="zh-CN" w:bidi="ar-SA"/>
            </w:rPr>
            <w:fldChar w:fldCharType="end"/>
          </w:r>
        </w:p>
        <w:p w14:paraId="2594C1B8">
          <w:pPr>
            <w:pStyle w:val="9"/>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_Toc12400 </w:instrText>
          </w:r>
          <w:r>
            <w:rPr>
              <w:rFonts w:ascii="Cambria Math" w:hAnsi="Cambria Math" w:eastAsia="仿宋_GB2312" w:cs="黑体"/>
              <w:i/>
              <w:kern w:val="0"/>
              <w:szCs w:val="24"/>
              <w:lang w:val="en-US" w:eastAsia="zh-CN" w:bidi="ar-SA"/>
            </w:rPr>
            <w:fldChar w:fldCharType="separate"/>
          </w:r>
          <w:r>
            <w:rPr>
              <w:rFonts w:ascii="黑体" w:hAnsi="黑体" w:eastAsia="黑体" w:cs="黑体"/>
              <w:bCs w:val="0"/>
              <w:szCs w:val="30"/>
            </w:rPr>
            <w:t>一、引言</w:t>
          </w:r>
          <w:r>
            <w:tab/>
          </w:r>
          <w:r>
            <w:fldChar w:fldCharType="begin"/>
          </w:r>
          <w:r>
            <w:instrText xml:space="preserve"> PAGEREF _Toc12400 \h </w:instrText>
          </w:r>
          <w:r>
            <w:fldChar w:fldCharType="separate"/>
          </w:r>
          <w:r>
            <w:t>5</w:t>
          </w:r>
          <w:r>
            <w:fldChar w:fldCharType="end"/>
          </w:r>
          <w:r>
            <w:rPr>
              <w:rFonts w:ascii="Cambria Math" w:hAnsi="Cambria Math" w:eastAsia="仿宋_GB2312" w:cs="黑体"/>
              <w:i/>
              <w:color w:val="191A24"/>
              <w:kern w:val="0"/>
              <w:szCs w:val="24"/>
              <w:lang w:val="en-US" w:eastAsia="zh-CN" w:bidi="ar-SA"/>
            </w:rPr>
            <w:fldChar w:fldCharType="end"/>
          </w:r>
        </w:p>
        <w:p w14:paraId="736FC87E">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_Toc12199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rPr>
            <w:t>（一）糖尿病背景介绍</w:t>
          </w:r>
          <w:r>
            <w:tab/>
          </w:r>
          <w:r>
            <w:fldChar w:fldCharType="begin"/>
          </w:r>
          <w:r>
            <w:instrText xml:space="preserve"> PAGEREF _Toc12199 \h </w:instrText>
          </w:r>
          <w:r>
            <w:fldChar w:fldCharType="separate"/>
          </w:r>
          <w:r>
            <w:t>5</w:t>
          </w:r>
          <w:r>
            <w:fldChar w:fldCharType="end"/>
          </w:r>
          <w:r>
            <w:rPr>
              <w:rFonts w:ascii="Cambria Math" w:hAnsi="Cambria Math" w:eastAsia="仿宋_GB2312" w:cs="黑体"/>
              <w:i/>
              <w:color w:val="191A24"/>
              <w:kern w:val="0"/>
              <w:szCs w:val="24"/>
              <w:lang w:val="en-US" w:eastAsia="zh-CN" w:bidi="ar-SA"/>
            </w:rPr>
            <w:fldChar w:fldCharType="end"/>
          </w:r>
        </w:p>
        <w:p w14:paraId="57C85897">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_Toc4108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rPr>
            <w:t>（二） 研究目的</w:t>
          </w:r>
          <w:r>
            <w:tab/>
          </w:r>
          <w:r>
            <w:fldChar w:fldCharType="begin"/>
          </w:r>
          <w:r>
            <w:instrText xml:space="preserve"> PAGEREF _Toc4108 \h </w:instrText>
          </w:r>
          <w:r>
            <w:fldChar w:fldCharType="separate"/>
          </w:r>
          <w:r>
            <w:t>5</w:t>
          </w:r>
          <w:r>
            <w:fldChar w:fldCharType="end"/>
          </w:r>
          <w:r>
            <w:rPr>
              <w:rFonts w:ascii="Cambria Math" w:hAnsi="Cambria Math" w:eastAsia="仿宋_GB2312" w:cs="黑体"/>
              <w:i/>
              <w:color w:val="191A24"/>
              <w:kern w:val="0"/>
              <w:szCs w:val="24"/>
              <w:lang w:val="en-US" w:eastAsia="zh-CN" w:bidi="ar-SA"/>
            </w:rPr>
            <w:fldChar w:fldCharType="end"/>
          </w:r>
        </w:p>
        <w:p w14:paraId="43B5A12A">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_Toc13172 </w:instrText>
          </w:r>
          <w:r>
            <w:rPr>
              <w:rFonts w:ascii="Cambria Math" w:hAnsi="Cambria Math" w:eastAsia="仿宋_GB2312" w:cs="黑体"/>
              <w:i/>
              <w:kern w:val="0"/>
              <w:szCs w:val="24"/>
              <w:lang w:val="en-US" w:eastAsia="zh-CN" w:bidi="ar-SA"/>
            </w:rPr>
            <w:fldChar w:fldCharType="separate"/>
          </w:r>
          <w:r>
            <w:rPr>
              <w:rFonts w:hint="eastAsia" w:ascii="宋体" w:hAnsi="宋体" w:eastAsia="宋体" w:cs="宋体"/>
              <w:szCs w:val="24"/>
              <w:lang w:val="en-US" w:eastAsia="zh-CN"/>
            </w:rPr>
            <w:t xml:space="preserve">（三） </w:t>
          </w:r>
          <w:r>
            <w:rPr>
              <w:rFonts w:hint="default" w:ascii="楷体" w:hAnsi="楷体" w:eastAsia="楷体" w:cs="楷体"/>
              <w:bCs/>
              <w:szCs w:val="28"/>
              <w:lang w:val="en-US" w:eastAsia="zh-CN"/>
            </w:rPr>
            <w:t>数据来源说明</w:t>
          </w:r>
          <w:r>
            <w:tab/>
          </w:r>
          <w:r>
            <w:fldChar w:fldCharType="begin"/>
          </w:r>
          <w:r>
            <w:instrText xml:space="preserve"> PAGEREF _Toc13172 \h </w:instrText>
          </w:r>
          <w:r>
            <w:fldChar w:fldCharType="separate"/>
          </w:r>
          <w:r>
            <w:t>5</w:t>
          </w:r>
          <w:r>
            <w:fldChar w:fldCharType="end"/>
          </w:r>
          <w:r>
            <w:rPr>
              <w:rFonts w:ascii="Cambria Math" w:hAnsi="Cambria Math" w:eastAsia="仿宋_GB2312" w:cs="黑体"/>
              <w:i/>
              <w:color w:val="191A24"/>
              <w:kern w:val="0"/>
              <w:szCs w:val="24"/>
              <w:lang w:val="en-US" w:eastAsia="zh-CN" w:bidi="ar-SA"/>
            </w:rPr>
            <w:fldChar w:fldCharType="end"/>
          </w:r>
        </w:p>
        <w:p w14:paraId="77F69413">
          <w:pPr>
            <w:pStyle w:val="9"/>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_Toc8035 </w:instrText>
          </w:r>
          <w:r>
            <w:rPr>
              <w:rFonts w:ascii="Cambria Math" w:hAnsi="Cambria Math" w:eastAsia="仿宋_GB2312" w:cs="黑体"/>
              <w:i/>
              <w:kern w:val="0"/>
              <w:szCs w:val="24"/>
              <w:lang w:val="en-US" w:eastAsia="zh-CN" w:bidi="ar-SA"/>
            </w:rPr>
            <w:fldChar w:fldCharType="separate"/>
          </w:r>
          <w:r>
            <w:rPr>
              <w:rFonts w:ascii="黑体" w:hAnsi="黑体" w:eastAsia="黑体" w:cs="黑体"/>
              <w:bCs w:val="0"/>
              <w:szCs w:val="30"/>
            </w:rPr>
            <w:t>二、数据预处理</w:t>
          </w:r>
          <w:r>
            <w:rPr>
              <w:rFonts w:hint="eastAsia" w:ascii="黑体" w:hAnsi="黑体" w:eastAsia="黑体" w:cs="黑体"/>
              <w:bCs w:val="0"/>
              <w:szCs w:val="30"/>
              <w:lang w:val="en-US" w:eastAsia="zh-CN"/>
            </w:rPr>
            <w:t>与特征工程</w:t>
          </w:r>
          <w:r>
            <w:tab/>
          </w:r>
          <w:r>
            <w:fldChar w:fldCharType="begin"/>
          </w:r>
          <w:r>
            <w:instrText xml:space="preserve"> PAGEREF _Toc8035 \h </w:instrText>
          </w:r>
          <w:r>
            <w:fldChar w:fldCharType="separate"/>
          </w:r>
          <w:r>
            <w:t>6</w:t>
          </w:r>
          <w:r>
            <w:fldChar w:fldCharType="end"/>
          </w:r>
          <w:r>
            <w:rPr>
              <w:rFonts w:ascii="Cambria Math" w:hAnsi="Cambria Math" w:eastAsia="仿宋_GB2312" w:cs="黑体"/>
              <w:i/>
              <w:color w:val="191A24"/>
              <w:kern w:val="0"/>
              <w:szCs w:val="24"/>
              <w:lang w:val="en-US" w:eastAsia="zh-CN" w:bidi="ar-SA"/>
            </w:rPr>
            <w:fldChar w:fldCharType="end"/>
          </w:r>
        </w:p>
        <w:p w14:paraId="02860D6E">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_Toc11599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rPr>
            <w:t>（一）</w:t>
          </w:r>
          <w:r>
            <w:rPr>
              <w:rFonts w:hint="eastAsia" w:ascii="楷体" w:hAnsi="楷体" w:eastAsia="楷体" w:cs="楷体"/>
              <w:bCs/>
              <w:szCs w:val="28"/>
              <w:lang w:val="en-US" w:eastAsia="zh-CN"/>
            </w:rPr>
            <w:t>清洗流程说明</w:t>
          </w:r>
          <w:r>
            <w:tab/>
          </w:r>
          <w:r>
            <w:fldChar w:fldCharType="begin"/>
          </w:r>
          <w:r>
            <w:instrText xml:space="preserve"> PAGEREF _Toc11599 \h </w:instrText>
          </w:r>
          <w:r>
            <w:fldChar w:fldCharType="separate"/>
          </w:r>
          <w:r>
            <w:t>6</w:t>
          </w:r>
          <w:r>
            <w:fldChar w:fldCharType="end"/>
          </w:r>
          <w:r>
            <w:rPr>
              <w:rFonts w:ascii="Cambria Math" w:hAnsi="Cambria Math" w:eastAsia="仿宋_GB2312" w:cs="黑体"/>
              <w:i/>
              <w:color w:val="191A24"/>
              <w:kern w:val="0"/>
              <w:szCs w:val="24"/>
              <w:lang w:val="en-US" w:eastAsia="zh-CN" w:bidi="ar-SA"/>
            </w:rPr>
            <w:fldChar w:fldCharType="end"/>
          </w:r>
        </w:p>
        <w:p w14:paraId="1D0C8E32">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_Toc20942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rPr>
            <w:t>（</w:t>
          </w:r>
          <w:r>
            <w:rPr>
              <w:rFonts w:hint="eastAsia" w:ascii="楷体" w:hAnsi="楷体" w:eastAsia="楷体" w:cs="楷体"/>
              <w:bCs/>
              <w:szCs w:val="28"/>
              <w:lang w:val="en-US" w:eastAsia="zh-CN"/>
            </w:rPr>
            <w:t>二</w:t>
          </w:r>
          <w:r>
            <w:rPr>
              <w:rFonts w:hint="eastAsia" w:ascii="楷体" w:hAnsi="楷体" w:eastAsia="楷体" w:cs="楷体"/>
              <w:bCs/>
              <w:szCs w:val="28"/>
            </w:rPr>
            <w:t>）</w:t>
          </w:r>
          <w:r>
            <w:rPr>
              <w:rFonts w:hint="eastAsia" w:ascii="楷体" w:hAnsi="楷体" w:eastAsia="楷体" w:cs="楷体"/>
              <w:bCs/>
              <w:szCs w:val="28"/>
              <w:lang w:val="en-US" w:eastAsia="zh-CN"/>
            </w:rPr>
            <w:t>显著性分析</w:t>
          </w:r>
          <w:r>
            <w:tab/>
          </w:r>
          <w:r>
            <w:fldChar w:fldCharType="begin"/>
          </w:r>
          <w:r>
            <w:instrText xml:space="preserve"> PAGEREF _Toc20942 \h </w:instrText>
          </w:r>
          <w:r>
            <w:fldChar w:fldCharType="separate"/>
          </w:r>
          <w:r>
            <w:t>10</w:t>
          </w:r>
          <w:r>
            <w:fldChar w:fldCharType="end"/>
          </w:r>
          <w:r>
            <w:rPr>
              <w:rFonts w:ascii="Cambria Math" w:hAnsi="Cambria Math" w:eastAsia="仿宋_GB2312" w:cs="黑体"/>
              <w:i/>
              <w:color w:val="191A24"/>
              <w:kern w:val="0"/>
              <w:szCs w:val="24"/>
              <w:lang w:val="en-US" w:eastAsia="zh-CN" w:bidi="ar-SA"/>
            </w:rPr>
            <w:fldChar w:fldCharType="end"/>
          </w:r>
        </w:p>
        <w:p w14:paraId="154BC64C">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_Toc28475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rPr>
            <w:t>（</w:t>
          </w:r>
          <w:r>
            <w:rPr>
              <w:rFonts w:hint="eastAsia" w:ascii="楷体" w:hAnsi="楷体" w:eastAsia="楷体" w:cs="楷体"/>
              <w:bCs/>
              <w:szCs w:val="28"/>
              <w:lang w:val="en-US" w:eastAsia="zh-CN"/>
            </w:rPr>
            <w:t>三</w:t>
          </w:r>
          <w:r>
            <w:rPr>
              <w:rFonts w:hint="eastAsia" w:ascii="楷体" w:hAnsi="楷体" w:eastAsia="楷体" w:cs="楷体"/>
              <w:bCs/>
              <w:szCs w:val="28"/>
            </w:rPr>
            <w:t>）</w:t>
          </w:r>
          <w:r>
            <w:rPr>
              <w:rFonts w:hint="eastAsia" w:ascii="楷体" w:hAnsi="楷体" w:eastAsia="楷体" w:cs="楷体"/>
              <w:bCs/>
              <w:szCs w:val="28"/>
              <w:lang w:val="en-US" w:eastAsia="zh-CN"/>
            </w:rPr>
            <w:t>特征间多重共线性分析</w:t>
          </w:r>
          <w:r>
            <w:tab/>
          </w:r>
          <w:r>
            <w:fldChar w:fldCharType="begin"/>
          </w:r>
          <w:r>
            <w:instrText xml:space="preserve"> PAGEREF _Toc28475 \h </w:instrText>
          </w:r>
          <w:r>
            <w:fldChar w:fldCharType="separate"/>
          </w:r>
          <w:r>
            <w:t>14</w:t>
          </w:r>
          <w:r>
            <w:fldChar w:fldCharType="end"/>
          </w:r>
          <w:r>
            <w:rPr>
              <w:rFonts w:ascii="Cambria Math" w:hAnsi="Cambria Math" w:eastAsia="仿宋_GB2312" w:cs="黑体"/>
              <w:i/>
              <w:color w:val="191A24"/>
              <w:kern w:val="0"/>
              <w:szCs w:val="24"/>
              <w:lang w:val="en-US" w:eastAsia="zh-CN" w:bidi="ar-SA"/>
            </w:rPr>
            <w:fldChar w:fldCharType="end"/>
          </w:r>
        </w:p>
        <w:p w14:paraId="4B4E1F1E">
          <w:pPr>
            <w:pStyle w:val="9"/>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_Toc21796 </w:instrText>
          </w:r>
          <w:r>
            <w:rPr>
              <w:rFonts w:ascii="Cambria Math" w:hAnsi="Cambria Math" w:eastAsia="仿宋_GB2312" w:cs="黑体"/>
              <w:i/>
              <w:kern w:val="0"/>
              <w:szCs w:val="24"/>
              <w:lang w:val="en-US" w:eastAsia="zh-CN" w:bidi="ar-SA"/>
            </w:rPr>
            <w:fldChar w:fldCharType="separate"/>
          </w:r>
          <w:r>
            <w:rPr>
              <w:rFonts w:hint="eastAsia" w:ascii="黑体" w:hAnsi="黑体" w:eastAsia="黑体" w:cs="黑体"/>
              <w:szCs w:val="30"/>
            </w:rPr>
            <w:t xml:space="preserve">三、 </w:t>
          </w:r>
          <w:r>
            <w:rPr>
              <w:rFonts w:hint="eastAsia" w:ascii="黑体" w:hAnsi="黑体" w:eastAsia="黑体" w:cs="黑体"/>
              <w:szCs w:val="30"/>
              <w:lang w:val="en-US" w:eastAsia="zh-CN"/>
            </w:rPr>
            <w:t>模型建立与评估</w:t>
          </w:r>
          <w:r>
            <w:tab/>
          </w:r>
          <w:r>
            <w:fldChar w:fldCharType="begin"/>
          </w:r>
          <w:r>
            <w:instrText xml:space="preserve"> PAGEREF _Toc21796 \h </w:instrText>
          </w:r>
          <w:r>
            <w:fldChar w:fldCharType="separate"/>
          </w:r>
          <w:r>
            <w:t>17</w:t>
          </w:r>
          <w:r>
            <w:fldChar w:fldCharType="end"/>
          </w:r>
          <w:r>
            <w:rPr>
              <w:rFonts w:ascii="Cambria Math" w:hAnsi="Cambria Math" w:eastAsia="仿宋_GB2312" w:cs="黑体"/>
              <w:i/>
              <w:color w:val="191A24"/>
              <w:kern w:val="0"/>
              <w:szCs w:val="24"/>
              <w:lang w:val="en-US" w:eastAsia="zh-CN" w:bidi="ar-SA"/>
            </w:rPr>
            <w:fldChar w:fldCharType="end"/>
          </w:r>
        </w:p>
        <w:p w14:paraId="621A6ABA">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_Toc3085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rPr>
            <w:t>（一）</w:t>
          </w:r>
          <w:r>
            <w:rPr>
              <w:rFonts w:hint="eastAsia" w:ascii="楷体" w:hAnsi="楷体" w:eastAsia="楷体" w:cs="楷体"/>
              <w:bCs/>
              <w:szCs w:val="28"/>
              <w:lang w:val="en-US" w:eastAsia="zh-CN"/>
            </w:rPr>
            <w:t>随机森林模型构建与分析</w:t>
          </w:r>
          <w:r>
            <w:tab/>
          </w:r>
          <w:r>
            <w:fldChar w:fldCharType="begin"/>
          </w:r>
          <w:r>
            <w:instrText xml:space="preserve"> PAGEREF _Toc3085 \h </w:instrText>
          </w:r>
          <w:r>
            <w:fldChar w:fldCharType="separate"/>
          </w:r>
          <w:r>
            <w:t>17</w:t>
          </w:r>
          <w:r>
            <w:fldChar w:fldCharType="end"/>
          </w:r>
          <w:r>
            <w:rPr>
              <w:rFonts w:ascii="Cambria Math" w:hAnsi="Cambria Math" w:eastAsia="仿宋_GB2312" w:cs="黑体"/>
              <w:i/>
              <w:color w:val="191A24"/>
              <w:kern w:val="0"/>
              <w:szCs w:val="24"/>
              <w:lang w:val="en-US" w:eastAsia="zh-CN" w:bidi="ar-SA"/>
            </w:rPr>
            <w:fldChar w:fldCharType="end"/>
          </w:r>
        </w:p>
        <w:p w14:paraId="2191C3F3">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_Toc986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lang w:val="en-US" w:eastAsia="zh-CN"/>
            </w:rPr>
            <w:t>（二） 逻辑回归模型构建与分析</w:t>
          </w:r>
          <w:r>
            <w:tab/>
          </w:r>
          <w:r>
            <w:fldChar w:fldCharType="begin"/>
          </w:r>
          <w:r>
            <w:instrText xml:space="preserve"> PAGEREF _Toc986 \h </w:instrText>
          </w:r>
          <w:r>
            <w:fldChar w:fldCharType="separate"/>
          </w:r>
          <w:r>
            <w:t>19</w:t>
          </w:r>
          <w:r>
            <w:fldChar w:fldCharType="end"/>
          </w:r>
          <w:r>
            <w:rPr>
              <w:rFonts w:ascii="Cambria Math" w:hAnsi="Cambria Math" w:eastAsia="仿宋_GB2312" w:cs="黑体"/>
              <w:i/>
              <w:color w:val="191A24"/>
              <w:kern w:val="0"/>
              <w:szCs w:val="24"/>
              <w:lang w:val="en-US" w:eastAsia="zh-CN" w:bidi="ar-SA"/>
            </w:rPr>
            <w:fldChar w:fldCharType="end"/>
          </w:r>
        </w:p>
        <w:p w14:paraId="2420E38E">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_Toc908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rPr>
            <w:t>（</w:t>
          </w:r>
          <w:r>
            <w:rPr>
              <w:rFonts w:hint="eastAsia" w:ascii="楷体" w:hAnsi="楷体" w:eastAsia="楷体" w:cs="楷体"/>
              <w:bCs/>
              <w:szCs w:val="28"/>
              <w:lang w:val="en-US" w:eastAsia="zh-CN"/>
            </w:rPr>
            <w:t>三</w:t>
          </w:r>
          <w:r>
            <w:rPr>
              <w:rFonts w:hint="eastAsia" w:ascii="楷体" w:hAnsi="楷体" w:eastAsia="楷体" w:cs="楷体"/>
              <w:bCs/>
              <w:szCs w:val="28"/>
            </w:rPr>
            <w:t>）</w:t>
          </w:r>
          <w:r>
            <w:rPr>
              <w:rFonts w:hint="eastAsia" w:ascii="楷体" w:hAnsi="楷体" w:eastAsia="楷体" w:cs="楷体"/>
              <w:bCs/>
              <w:szCs w:val="28"/>
              <w:lang w:val="en-US" w:eastAsia="zh-CN"/>
            </w:rPr>
            <w:t>模型表现对比</w:t>
          </w:r>
          <w:r>
            <w:tab/>
          </w:r>
          <w:r>
            <w:fldChar w:fldCharType="begin"/>
          </w:r>
          <w:r>
            <w:instrText xml:space="preserve"> PAGEREF _Toc908 \h </w:instrText>
          </w:r>
          <w:r>
            <w:fldChar w:fldCharType="separate"/>
          </w:r>
          <w:r>
            <w:t>25</w:t>
          </w:r>
          <w:r>
            <w:fldChar w:fldCharType="end"/>
          </w:r>
          <w:r>
            <w:rPr>
              <w:rFonts w:ascii="Cambria Math" w:hAnsi="Cambria Math" w:eastAsia="仿宋_GB2312" w:cs="黑体"/>
              <w:i/>
              <w:color w:val="191A24"/>
              <w:kern w:val="0"/>
              <w:szCs w:val="24"/>
              <w:lang w:val="en-US" w:eastAsia="zh-CN" w:bidi="ar-SA"/>
            </w:rPr>
            <w:fldChar w:fldCharType="end"/>
          </w:r>
        </w:p>
        <w:p w14:paraId="5701D4B4">
          <w:pPr>
            <w:pStyle w:val="9"/>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_Toc22808 </w:instrText>
          </w:r>
          <w:r>
            <w:rPr>
              <w:rFonts w:ascii="Cambria Math" w:hAnsi="Cambria Math" w:eastAsia="仿宋_GB2312" w:cs="黑体"/>
              <w:i/>
              <w:kern w:val="0"/>
              <w:szCs w:val="24"/>
              <w:lang w:val="en-US" w:eastAsia="zh-CN" w:bidi="ar-SA"/>
            </w:rPr>
            <w:fldChar w:fldCharType="separate"/>
          </w:r>
          <w:r>
            <w:rPr>
              <w:rFonts w:hint="eastAsia" w:ascii="黑体" w:hAnsi="黑体" w:eastAsia="黑体" w:cs="黑体"/>
              <w:szCs w:val="30"/>
              <w:lang w:val="en-US" w:eastAsia="zh-CN"/>
            </w:rPr>
            <w:t>四、 美国糖尿病现状数据分析</w:t>
          </w:r>
          <w:r>
            <w:tab/>
          </w:r>
          <w:r>
            <w:fldChar w:fldCharType="begin"/>
          </w:r>
          <w:r>
            <w:instrText xml:space="preserve"> PAGEREF _Toc22808 \h </w:instrText>
          </w:r>
          <w:r>
            <w:fldChar w:fldCharType="separate"/>
          </w:r>
          <w:r>
            <w:t>27</w:t>
          </w:r>
          <w:r>
            <w:fldChar w:fldCharType="end"/>
          </w:r>
          <w:r>
            <w:rPr>
              <w:rFonts w:ascii="Cambria Math" w:hAnsi="Cambria Math" w:eastAsia="仿宋_GB2312" w:cs="黑体"/>
              <w:i/>
              <w:color w:val="191A24"/>
              <w:kern w:val="0"/>
              <w:szCs w:val="24"/>
              <w:lang w:val="en-US" w:eastAsia="zh-CN" w:bidi="ar-SA"/>
            </w:rPr>
            <w:fldChar w:fldCharType="end"/>
          </w:r>
        </w:p>
        <w:p w14:paraId="34E16EAB">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_Toc31932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lang w:val="en-US" w:eastAsia="zh-CN"/>
            </w:rPr>
            <w:t>（一） 数据来源</w:t>
          </w:r>
          <w:r>
            <w:tab/>
          </w:r>
          <w:r>
            <w:fldChar w:fldCharType="begin"/>
          </w:r>
          <w:r>
            <w:instrText xml:space="preserve"> PAGEREF _Toc31932 \h </w:instrText>
          </w:r>
          <w:r>
            <w:fldChar w:fldCharType="separate"/>
          </w:r>
          <w:r>
            <w:t>27</w:t>
          </w:r>
          <w:r>
            <w:fldChar w:fldCharType="end"/>
          </w:r>
          <w:r>
            <w:rPr>
              <w:rFonts w:ascii="Cambria Math" w:hAnsi="Cambria Math" w:eastAsia="仿宋_GB2312" w:cs="黑体"/>
              <w:i/>
              <w:color w:val="191A24"/>
              <w:kern w:val="0"/>
              <w:szCs w:val="24"/>
              <w:lang w:val="en-US" w:eastAsia="zh-CN" w:bidi="ar-SA"/>
            </w:rPr>
            <w:fldChar w:fldCharType="end"/>
          </w:r>
        </w:p>
        <w:p w14:paraId="3114EEF2">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_Toc32361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lang w:val="en-US" w:eastAsia="zh-CN"/>
            </w:rPr>
            <w:t>（二） 数据预处理</w:t>
          </w:r>
          <w:r>
            <w:tab/>
          </w:r>
          <w:r>
            <w:fldChar w:fldCharType="begin"/>
          </w:r>
          <w:r>
            <w:instrText xml:space="preserve"> PAGEREF _Toc32361 \h </w:instrText>
          </w:r>
          <w:r>
            <w:fldChar w:fldCharType="separate"/>
          </w:r>
          <w:r>
            <w:t>27</w:t>
          </w:r>
          <w:r>
            <w:fldChar w:fldCharType="end"/>
          </w:r>
          <w:r>
            <w:rPr>
              <w:rFonts w:ascii="Cambria Math" w:hAnsi="Cambria Math" w:eastAsia="仿宋_GB2312" w:cs="黑体"/>
              <w:i/>
              <w:color w:val="191A24"/>
              <w:kern w:val="0"/>
              <w:szCs w:val="24"/>
              <w:lang w:val="en-US" w:eastAsia="zh-CN" w:bidi="ar-SA"/>
            </w:rPr>
            <w:fldChar w:fldCharType="end"/>
          </w:r>
        </w:p>
        <w:p w14:paraId="7445B566">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_Toc26439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lang w:val="en-US" w:eastAsia="zh-CN"/>
            </w:rPr>
            <w:t>（三） 患病率总体趋势分析</w:t>
          </w:r>
          <w:r>
            <w:tab/>
          </w:r>
          <w:r>
            <w:fldChar w:fldCharType="begin"/>
          </w:r>
          <w:r>
            <w:instrText xml:space="preserve"> PAGEREF _Toc26439 \h </w:instrText>
          </w:r>
          <w:r>
            <w:fldChar w:fldCharType="separate"/>
          </w:r>
          <w:r>
            <w:t>28</w:t>
          </w:r>
          <w:r>
            <w:fldChar w:fldCharType="end"/>
          </w:r>
          <w:r>
            <w:rPr>
              <w:rFonts w:ascii="Cambria Math" w:hAnsi="Cambria Math" w:eastAsia="仿宋_GB2312" w:cs="黑体"/>
              <w:i/>
              <w:color w:val="191A24"/>
              <w:kern w:val="0"/>
              <w:szCs w:val="24"/>
              <w:lang w:val="en-US" w:eastAsia="zh-CN" w:bidi="ar-SA"/>
            </w:rPr>
            <w:fldChar w:fldCharType="end"/>
          </w:r>
        </w:p>
        <w:p w14:paraId="4436515D">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_Toc2031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lang w:val="en-US" w:eastAsia="zh-CN"/>
            </w:rPr>
            <w:t>（四） 各地区患病情况对比</w:t>
          </w:r>
          <w:r>
            <w:tab/>
          </w:r>
          <w:r>
            <w:fldChar w:fldCharType="begin"/>
          </w:r>
          <w:r>
            <w:instrText xml:space="preserve"> PAGEREF _Toc2031 \h </w:instrText>
          </w:r>
          <w:r>
            <w:fldChar w:fldCharType="separate"/>
          </w:r>
          <w:r>
            <w:t>29</w:t>
          </w:r>
          <w:r>
            <w:fldChar w:fldCharType="end"/>
          </w:r>
          <w:r>
            <w:rPr>
              <w:rFonts w:ascii="Cambria Math" w:hAnsi="Cambria Math" w:eastAsia="仿宋_GB2312" w:cs="黑体"/>
              <w:i/>
              <w:color w:val="191A24"/>
              <w:kern w:val="0"/>
              <w:szCs w:val="24"/>
              <w:lang w:val="en-US" w:eastAsia="zh-CN" w:bidi="ar-SA"/>
            </w:rPr>
            <w:fldChar w:fldCharType="end"/>
          </w:r>
        </w:p>
        <w:p w14:paraId="592DC860">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_Toc25950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lang w:val="en-US" w:eastAsia="zh-CN"/>
            </w:rPr>
            <w:t>（五） 与模型预测数据的交叉对比</w:t>
          </w:r>
          <w:r>
            <w:tab/>
          </w:r>
          <w:r>
            <w:fldChar w:fldCharType="begin"/>
          </w:r>
          <w:r>
            <w:instrText xml:space="preserve"> PAGEREF _Toc25950 \h </w:instrText>
          </w:r>
          <w:r>
            <w:fldChar w:fldCharType="separate"/>
          </w:r>
          <w:r>
            <w:t>30</w:t>
          </w:r>
          <w:r>
            <w:fldChar w:fldCharType="end"/>
          </w:r>
          <w:r>
            <w:rPr>
              <w:rFonts w:ascii="Cambria Math" w:hAnsi="Cambria Math" w:eastAsia="仿宋_GB2312" w:cs="黑体"/>
              <w:i/>
              <w:color w:val="191A24"/>
              <w:kern w:val="0"/>
              <w:szCs w:val="24"/>
              <w:lang w:val="en-US" w:eastAsia="zh-CN" w:bidi="ar-SA"/>
            </w:rPr>
            <w:fldChar w:fldCharType="end"/>
          </w:r>
        </w:p>
        <w:p w14:paraId="55537B2A">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_Toc23370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lang w:val="en-US" w:eastAsia="zh-CN"/>
            </w:rPr>
            <w:t>（六） 小结与现实启发</w:t>
          </w:r>
          <w:r>
            <w:tab/>
          </w:r>
          <w:r>
            <w:fldChar w:fldCharType="begin"/>
          </w:r>
          <w:r>
            <w:instrText xml:space="preserve"> PAGEREF _Toc23370 \h </w:instrText>
          </w:r>
          <w:r>
            <w:fldChar w:fldCharType="separate"/>
          </w:r>
          <w:r>
            <w:t>31</w:t>
          </w:r>
          <w:r>
            <w:fldChar w:fldCharType="end"/>
          </w:r>
          <w:r>
            <w:rPr>
              <w:rFonts w:ascii="Cambria Math" w:hAnsi="Cambria Math" w:eastAsia="仿宋_GB2312" w:cs="黑体"/>
              <w:i/>
              <w:color w:val="191A24"/>
              <w:kern w:val="0"/>
              <w:szCs w:val="24"/>
              <w:lang w:val="en-US" w:eastAsia="zh-CN" w:bidi="ar-SA"/>
            </w:rPr>
            <w:fldChar w:fldCharType="end"/>
          </w:r>
        </w:p>
        <w:p w14:paraId="088FE4DB">
          <w:pPr>
            <w:pStyle w:val="9"/>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_Toc10642 </w:instrText>
          </w:r>
          <w:r>
            <w:rPr>
              <w:rFonts w:ascii="Cambria Math" w:hAnsi="Cambria Math" w:eastAsia="仿宋_GB2312" w:cs="黑体"/>
              <w:i/>
              <w:kern w:val="0"/>
              <w:szCs w:val="24"/>
              <w:lang w:val="en-US" w:eastAsia="zh-CN" w:bidi="ar-SA"/>
            </w:rPr>
            <w:fldChar w:fldCharType="separate"/>
          </w:r>
          <w:r>
            <w:rPr>
              <w:rFonts w:hint="eastAsia" w:ascii="黑体" w:hAnsi="黑体" w:eastAsia="黑体" w:cs="黑体"/>
              <w:szCs w:val="30"/>
              <w:lang w:val="en-US" w:eastAsia="zh-CN"/>
            </w:rPr>
            <w:t>五、 结论与展望</w:t>
          </w:r>
          <w:r>
            <w:tab/>
          </w:r>
          <w:r>
            <w:fldChar w:fldCharType="begin"/>
          </w:r>
          <w:r>
            <w:instrText xml:space="preserve"> PAGEREF _Toc10642 \h </w:instrText>
          </w:r>
          <w:r>
            <w:fldChar w:fldCharType="separate"/>
          </w:r>
          <w:r>
            <w:t>33</w:t>
          </w:r>
          <w:r>
            <w:fldChar w:fldCharType="end"/>
          </w:r>
          <w:r>
            <w:rPr>
              <w:rFonts w:ascii="Cambria Math" w:hAnsi="Cambria Math" w:eastAsia="仿宋_GB2312" w:cs="黑体"/>
              <w:i/>
              <w:color w:val="191A24"/>
              <w:kern w:val="0"/>
              <w:szCs w:val="24"/>
              <w:lang w:val="en-US" w:eastAsia="zh-CN" w:bidi="ar-SA"/>
            </w:rPr>
            <w:fldChar w:fldCharType="end"/>
          </w:r>
        </w:p>
        <w:p w14:paraId="69922C97">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_Toc24200 </w:instrText>
          </w:r>
          <w:r>
            <w:rPr>
              <w:rFonts w:ascii="Cambria Math" w:hAnsi="Cambria Math" w:eastAsia="仿宋_GB2312" w:cs="黑体"/>
              <w:i/>
              <w:kern w:val="0"/>
              <w:szCs w:val="24"/>
              <w:lang w:val="en-US" w:eastAsia="zh-CN" w:bidi="ar-SA"/>
            </w:rPr>
            <w:fldChar w:fldCharType="separate"/>
          </w:r>
          <w:r>
            <w:rPr>
              <w:rFonts w:hint="eastAsia" w:ascii="楷体" w:hAnsi="楷体" w:eastAsia="楷体" w:cs="楷体"/>
              <w:bCs/>
              <w:szCs w:val="28"/>
              <w:lang w:val="en-US" w:eastAsia="zh-CN"/>
            </w:rPr>
            <w:t>（一）研究结论</w:t>
          </w:r>
          <w:r>
            <w:tab/>
          </w:r>
          <w:r>
            <w:fldChar w:fldCharType="begin"/>
          </w:r>
          <w:r>
            <w:instrText xml:space="preserve"> PAGEREF _Toc24200 \h </w:instrText>
          </w:r>
          <w:r>
            <w:fldChar w:fldCharType="separate"/>
          </w:r>
          <w:r>
            <w:t>33</w:t>
          </w:r>
          <w:r>
            <w:fldChar w:fldCharType="end"/>
          </w:r>
          <w:r>
            <w:rPr>
              <w:rFonts w:ascii="Cambria Math" w:hAnsi="Cambria Math" w:eastAsia="仿宋_GB2312" w:cs="黑体"/>
              <w:i/>
              <w:color w:val="191A24"/>
              <w:kern w:val="0"/>
              <w:szCs w:val="24"/>
              <w:lang w:val="en-US" w:eastAsia="zh-CN" w:bidi="ar-SA"/>
            </w:rPr>
            <w:fldChar w:fldCharType="end"/>
          </w:r>
        </w:p>
        <w:p w14:paraId="1C27448A">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_Toc4203 </w:instrText>
          </w:r>
          <w:r>
            <w:rPr>
              <w:rFonts w:ascii="Cambria Math" w:hAnsi="Cambria Math" w:eastAsia="仿宋_GB2312" w:cs="黑体"/>
              <w:i/>
              <w:kern w:val="0"/>
              <w:szCs w:val="24"/>
              <w:lang w:val="en-US" w:eastAsia="zh-CN" w:bidi="ar-SA"/>
            </w:rPr>
            <w:fldChar w:fldCharType="separate"/>
          </w:r>
          <w:r>
            <w:rPr>
              <w:rFonts w:hint="default" w:ascii="楷体" w:hAnsi="楷体" w:eastAsia="楷体" w:cs="楷体"/>
              <w:bCs/>
              <w:szCs w:val="28"/>
              <w:lang w:val="en-US" w:eastAsia="zh-CN"/>
            </w:rPr>
            <w:t>（二）方法学贡献</w:t>
          </w:r>
          <w:r>
            <w:tab/>
          </w:r>
          <w:r>
            <w:fldChar w:fldCharType="begin"/>
          </w:r>
          <w:r>
            <w:instrText xml:space="preserve"> PAGEREF _Toc4203 \h </w:instrText>
          </w:r>
          <w:r>
            <w:fldChar w:fldCharType="separate"/>
          </w:r>
          <w:r>
            <w:t>33</w:t>
          </w:r>
          <w:r>
            <w:fldChar w:fldCharType="end"/>
          </w:r>
          <w:r>
            <w:rPr>
              <w:rFonts w:ascii="Cambria Math" w:hAnsi="Cambria Math" w:eastAsia="仿宋_GB2312" w:cs="黑体"/>
              <w:i/>
              <w:color w:val="191A24"/>
              <w:kern w:val="0"/>
              <w:szCs w:val="24"/>
              <w:lang w:val="en-US" w:eastAsia="zh-CN" w:bidi="ar-SA"/>
            </w:rPr>
            <w:fldChar w:fldCharType="end"/>
          </w:r>
        </w:p>
        <w:p w14:paraId="504BE9F7">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_Toc14305 </w:instrText>
          </w:r>
          <w:r>
            <w:rPr>
              <w:rFonts w:ascii="Cambria Math" w:hAnsi="Cambria Math" w:eastAsia="仿宋_GB2312" w:cs="黑体"/>
              <w:i/>
              <w:kern w:val="0"/>
              <w:szCs w:val="24"/>
              <w:lang w:val="en-US" w:eastAsia="zh-CN" w:bidi="ar-SA"/>
            </w:rPr>
            <w:fldChar w:fldCharType="separate"/>
          </w:r>
          <w:r>
            <w:rPr>
              <w:rFonts w:hint="default" w:ascii="楷体" w:hAnsi="楷体" w:eastAsia="楷体" w:cs="楷体"/>
              <w:bCs/>
              <w:szCs w:val="28"/>
              <w:lang w:val="en-US" w:eastAsia="zh-CN"/>
            </w:rPr>
            <w:t>（三）局限性与不足</w:t>
          </w:r>
          <w:r>
            <w:tab/>
          </w:r>
          <w:r>
            <w:fldChar w:fldCharType="begin"/>
          </w:r>
          <w:r>
            <w:instrText xml:space="preserve"> PAGEREF _Toc14305 \h </w:instrText>
          </w:r>
          <w:r>
            <w:fldChar w:fldCharType="separate"/>
          </w:r>
          <w:r>
            <w:t>34</w:t>
          </w:r>
          <w:r>
            <w:fldChar w:fldCharType="end"/>
          </w:r>
          <w:r>
            <w:rPr>
              <w:rFonts w:ascii="Cambria Math" w:hAnsi="Cambria Math" w:eastAsia="仿宋_GB2312" w:cs="黑体"/>
              <w:i/>
              <w:color w:val="191A24"/>
              <w:kern w:val="0"/>
              <w:szCs w:val="24"/>
              <w:lang w:val="en-US" w:eastAsia="zh-CN" w:bidi="ar-SA"/>
            </w:rPr>
            <w:fldChar w:fldCharType="end"/>
          </w:r>
        </w:p>
        <w:p w14:paraId="28CD6B72">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_Toc15309 </w:instrText>
          </w:r>
          <w:r>
            <w:rPr>
              <w:rFonts w:ascii="Cambria Math" w:hAnsi="Cambria Math" w:eastAsia="仿宋_GB2312" w:cs="黑体"/>
              <w:i/>
              <w:kern w:val="0"/>
              <w:szCs w:val="24"/>
              <w:lang w:val="en-US" w:eastAsia="zh-CN" w:bidi="ar-SA"/>
            </w:rPr>
            <w:fldChar w:fldCharType="separate"/>
          </w:r>
          <w:r>
            <w:rPr>
              <w:rFonts w:hint="default" w:ascii="楷体" w:hAnsi="楷体" w:eastAsia="楷体" w:cs="楷体"/>
              <w:bCs/>
              <w:szCs w:val="28"/>
              <w:lang w:val="en-US" w:eastAsia="zh-CN"/>
            </w:rPr>
            <w:t>（四）应用前景与未来展望</w:t>
          </w:r>
          <w:r>
            <w:tab/>
          </w:r>
          <w:r>
            <w:fldChar w:fldCharType="begin"/>
          </w:r>
          <w:r>
            <w:instrText xml:space="preserve"> PAGEREF _Toc15309 \h </w:instrText>
          </w:r>
          <w:r>
            <w:fldChar w:fldCharType="separate"/>
          </w:r>
          <w:r>
            <w:t>34</w:t>
          </w:r>
          <w:r>
            <w:fldChar w:fldCharType="end"/>
          </w:r>
          <w:r>
            <w:rPr>
              <w:rFonts w:ascii="Cambria Math" w:hAnsi="Cambria Math" w:eastAsia="仿宋_GB2312" w:cs="黑体"/>
              <w:i/>
              <w:color w:val="191A24"/>
              <w:kern w:val="0"/>
              <w:szCs w:val="24"/>
              <w:lang w:val="en-US" w:eastAsia="zh-CN" w:bidi="ar-SA"/>
            </w:rPr>
            <w:fldChar w:fldCharType="end"/>
          </w:r>
        </w:p>
        <w:p w14:paraId="26F8CBBE">
          <w:pPr>
            <w:pStyle w:val="10"/>
            <w:tabs>
              <w:tab w:val="right" w:leader="dot" w:pos="8306"/>
            </w:tabs>
          </w:pPr>
          <w:r>
            <w:rPr>
              <w:rFonts w:ascii="Cambria Math" w:hAnsi="Cambria Math" w:eastAsia="仿宋_GB2312" w:cs="黑体"/>
              <w:i/>
              <w:color w:val="191A24"/>
              <w:kern w:val="0"/>
              <w:szCs w:val="24"/>
              <w:lang w:val="en-US" w:eastAsia="zh-CN" w:bidi="ar-SA"/>
            </w:rPr>
            <w:fldChar w:fldCharType="begin"/>
          </w:r>
          <w:r>
            <w:rPr>
              <w:rFonts w:ascii="Cambria Math" w:hAnsi="Cambria Math" w:eastAsia="仿宋_GB2312" w:cs="黑体"/>
              <w:i/>
              <w:kern w:val="0"/>
              <w:szCs w:val="24"/>
              <w:lang w:val="en-US" w:eastAsia="zh-CN" w:bidi="ar-SA"/>
            </w:rPr>
            <w:instrText xml:space="preserve"> HYPERLINK \l _Toc27662 </w:instrText>
          </w:r>
          <w:r>
            <w:rPr>
              <w:rFonts w:ascii="Cambria Math" w:hAnsi="Cambria Math" w:eastAsia="仿宋_GB2312" w:cs="黑体"/>
              <w:i/>
              <w:kern w:val="0"/>
              <w:szCs w:val="24"/>
              <w:lang w:val="en-US" w:eastAsia="zh-CN" w:bidi="ar-SA"/>
            </w:rPr>
            <w:fldChar w:fldCharType="separate"/>
          </w:r>
          <w:r>
            <w:rPr>
              <w:rFonts w:hint="default" w:ascii="楷体" w:hAnsi="楷体" w:eastAsia="楷体" w:cs="楷体"/>
              <w:bCs/>
              <w:szCs w:val="28"/>
              <w:lang w:val="en-US" w:eastAsia="zh-CN"/>
            </w:rPr>
            <w:t>（五）总结</w:t>
          </w:r>
          <w:r>
            <w:tab/>
          </w:r>
          <w:r>
            <w:fldChar w:fldCharType="begin"/>
          </w:r>
          <w:r>
            <w:instrText xml:space="preserve"> PAGEREF _Toc27662 \h </w:instrText>
          </w:r>
          <w:r>
            <w:fldChar w:fldCharType="separate"/>
          </w:r>
          <w:r>
            <w:t>35</w:t>
          </w:r>
          <w:r>
            <w:fldChar w:fldCharType="end"/>
          </w:r>
          <w:r>
            <w:rPr>
              <w:rFonts w:ascii="Cambria Math" w:hAnsi="Cambria Math" w:eastAsia="仿宋_GB2312" w:cs="黑体"/>
              <w:i/>
              <w:color w:val="191A24"/>
              <w:kern w:val="0"/>
              <w:szCs w:val="24"/>
              <w:lang w:val="en-US" w:eastAsia="zh-CN" w:bidi="ar-SA"/>
            </w:rPr>
            <w:fldChar w:fldCharType="end"/>
          </w:r>
        </w:p>
        <w:p w14:paraId="4694DAD1">
          <w:pPr>
            <w:pStyle w:val="2"/>
            <w:rPr>
              <w:rFonts w:ascii="Cambria Math" w:hAnsi="Cambria Math" w:eastAsia="仿宋_GB2312" w:cs="黑体"/>
              <w:i/>
              <w:color w:val="191A24"/>
              <w:kern w:val="0"/>
              <w:sz w:val="24"/>
              <w:szCs w:val="24"/>
              <w:lang w:val="en-US" w:eastAsia="zh-CN" w:bidi="ar-SA"/>
            </w:rPr>
          </w:pPr>
          <w:r>
            <w:rPr>
              <w:rFonts w:ascii="Cambria Math" w:hAnsi="Cambria Math" w:eastAsia="仿宋_GB2312" w:cs="黑体"/>
              <w:i/>
              <w:color w:val="191A24"/>
              <w:kern w:val="0"/>
              <w:szCs w:val="24"/>
              <w:lang w:val="en-US" w:eastAsia="zh-CN" w:bidi="ar-SA"/>
            </w:rPr>
            <w:fldChar w:fldCharType="end"/>
          </w:r>
        </w:p>
      </w:sdtContent>
    </w:sdt>
    <w:p w14:paraId="6879FEF3">
      <w:pPr>
        <w:pStyle w:val="2"/>
        <w:rPr>
          <w:rFonts w:ascii="Cambria Math" w:hAnsi="Cambria Math" w:eastAsia="仿宋_GB2312" w:cs="黑体"/>
          <w:i/>
          <w:color w:val="191A24"/>
          <w:kern w:val="0"/>
          <w:sz w:val="24"/>
          <w:szCs w:val="24"/>
          <w:lang w:val="en-US" w:eastAsia="zh-CN" w:bidi="ar-SA"/>
        </w:rPr>
      </w:pPr>
    </w:p>
    <w:p w14:paraId="131835C2">
      <w:pPr>
        <w:pStyle w:val="2"/>
        <w:rPr>
          <w:rFonts w:ascii="Cambria Math" w:hAnsi="Cambria Math" w:eastAsia="仿宋_GB2312" w:cs="黑体"/>
          <w:i/>
          <w:color w:val="191A24"/>
          <w:kern w:val="0"/>
          <w:sz w:val="24"/>
          <w:szCs w:val="24"/>
          <w:lang w:val="en-US" w:eastAsia="zh-CN" w:bidi="ar-SA"/>
        </w:rPr>
      </w:pPr>
    </w:p>
    <w:p w14:paraId="76FAB253">
      <w:pPr>
        <w:pStyle w:val="2"/>
        <w:rPr>
          <w:rFonts w:ascii="Cambria Math" w:hAnsi="Cambria Math" w:eastAsia="仿宋_GB2312" w:cs="黑体"/>
          <w:i/>
          <w:color w:val="191A24"/>
          <w:kern w:val="0"/>
          <w:sz w:val="24"/>
          <w:szCs w:val="24"/>
          <w:lang w:val="en-US" w:eastAsia="zh-CN" w:bidi="ar-SA"/>
        </w:rPr>
      </w:pPr>
    </w:p>
    <w:p w14:paraId="7D52FDFE">
      <w:pPr>
        <w:pStyle w:val="2"/>
        <w:rPr>
          <w:rFonts w:ascii="Cambria Math" w:hAnsi="Cambria Math" w:eastAsia="仿宋_GB2312" w:cs="黑体"/>
          <w:i/>
          <w:color w:val="191A24"/>
          <w:kern w:val="0"/>
          <w:sz w:val="24"/>
          <w:szCs w:val="24"/>
          <w:lang w:val="en-US" w:eastAsia="zh-CN" w:bidi="ar-SA"/>
        </w:rPr>
      </w:pPr>
    </w:p>
    <w:p w14:paraId="1D68B76A">
      <w:pPr>
        <w:pStyle w:val="2"/>
        <w:rPr>
          <w:rFonts w:ascii="Cambria Math" w:hAnsi="Cambria Math" w:eastAsia="仿宋_GB2312" w:cs="黑体"/>
          <w:i/>
          <w:color w:val="191A24"/>
          <w:kern w:val="0"/>
          <w:sz w:val="24"/>
          <w:szCs w:val="24"/>
          <w:lang w:val="en-US" w:eastAsia="zh-CN" w:bidi="ar-SA"/>
        </w:rPr>
      </w:pPr>
    </w:p>
    <w:p w14:paraId="28A166C7">
      <w:pPr>
        <w:pStyle w:val="2"/>
        <w:rPr>
          <w:rFonts w:ascii="Cambria Math" w:hAnsi="Cambria Math" w:eastAsia="仿宋_GB2312" w:cs="黑体"/>
          <w:i/>
          <w:color w:val="191A24"/>
          <w:kern w:val="0"/>
          <w:sz w:val="24"/>
          <w:szCs w:val="24"/>
          <w:lang w:val="en-US" w:eastAsia="zh-CN" w:bidi="ar-SA"/>
        </w:rPr>
      </w:pPr>
    </w:p>
    <w:p w14:paraId="3D8CD195">
      <w:pPr>
        <w:pStyle w:val="2"/>
        <w:rPr>
          <w:rFonts w:ascii="Cambria Math" w:hAnsi="Cambria Math" w:eastAsia="仿宋_GB2312" w:cs="黑体"/>
          <w:i/>
          <w:color w:val="191A24"/>
          <w:kern w:val="0"/>
          <w:sz w:val="24"/>
          <w:szCs w:val="24"/>
          <w:lang w:val="en-US" w:eastAsia="zh-CN" w:bidi="ar-SA"/>
        </w:rPr>
      </w:pPr>
    </w:p>
    <w:p w14:paraId="6D90935D">
      <w:pPr>
        <w:pStyle w:val="2"/>
        <w:rPr>
          <w:rFonts w:ascii="Cambria Math" w:hAnsi="Cambria Math" w:eastAsia="仿宋_GB2312" w:cs="黑体"/>
          <w:i/>
          <w:color w:val="191A24"/>
          <w:kern w:val="0"/>
          <w:sz w:val="24"/>
          <w:szCs w:val="24"/>
          <w:lang w:val="en-US" w:eastAsia="zh-CN" w:bidi="ar-SA"/>
        </w:rPr>
      </w:pPr>
    </w:p>
    <w:p w14:paraId="0ECE3949">
      <w:pPr>
        <w:pStyle w:val="2"/>
        <w:rPr>
          <w:rFonts w:ascii="Cambria Math" w:hAnsi="Cambria Math" w:eastAsia="仿宋_GB2312" w:cs="黑体"/>
          <w:i/>
          <w:color w:val="191A24"/>
          <w:kern w:val="0"/>
          <w:sz w:val="24"/>
          <w:szCs w:val="24"/>
          <w:lang w:val="en-US" w:eastAsia="zh-CN" w:bidi="ar-SA"/>
        </w:rPr>
      </w:pPr>
    </w:p>
    <w:p w14:paraId="0A585452">
      <w:pPr>
        <w:pStyle w:val="2"/>
        <w:rPr>
          <w:rFonts w:ascii="Cambria Math" w:hAnsi="Cambria Math" w:eastAsia="仿宋_GB2312" w:cs="黑体"/>
          <w:i/>
          <w:color w:val="191A24"/>
          <w:kern w:val="0"/>
          <w:sz w:val="24"/>
          <w:szCs w:val="24"/>
          <w:lang w:val="en-US" w:eastAsia="zh-CN" w:bidi="ar-SA"/>
        </w:rPr>
      </w:pPr>
    </w:p>
    <w:p w14:paraId="5B5E7192">
      <w:pPr>
        <w:pStyle w:val="2"/>
        <w:rPr>
          <w:rFonts w:ascii="Cambria Math" w:hAnsi="Cambria Math" w:eastAsia="仿宋_GB2312" w:cs="黑体"/>
          <w:i/>
          <w:color w:val="191A24"/>
          <w:kern w:val="0"/>
          <w:sz w:val="24"/>
          <w:szCs w:val="24"/>
          <w:lang w:val="en-US" w:eastAsia="zh-CN" w:bidi="ar-SA"/>
        </w:rPr>
      </w:pPr>
    </w:p>
    <w:p w14:paraId="3ECC2867">
      <w:pPr>
        <w:pStyle w:val="3"/>
        <w:spacing w:beforeAutospacing="0" w:afterAutospacing="0" w:line="480" w:lineRule="exact"/>
        <w:rPr>
          <w:rFonts w:hint="default" w:ascii="黑体" w:hAnsi="黑体" w:eastAsia="黑体" w:cs="黑体"/>
          <w:b w:val="0"/>
          <w:bCs w:val="0"/>
          <w:sz w:val="30"/>
          <w:szCs w:val="30"/>
        </w:rPr>
      </w:pPr>
      <w:bookmarkStart w:id="3" w:name="_Toc12400"/>
      <w:r>
        <w:rPr>
          <w:rFonts w:ascii="黑体" w:hAnsi="黑体" w:eastAsia="黑体" w:cs="黑体"/>
          <w:b w:val="0"/>
          <w:bCs w:val="0"/>
          <w:sz w:val="30"/>
          <w:szCs w:val="30"/>
        </w:rPr>
        <w:t>一、引言</w:t>
      </w:r>
      <w:bookmarkEnd w:id="3"/>
    </w:p>
    <w:p w14:paraId="05B5F2DD">
      <w:pPr>
        <w:pStyle w:val="4"/>
        <w:spacing w:before="0" w:after="0" w:line="480" w:lineRule="exact"/>
        <w:ind w:firstLine="560"/>
        <w:rPr>
          <w:rFonts w:hint="eastAsia"/>
        </w:rPr>
      </w:pPr>
      <w:bookmarkStart w:id="4" w:name="_Toc166536402"/>
      <w:bookmarkStart w:id="5" w:name="_Toc12199"/>
      <w:r>
        <w:rPr>
          <w:rFonts w:hint="eastAsia" w:ascii="楷体" w:hAnsi="楷体" w:eastAsia="楷体" w:cs="楷体"/>
          <w:b w:val="0"/>
          <w:bCs/>
          <w:sz w:val="28"/>
          <w:szCs w:val="28"/>
        </w:rPr>
        <w:t>（一）</w:t>
      </w:r>
      <w:bookmarkEnd w:id="4"/>
      <w:r>
        <w:rPr>
          <w:rFonts w:hint="eastAsia" w:ascii="楷体" w:hAnsi="楷体" w:eastAsia="楷体" w:cs="楷体"/>
          <w:b w:val="0"/>
          <w:bCs/>
          <w:sz w:val="28"/>
          <w:szCs w:val="28"/>
        </w:rPr>
        <w:t>糖尿病背景介绍</w:t>
      </w:r>
      <w:bookmarkEnd w:id="5"/>
    </w:p>
    <w:p w14:paraId="5BEAA24B">
      <w:pPr>
        <w:spacing w:line="48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糖尿病是一项全球健康挑战，2021 年影响了 5.29 亿人，预计到 2050 年将影响全球 1310 亿人。中国是世界上糖尿病人口最多的国家，有超过1.18亿糖尿病患者，约占全球糖尿病总数的22%。1然而，1980年中国糖尿病患病率一度低于1%。2自1970年代国家历史性改革以来，中国经济取得了巨大的增长。随着中国从低收入国家转变为中高收入国家，在现代化和人口老龄化的推动下，环境、生活方式和医疗保健的重大转变导致了中国人口糖尿病的快速增长。</w:t>
      </w:r>
    </w:p>
    <w:p w14:paraId="78EF9921">
      <w:pPr>
        <w:pStyle w:val="4"/>
        <w:numPr>
          <w:ilvl w:val="0"/>
          <w:numId w:val="1"/>
        </w:numPr>
        <w:spacing w:before="0" w:after="0" w:line="480" w:lineRule="exact"/>
        <w:ind w:firstLine="560"/>
        <w:rPr>
          <w:rFonts w:hint="eastAsia" w:ascii="楷体" w:hAnsi="楷体" w:eastAsia="楷体" w:cs="楷体"/>
          <w:b w:val="0"/>
          <w:bCs/>
          <w:sz w:val="28"/>
          <w:szCs w:val="28"/>
        </w:rPr>
      </w:pPr>
      <w:bookmarkStart w:id="6" w:name="_Toc4108"/>
      <w:r>
        <w:rPr>
          <w:rFonts w:hint="eastAsia" w:ascii="楷体" w:hAnsi="楷体" w:eastAsia="楷体" w:cs="楷体"/>
          <w:b w:val="0"/>
          <w:bCs/>
          <w:sz w:val="28"/>
          <w:szCs w:val="28"/>
        </w:rPr>
        <w:t>研究目的</w:t>
      </w:r>
      <w:bookmarkEnd w:id="6"/>
    </w:p>
    <w:p w14:paraId="079E0CBC">
      <w:pPr>
        <w:spacing w:line="48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随着糖尿病发病率的持续上升，尤其在发展中国家中对公共卫生系统造成显著压力，如何有效预测和早期干预糖尿病已成为医学与数据科学交叉研究的重要方向。传统医疗诊断手段存在成本高、周期长等问题，因此基于机器学习的预测模型日益受到关注。</w:t>
      </w:r>
    </w:p>
    <w:p w14:paraId="6EA5E983">
      <w:pPr>
        <w:spacing w:line="48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本文旨在基于真实公开医疗数据，比较逻辑回归与随机森林两种经典分类算法在糖尿病预测任务中的建模表现，通过对模型的特征选择、训练效果、参数优化与泛化能力等方面进行系统分析，以期为糖尿病的智能预测提供一种可行的数据驱动方法论，同时探索不同算法在医疗场景中的适用性差异。</w:t>
      </w:r>
    </w:p>
    <w:p w14:paraId="08D6C150">
      <w:pPr>
        <w:pStyle w:val="4"/>
        <w:numPr>
          <w:ilvl w:val="0"/>
          <w:numId w:val="1"/>
        </w:numPr>
        <w:spacing w:before="0" w:after="0" w:line="480" w:lineRule="exact"/>
        <w:ind w:firstLine="560"/>
        <w:rPr>
          <w:rFonts w:hint="default" w:ascii="宋体" w:hAnsi="宋体" w:eastAsia="宋体" w:cs="宋体"/>
          <w:sz w:val="24"/>
          <w:szCs w:val="24"/>
          <w:lang w:val="en-US" w:eastAsia="zh-CN"/>
        </w:rPr>
      </w:pPr>
      <w:bookmarkStart w:id="7" w:name="_Toc13172"/>
      <w:r>
        <w:rPr>
          <w:rFonts w:hint="default" w:ascii="楷体" w:hAnsi="楷体" w:eastAsia="楷体" w:cs="楷体"/>
          <w:b w:val="0"/>
          <w:bCs/>
          <w:sz w:val="28"/>
          <w:szCs w:val="28"/>
          <w:lang w:val="en-US" w:eastAsia="zh-CN"/>
        </w:rPr>
        <w:t>数据来源说明</w:t>
      </w:r>
      <w:bookmarkEnd w:id="7"/>
    </w:p>
    <w:p w14:paraId="507E6381">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本研究所用数据集为公开医疗数据集，名为《Diabetes Prediction Dataset》，</w:t>
      </w:r>
      <w:r>
        <w:rPr>
          <w:rFonts w:hint="eastAsia" w:ascii="宋体" w:hAnsi="宋体" w:eastAsia="宋体" w:cs="宋体"/>
          <w:sz w:val="24"/>
          <w:szCs w:val="24"/>
          <w:lang w:val="en-US" w:eastAsia="zh-CN"/>
        </w:rPr>
        <w:t>来源于</w:t>
      </w:r>
      <w:r>
        <w:rPr>
          <w:rFonts w:hint="default" w:ascii="宋体" w:hAnsi="宋体" w:eastAsia="宋体" w:cs="宋体"/>
          <w:sz w:val="24"/>
          <w:szCs w:val="24"/>
          <w:lang w:val="en-US" w:eastAsia="zh-CN"/>
        </w:rPr>
        <w:t>数据科学平台 Kaggle（链接：https://www.kaggle.com/datasets/iammustafatz/diabetes-prediction-dataset）。该数据集由Mohammed Mustafa上传发布，包含 100,000 条关于糖尿病相关因素的个人健康记录，字段涵盖性别、年龄、是否患有高血压、心脏病史、</w:t>
      </w:r>
      <w:r>
        <w:rPr>
          <w:rFonts w:hint="eastAsia" w:ascii="宋体" w:hAnsi="宋体" w:eastAsia="宋体" w:cs="宋体"/>
          <w:sz w:val="24"/>
          <w:szCs w:val="24"/>
          <w:lang w:val="en-US" w:eastAsia="zh-CN"/>
        </w:rPr>
        <w:t>吸烟史</w:t>
      </w:r>
      <w:r>
        <w:rPr>
          <w:rFonts w:hint="default" w:ascii="宋体" w:hAnsi="宋体" w:eastAsia="宋体" w:cs="宋体"/>
          <w:sz w:val="24"/>
          <w:szCs w:val="24"/>
          <w:lang w:val="en-US" w:eastAsia="zh-CN"/>
        </w:rPr>
        <w:t>、BMI（身体质量指数）、糖化血红蛋白（HbA1c）水平、血糖水平（血糖值）以及是否患有糖尿病（作为标签字段）。各特征经过预处理，数据结构完整，无明显缺失值，适合用于分类模型的训练与分析。</w:t>
      </w:r>
    </w:p>
    <w:p w14:paraId="1676D563">
      <w:pPr>
        <w:spacing w:line="48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该数据集可用于构建机器学习模型，根据患者的病史和人口统计信息预测患者的糖尿病。这对于医疗保健专业人员识别可能有患糖尿病风险的患者和制定个性化治疗计划非常有用。此外，研究人员还可以使用该数据集来探索各种医学和人口因素之间的关系以及患糖尿病的可能性。</w:t>
      </w:r>
    </w:p>
    <w:p w14:paraId="77B419E8">
      <w:pPr>
        <w:spacing w:line="480" w:lineRule="exact"/>
        <w:ind w:firstLine="480" w:firstLineChars="20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选择该数据集的原因在于其具备如下优势：一是样本量充足，包含10万条个人健康记录，可满足机器学习建模对数据量的基本要求，增强模型的泛化能力；二是特征维度合理，既包含结构化的数值型特征（如 BMI、HbA1c、血糖水平等），也涵盖二分类变量（如性别、高血压、心脏病史等），适合对比不同算法在多类型特征下的表现；三是标签字段（是否患有糖尿病）为清晰的二分类任务，便于模型训练与评价。此外，数据整体缺失率极低，预处理成本较小，能将更多精力集中于模型构建与性能优化上。因此，该数据集具备良好的研究基础与实用性，适合作为本研究的主要分析对象</w:t>
      </w:r>
      <w:r>
        <w:rPr>
          <w:rFonts w:hint="eastAsia" w:ascii="宋体" w:hAnsi="宋体" w:eastAsia="宋体" w:cs="宋体"/>
          <w:sz w:val="24"/>
          <w:szCs w:val="24"/>
          <w:lang w:val="en-US" w:eastAsia="zh-CN"/>
        </w:rPr>
        <w:t>。</w:t>
      </w:r>
    </w:p>
    <w:p w14:paraId="667E5224">
      <w:pPr>
        <w:pStyle w:val="2"/>
        <w:rPr>
          <w:rFonts w:hint="eastAsia"/>
          <w:lang w:val="en-US" w:eastAsia="zh-CN"/>
        </w:rPr>
      </w:pPr>
    </w:p>
    <w:p w14:paraId="0307EB2C">
      <w:pPr>
        <w:pStyle w:val="2"/>
        <w:ind w:left="0" w:leftChars="0" w:firstLine="0" w:firstLineChars="0"/>
        <w:jc w:val="center"/>
      </w:pPr>
      <w:r>
        <w:drawing>
          <wp:inline distT="0" distB="0" distL="114300" distR="114300">
            <wp:extent cx="5380355" cy="1238250"/>
            <wp:effectExtent l="0" t="0" r="444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380355" cy="1238250"/>
                    </a:xfrm>
                    <a:prstGeom prst="rect">
                      <a:avLst/>
                    </a:prstGeom>
                    <a:noFill/>
                    <a:ln>
                      <a:noFill/>
                    </a:ln>
                  </pic:spPr>
                </pic:pic>
              </a:graphicData>
            </a:graphic>
          </wp:inline>
        </w:drawing>
      </w:r>
    </w:p>
    <w:p w14:paraId="352FE359">
      <w:pPr>
        <w:pStyle w:val="6"/>
        <w:ind w:left="0" w:leftChars="0" w:firstLine="0" w:firstLineChars="0"/>
        <w:jc w:val="center"/>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数据一览表</w:t>
      </w:r>
    </w:p>
    <w:p w14:paraId="4C0EC6BD">
      <w:pPr>
        <w:rPr>
          <w:rFonts w:hint="default"/>
          <w:lang w:val="en-US" w:eastAsia="zh-CN"/>
        </w:rPr>
      </w:pPr>
    </w:p>
    <w:p w14:paraId="2AF88C66">
      <w:pPr>
        <w:pStyle w:val="3"/>
        <w:spacing w:beforeAutospacing="0" w:afterAutospacing="0" w:line="480" w:lineRule="exact"/>
        <w:jc w:val="both"/>
        <w:rPr>
          <w:rFonts w:hint="default" w:ascii="黑体" w:hAnsi="黑体" w:eastAsia="黑体" w:cs="黑体"/>
          <w:b w:val="0"/>
          <w:bCs w:val="0"/>
          <w:sz w:val="30"/>
          <w:szCs w:val="30"/>
          <w:lang w:val="en-US" w:eastAsia="zh-CN"/>
        </w:rPr>
      </w:pPr>
      <w:bookmarkStart w:id="8" w:name="_Toc166536404"/>
      <w:bookmarkStart w:id="9" w:name="_Toc8035"/>
      <w:r>
        <w:rPr>
          <w:rFonts w:ascii="黑体" w:hAnsi="黑体" w:eastAsia="黑体" w:cs="黑体"/>
          <w:b w:val="0"/>
          <w:bCs w:val="0"/>
          <w:sz w:val="30"/>
          <w:szCs w:val="30"/>
        </w:rPr>
        <w:t>二、数据预处理</w:t>
      </w:r>
      <w:bookmarkEnd w:id="8"/>
      <w:r>
        <w:rPr>
          <w:rFonts w:hint="eastAsia" w:ascii="黑体" w:hAnsi="黑体" w:eastAsia="黑体" w:cs="黑体"/>
          <w:b w:val="0"/>
          <w:bCs w:val="0"/>
          <w:sz w:val="30"/>
          <w:szCs w:val="30"/>
          <w:lang w:val="en-US" w:eastAsia="zh-CN"/>
        </w:rPr>
        <w:t>与特征工程</w:t>
      </w:r>
      <w:bookmarkEnd w:id="9"/>
    </w:p>
    <w:p w14:paraId="7E18D22D">
      <w:pPr>
        <w:pStyle w:val="4"/>
        <w:spacing w:before="0" w:after="0" w:line="480" w:lineRule="exact"/>
        <w:ind w:firstLine="560"/>
        <w:rPr>
          <w:rFonts w:hint="default" w:ascii="楷体" w:hAnsi="楷体" w:eastAsia="楷体" w:cs="楷体"/>
          <w:b w:val="0"/>
          <w:bCs/>
          <w:sz w:val="28"/>
          <w:szCs w:val="28"/>
          <w:lang w:val="en-US" w:eastAsia="zh-CN"/>
        </w:rPr>
      </w:pPr>
      <w:bookmarkStart w:id="10" w:name="_Toc166536405"/>
      <w:bookmarkStart w:id="11" w:name="_Toc11599"/>
      <w:r>
        <w:rPr>
          <w:rFonts w:hint="eastAsia" w:ascii="楷体" w:hAnsi="楷体" w:eastAsia="楷体" w:cs="楷体"/>
          <w:b w:val="0"/>
          <w:bCs/>
          <w:sz w:val="28"/>
          <w:szCs w:val="28"/>
        </w:rPr>
        <w:t>（一）</w:t>
      </w:r>
      <w:bookmarkEnd w:id="10"/>
      <w:r>
        <w:rPr>
          <w:rFonts w:hint="eastAsia" w:ascii="楷体" w:hAnsi="楷体" w:eastAsia="楷体" w:cs="楷体"/>
          <w:b w:val="0"/>
          <w:bCs/>
          <w:sz w:val="28"/>
          <w:szCs w:val="28"/>
          <w:lang w:val="en-US" w:eastAsia="zh-CN"/>
        </w:rPr>
        <w:t>清洗流程说明</w:t>
      </w:r>
      <w:bookmarkEnd w:id="11"/>
    </w:p>
    <w:p w14:paraId="5D23A990">
      <w:pPr>
        <w:spacing w:line="480" w:lineRule="exact"/>
        <w:ind w:firstLine="480" w:firstLineChars="20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在数据预处理过程中，首先对各字段进行了初步的探索性分析与清洗处理。</w:t>
      </w:r>
      <w:r>
        <w:rPr>
          <w:rFonts w:hint="eastAsia" w:ascii="宋体" w:hAnsi="宋体" w:eastAsia="宋体" w:cs="宋体"/>
          <w:sz w:val="24"/>
          <w:szCs w:val="24"/>
          <w:lang w:val="en-US" w:eastAsia="zh-CN"/>
        </w:rPr>
        <w:t>通过查看数据维度，缺失值，字段类型，字段分布等数据，为进一步数据分析做准备。</w:t>
      </w:r>
    </w:p>
    <w:p w14:paraId="407627BF">
      <w:pPr>
        <w:pStyle w:val="2"/>
        <w:rPr>
          <w:rFonts w:hint="eastAsia"/>
          <w:lang w:val="en-US" w:eastAsia="zh-CN"/>
        </w:rPr>
      </w:pPr>
    </w:p>
    <w:p w14:paraId="7AFE1007">
      <w:pPr>
        <w:pStyle w:val="2"/>
        <w:ind w:left="0" w:leftChars="0" w:firstLine="0" w:firstLineChars="0"/>
      </w:pPr>
      <w:r>
        <w:rPr>
          <w:rFonts w:hint="eastAsia"/>
          <w:lang w:val="en-US" w:eastAsia="zh-CN"/>
        </w:rPr>
        <w:t xml:space="preserve"> </w:t>
      </w:r>
      <w:r>
        <w:drawing>
          <wp:inline distT="0" distB="0" distL="114300" distR="114300">
            <wp:extent cx="1746250" cy="1873250"/>
            <wp:effectExtent l="0" t="0" r="635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1746250" cy="18732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20900" cy="1841500"/>
            <wp:effectExtent l="0" t="0" r="1270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2120900" cy="1841500"/>
                    </a:xfrm>
                    <a:prstGeom prst="rect">
                      <a:avLst/>
                    </a:prstGeom>
                    <a:noFill/>
                    <a:ln>
                      <a:noFill/>
                    </a:ln>
                  </pic:spPr>
                </pic:pic>
              </a:graphicData>
            </a:graphic>
          </wp:inline>
        </w:drawing>
      </w:r>
    </w:p>
    <w:p w14:paraId="7D6BE1D1">
      <w:pPr>
        <w:pStyle w:val="6"/>
        <w:ind w:left="0" w:leftChars="0" w:firstLine="800" w:firstLineChars="400"/>
        <w:jc w:val="left"/>
        <w:rPr>
          <w:rFonts w:hint="default" w:eastAsia="黑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缺失值                            </w:t>
      </w: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字段类型</w:t>
      </w:r>
    </w:p>
    <w:p w14:paraId="13CEFA83">
      <w:pPr>
        <w:rPr>
          <w:rFonts w:hint="eastAsia"/>
          <w:lang w:val="en-US" w:eastAsia="zh-CN"/>
        </w:rPr>
      </w:pPr>
    </w:p>
    <w:p w14:paraId="181B3147">
      <w:pPr>
        <w:rPr>
          <w:rFonts w:hint="eastAsia"/>
          <w:lang w:val="en-US" w:eastAsia="zh-CN"/>
        </w:rPr>
      </w:pPr>
    </w:p>
    <w:p w14:paraId="7FC7600D">
      <w:pPr>
        <w:jc w:val="center"/>
      </w:pPr>
      <w:r>
        <w:drawing>
          <wp:inline distT="0" distB="0" distL="114300" distR="114300">
            <wp:extent cx="5271135" cy="1715135"/>
            <wp:effectExtent l="0" t="0" r="12065"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135" cy="1715135"/>
                    </a:xfrm>
                    <a:prstGeom prst="rect">
                      <a:avLst/>
                    </a:prstGeom>
                    <a:noFill/>
                    <a:ln>
                      <a:noFill/>
                    </a:ln>
                  </pic:spPr>
                </pic:pic>
              </a:graphicData>
            </a:graphic>
          </wp:inline>
        </w:drawing>
      </w:r>
    </w:p>
    <w:p w14:paraId="1C790BA9">
      <w:pPr>
        <w:pStyle w:val="6"/>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数值型字段分布</w:t>
      </w:r>
    </w:p>
    <w:p w14:paraId="66DCC8AA">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性别字段中存在三类标签（Male、Female、Other），其中“Other”类仅占总样本的极小比例（18条记录），为确保模型训练的稳定性与分类边界的清晰性，选择将该类记录删除；同时，为后续建模方便，将性别字段转换为0（Female）与1（Male）两类，形成二值型变量。</w:t>
      </w:r>
    </w:p>
    <w:p w14:paraId="7909D149">
      <w:pPr>
        <w:pStyle w:val="2"/>
        <w:rPr>
          <w:rFonts w:hint="default"/>
          <w:lang w:val="en-US" w:eastAsia="zh-CN"/>
        </w:rPr>
      </w:pPr>
    </w:p>
    <w:p w14:paraId="41186A21">
      <w:pPr>
        <w:pStyle w:val="2"/>
        <w:jc w:val="center"/>
      </w:pPr>
      <w:r>
        <w:drawing>
          <wp:inline distT="0" distB="0" distL="114300" distR="114300">
            <wp:extent cx="3613785" cy="2529840"/>
            <wp:effectExtent l="0" t="0" r="5715" b="1016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3613785" cy="2529840"/>
                    </a:xfrm>
                    <a:prstGeom prst="rect">
                      <a:avLst/>
                    </a:prstGeom>
                    <a:noFill/>
                    <a:ln>
                      <a:noFill/>
                    </a:ln>
                  </pic:spPr>
                </pic:pic>
              </a:graphicData>
            </a:graphic>
          </wp:inline>
        </w:drawing>
      </w:r>
    </w:p>
    <w:p w14:paraId="2754E842">
      <w:pPr>
        <w:pStyle w:val="6"/>
        <w:jc w:val="center"/>
        <w:rPr>
          <w:rFonts w:hint="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性别数据可视化结果</w:t>
      </w:r>
    </w:p>
    <w:p w14:paraId="341F9343">
      <w:pPr>
        <w:spacing w:line="480" w:lineRule="exact"/>
        <w:ind w:firstLine="480" w:firstLineChars="20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对于吸烟史字段（smoking_history），原始数据中共包含六类标签，包括“Never”、“Former”、“Not Current”、“Current”、“Ever”与“No Info”。其中“No Info”作为信息缺失项，占总样本近30%，无法准确归类，因此暂不删除，而是在编码过程中保留。其余五类数据根据吸烟状态的历史进行归类重组，最终将吸烟变量转化为四类：0（Never）、1（Past Smoker，包括 Former、Not Current、Ever）、2（Current Smoker）、3（No Info），并转化为数值型变量以便模型识别。</w:t>
      </w:r>
      <w:r>
        <w:rPr>
          <w:rFonts w:hint="eastAsia" w:ascii="宋体" w:hAnsi="宋体" w:eastAsia="宋体" w:cs="宋体"/>
          <w:sz w:val="24"/>
          <w:szCs w:val="24"/>
          <w:lang w:val="en-US" w:eastAsia="zh-CN"/>
        </w:rPr>
        <w:t>在后续建模过程中，为提高建模准确率，选择删除No Info数据。</w:t>
      </w:r>
    </w:p>
    <w:p w14:paraId="296FCAAF">
      <w:pPr>
        <w:pStyle w:val="2"/>
        <w:ind w:left="0" w:leftChars="0" w:firstLine="0" w:firstLineChars="0"/>
      </w:pPr>
      <w:r>
        <w:drawing>
          <wp:inline distT="0" distB="0" distL="114300" distR="114300">
            <wp:extent cx="2654300" cy="1219835"/>
            <wp:effectExtent l="0" t="0" r="0" b="1206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2654300" cy="1219835"/>
                    </a:xfrm>
                    <a:prstGeom prst="rect">
                      <a:avLst/>
                    </a:prstGeom>
                    <a:noFill/>
                    <a:ln>
                      <a:noFill/>
                    </a:ln>
                  </pic:spPr>
                </pic:pic>
              </a:graphicData>
            </a:graphic>
          </wp:inline>
        </w:drawing>
      </w:r>
      <w:r>
        <w:drawing>
          <wp:inline distT="0" distB="0" distL="114300" distR="114300">
            <wp:extent cx="2571750" cy="865505"/>
            <wp:effectExtent l="0" t="0" r="6350" b="1079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2571750" cy="865505"/>
                    </a:xfrm>
                    <a:prstGeom prst="rect">
                      <a:avLst/>
                    </a:prstGeom>
                    <a:noFill/>
                    <a:ln>
                      <a:noFill/>
                    </a:ln>
                  </pic:spPr>
                </pic:pic>
              </a:graphicData>
            </a:graphic>
          </wp:inline>
        </w:drawing>
      </w:r>
    </w:p>
    <w:p w14:paraId="1766117A">
      <w:pPr>
        <w:pStyle w:val="6"/>
        <w:jc w:val="center"/>
        <w:rPr>
          <w:rFonts w:hint="eastAsia"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w:t>
      </w:r>
      <w:r>
        <w:rPr>
          <w:rFonts w:hint="eastAsia"/>
        </w:rPr>
        <w:t>吸烟数据归类重组</w:t>
      </w:r>
    </w:p>
    <w:p w14:paraId="11CDBF2F">
      <w:pPr>
        <w:rPr>
          <w:rFonts w:hint="eastAsia"/>
          <w:lang w:val="en-US" w:eastAsia="zh-CN"/>
        </w:rPr>
      </w:pPr>
    </w:p>
    <w:p w14:paraId="102C93F5">
      <w:pPr>
        <w:jc w:val="center"/>
      </w:pPr>
      <w:r>
        <w:drawing>
          <wp:inline distT="0" distB="0" distL="114300" distR="114300">
            <wp:extent cx="3797300" cy="2654300"/>
            <wp:effectExtent l="0" t="0" r="12700" b="1270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3797300" cy="2654300"/>
                    </a:xfrm>
                    <a:prstGeom prst="rect">
                      <a:avLst/>
                    </a:prstGeom>
                    <a:noFill/>
                    <a:ln>
                      <a:noFill/>
                    </a:ln>
                  </pic:spPr>
                </pic:pic>
              </a:graphicData>
            </a:graphic>
          </wp:inline>
        </w:drawing>
      </w:r>
    </w:p>
    <w:p w14:paraId="6582CCDD">
      <w:pPr>
        <w:pStyle w:val="6"/>
        <w:jc w:val="center"/>
        <w:rPr>
          <w:rFonts w:hint="default"/>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w:t>
      </w:r>
      <w:r>
        <w:rPr>
          <w:rFonts w:hint="eastAsia"/>
        </w:rPr>
        <w:t>吸烟数据分类可视化</w:t>
      </w:r>
    </w:p>
    <w:p w14:paraId="05663090">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在数值型变量中，</w:t>
      </w:r>
      <w:r>
        <w:rPr>
          <w:rFonts w:hint="eastAsia" w:ascii="宋体" w:hAnsi="宋体" w:eastAsia="宋体" w:cs="宋体"/>
          <w:sz w:val="24"/>
          <w:szCs w:val="24"/>
          <w:lang w:val="en-US" w:eastAsia="zh-CN"/>
        </w:rPr>
        <w:t>对年龄数据进行了可视化处理。</w:t>
      </w:r>
      <w:r>
        <w:rPr>
          <w:rFonts w:hint="default" w:ascii="宋体" w:hAnsi="宋体" w:eastAsia="宋体" w:cs="宋体"/>
          <w:sz w:val="24"/>
          <w:szCs w:val="24"/>
          <w:lang w:val="en-US" w:eastAsia="zh-CN"/>
        </w:rPr>
        <w:t>首先对身体质量指数（Body Mass Index, BMI）进行了箱型图分析，发现存在明显的极端异常值（如BMI高于90），通过查阅医学文献与临床常识判定其超出正常人体范围，可能为录入错误或特例个案，因此选择将超过合理上限的异常值予以剔除，以提高模型的泛化能力与预测稳定性。</w:t>
      </w:r>
    </w:p>
    <w:p w14:paraId="7DC22763">
      <w:pPr>
        <w:pStyle w:val="2"/>
        <w:jc w:val="center"/>
      </w:pPr>
      <w:r>
        <w:drawing>
          <wp:inline distT="0" distB="0" distL="114300" distR="114300">
            <wp:extent cx="3312160" cy="2299335"/>
            <wp:effectExtent l="0" t="0" r="2540" b="120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3312160" cy="2299335"/>
                    </a:xfrm>
                    <a:prstGeom prst="rect">
                      <a:avLst/>
                    </a:prstGeom>
                    <a:noFill/>
                    <a:ln>
                      <a:noFill/>
                    </a:ln>
                  </pic:spPr>
                </pic:pic>
              </a:graphicData>
            </a:graphic>
          </wp:inline>
        </w:drawing>
      </w:r>
    </w:p>
    <w:p w14:paraId="7ECCC2C2">
      <w:pPr>
        <w:pStyle w:val="6"/>
        <w:jc w:val="center"/>
        <w:rPr>
          <w:rFonts w:hint="eastAsia" w:eastAsia="黑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年龄数据可视化</w:t>
      </w:r>
    </w:p>
    <w:p w14:paraId="7F2D35AE">
      <w:pPr>
        <w:rPr>
          <w:rFonts w:hint="eastAsia"/>
          <w:lang w:val="en-US" w:eastAsia="zh-CN"/>
        </w:rPr>
      </w:pPr>
    </w:p>
    <w:p w14:paraId="3AF66460">
      <w:r>
        <w:drawing>
          <wp:inline distT="0" distB="0" distL="114300" distR="114300">
            <wp:extent cx="2609215" cy="2016125"/>
            <wp:effectExtent l="0" t="0" r="6985"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2609215" cy="2016125"/>
                    </a:xfrm>
                    <a:prstGeom prst="rect">
                      <a:avLst/>
                    </a:prstGeom>
                    <a:noFill/>
                    <a:ln>
                      <a:noFill/>
                    </a:ln>
                  </pic:spPr>
                </pic:pic>
              </a:graphicData>
            </a:graphic>
          </wp:inline>
        </w:drawing>
      </w:r>
      <w:r>
        <w:drawing>
          <wp:inline distT="0" distB="0" distL="114300" distR="114300">
            <wp:extent cx="2625090" cy="2000885"/>
            <wp:effectExtent l="0" t="0" r="11430" b="1079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2625090" cy="2000885"/>
                    </a:xfrm>
                    <a:prstGeom prst="rect">
                      <a:avLst/>
                    </a:prstGeom>
                    <a:noFill/>
                    <a:ln>
                      <a:noFill/>
                    </a:ln>
                  </pic:spPr>
                </pic:pic>
              </a:graphicData>
            </a:graphic>
          </wp:inline>
        </w:drawing>
      </w:r>
    </w:p>
    <w:p w14:paraId="215D0C25">
      <w:pPr>
        <w:pStyle w:val="6"/>
        <w:jc w:val="center"/>
        <w:rPr>
          <w:rFonts w:hint="default"/>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w:t>
      </w:r>
      <w:r>
        <w:rPr>
          <w:rFonts w:hint="eastAsia"/>
        </w:rPr>
        <w:t>BMI数据处理前后对比</w:t>
      </w:r>
    </w:p>
    <w:p w14:paraId="7AE59145">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糖化血红蛋白（HbA1c</w:t>
      </w:r>
      <w:r>
        <w:rPr>
          <w:rFonts w:hint="eastAsia" w:ascii="宋体" w:hAnsi="宋体" w:eastAsia="宋体" w:cs="宋体"/>
          <w:sz w:val="24"/>
          <w:szCs w:val="24"/>
          <w:lang w:val="en-US" w:eastAsia="zh-CN"/>
        </w:rPr>
        <w:t>_level</w:t>
      </w:r>
      <w:r>
        <w:rPr>
          <w:rFonts w:hint="default" w:ascii="宋体" w:hAnsi="宋体" w:eastAsia="宋体" w:cs="宋体"/>
          <w:sz w:val="24"/>
          <w:szCs w:val="24"/>
          <w:lang w:val="en-US" w:eastAsia="zh-CN"/>
        </w:rPr>
        <w:t>）与血糖（Blood</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Glucose</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Level）两个关键生理指标也进行了箱型图和分布分析。尽管存在少量极高或极低的数值，但数量极少，且通过对比医学标准后发现仍属于可能的临床边缘值，具有一定的医学合理性，因此保留全部记录，未作删除处理。</w:t>
      </w:r>
    </w:p>
    <w:p w14:paraId="60A8A6DC">
      <w:pPr>
        <w:pStyle w:val="2"/>
        <w:ind w:left="0" w:leftChars="0" w:firstLine="0" w:firstLineChars="0"/>
      </w:pPr>
      <w:r>
        <w:drawing>
          <wp:inline distT="0" distB="0" distL="114300" distR="114300">
            <wp:extent cx="2559685" cy="1950720"/>
            <wp:effectExtent l="0" t="0" r="5715" b="508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2559685" cy="1950720"/>
                    </a:xfrm>
                    <a:prstGeom prst="rect">
                      <a:avLst/>
                    </a:prstGeom>
                    <a:noFill/>
                    <a:ln>
                      <a:noFill/>
                    </a:ln>
                  </pic:spPr>
                </pic:pic>
              </a:graphicData>
            </a:graphic>
          </wp:inline>
        </w:drawing>
      </w:r>
      <w:r>
        <w:drawing>
          <wp:inline distT="0" distB="0" distL="114300" distR="114300">
            <wp:extent cx="2689860" cy="1911985"/>
            <wp:effectExtent l="0" t="0" r="2540" b="57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2689860" cy="1911985"/>
                    </a:xfrm>
                    <a:prstGeom prst="rect">
                      <a:avLst/>
                    </a:prstGeom>
                    <a:noFill/>
                    <a:ln>
                      <a:noFill/>
                    </a:ln>
                  </pic:spPr>
                </pic:pic>
              </a:graphicData>
            </a:graphic>
          </wp:inline>
        </w:drawing>
      </w:r>
    </w:p>
    <w:p w14:paraId="46802AEC">
      <w:pPr>
        <w:pStyle w:val="6"/>
        <w:jc w:val="center"/>
        <w:rPr>
          <w:rFonts w:hint="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HbA1c level数据可视化</w:t>
      </w:r>
    </w:p>
    <w:p w14:paraId="75756BA4">
      <w:pPr>
        <w:rPr>
          <w:rFonts w:hint="eastAsia"/>
          <w:lang w:val="en-US" w:eastAsia="zh-CN"/>
        </w:rPr>
      </w:pPr>
    </w:p>
    <w:p w14:paraId="530A4DE4">
      <w:pPr>
        <w:rPr>
          <w:rFonts w:hint="eastAsia"/>
          <w:lang w:val="en-US" w:eastAsia="zh-CN"/>
        </w:rPr>
      </w:pPr>
    </w:p>
    <w:p w14:paraId="7FC388FC">
      <w:r>
        <w:drawing>
          <wp:inline distT="0" distB="0" distL="114300" distR="114300">
            <wp:extent cx="2593975" cy="1942465"/>
            <wp:effectExtent l="0" t="0" r="9525" b="63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2593975" cy="1942465"/>
                    </a:xfrm>
                    <a:prstGeom prst="rect">
                      <a:avLst/>
                    </a:prstGeom>
                    <a:noFill/>
                    <a:ln>
                      <a:noFill/>
                    </a:ln>
                  </pic:spPr>
                </pic:pic>
              </a:graphicData>
            </a:graphic>
          </wp:inline>
        </w:drawing>
      </w:r>
      <w:r>
        <w:drawing>
          <wp:inline distT="0" distB="0" distL="114300" distR="114300">
            <wp:extent cx="2651760" cy="1858645"/>
            <wp:effectExtent l="0" t="0" r="2540" b="825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2651760" cy="1858645"/>
                    </a:xfrm>
                    <a:prstGeom prst="rect">
                      <a:avLst/>
                    </a:prstGeom>
                    <a:noFill/>
                    <a:ln>
                      <a:noFill/>
                    </a:ln>
                  </pic:spPr>
                </pic:pic>
              </a:graphicData>
            </a:graphic>
          </wp:inline>
        </w:drawing>
      </w:r>
    </w:p>
    <w:p w14:paraId="5D671586">
      <w:pPr>
        <w:pStyle w:val="6"/>
        <w:jc w:val="center"/>
        <w:rPr>
          <w:rFonts w:hint="eastAsia" w:eastAsia="黑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blood_glucose_level数据可视化</w:t>
      </w:r>
    </w:p>
    <w:p w14:paraId="691B0E95">
      <w:pPr>
        <w:pStyle w:val="4"/>
        <w:spacing w:before="0" w:after="0" w:line="480" w:lineRule="exact"/>
        <w:ind w:firstLine="560"/>
        <w:rPr>
          <w:rFonts w:hint="default" w:ascii="楷体" w:hAnsi="楷体" w:eastAsia="楷体" w:cs="楷体"/>
          <w:b w:val="0"/>
          <w:bCs/>
          <w:sz w:val="28"/>
          <w:szCs w:val="28"/>
          <w:lang w:val="en-US" w:eastAsia="zh-CN"/>
        </w:rPr>
      </w:pPr>
      <w:bookmarkStart w:id="12" w:name="_Toc20942"/>
      <w:r>
        <w:rPr>
          <w:rFonts w:hint="eastAsia" w:ascii="楷体" w:hAnsi="楷体" w:eastAsia="楷体" w:cs="楷体"/>
          <w:b w:val="0"/>
          <w:bCs/>
          <w:sz w:val="28"/>
          <w:szCs w:val="28"/>
        </w:rPr>
        <w:t>（</w:t>
      </w:r>
      <w:r>
        <w:rPr>
          <w:rFonts w:hint="eastAsia" w:ascii="楷体" w:hAnsi="楷体" w:eastAsia="楷体" w:cs="楷体"/>
          <w:b w:val="0"/>
          <w:bCs/>
          <w:sz w:val="28"/>
          <w:szCs w:val="28"/>
          <w:lang w:val="en-US" w:eastAsia="zh-CN"/>
        </w:rPr>
        <w:t>二</w:t>
      </w:r>
      <w:r>
        <w:rPr>
          <w:rFonts w:hint="eastAsia" w:ascii="楷体" w:hAnsi="楷体" w:eastAsia="楷体" w:cs="楷体"/>
          <w:b w:val="0"/>
          <w:bCs/>
          <w:sz w:val="28"/>
          <w:szCs w:val="28"/>
        </w:rPr>
        <w:t>）</w:t>
      </w:r>
      <w:r>
        <w:rPr>
          <w:rFonts w:hint="eastAsia" w:ascii="楷体" w:hAnsi="楷体" w:eastAsia="楷体" w:cs="楷体"/>
          <w:b w:val="0"/>
          <w:bCs/>
          <w:sz w:val="28"/>
          <w:szCs w:val="28"/>
          <w:lang w:val="en-US" w:eastAsia="zh-CN"/>
        </w:rPr>
        <w:t>显著性分析</w:t>
      </w:r>
      <w:bookmarkEnd w:id="12"/>
    </w:p>
    <w:p w14:paraId="7AD5F9CD">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在完成初步清洗后，本研究对各变量与目标变量（是否患有糖尿病）之间的统计显著性进行了逐项分析，以判断其对建模预测的潜在贡献。</w:t>
      </w:r>
    </w:p>
    <w:p w14:paraId="7E63249B">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对于连续型变量，包括年龄（Age）、身体质量指数（BMI）、糖化血红蛋白（HbA1c</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Level）与血糖水平（Blood</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Glucose</w:t>
      </w:r>
      <w:r>
        <w:rPr>
          <w:rFonts w:hint="eastAsia" w:ascii="宋体" w:hAnsi="宋体" w:eastAsia="宋体" w:cs="宋体"/>
          <w:sz w:val="24"/>
          <w:szCs w:val="24"/>
          <w:lang w:val="en-US" w:eastAsia="zh-CN"/>
        </w:rPr>
        <w:t>_</w:t>
      </w:r>
      <w:r>
        <w:rPr>
          <w:rFonts w:hint="default" w:ascii="宋体" w:hAnsi="宋体" w:eastAsia="宋体" w:cs="宋体"/>
          <w:sz w:val="24"/>
          <w:szCs w:val="24"/>
          <w:lang w:val="en-US" w:eastAsia="zh-CN"/>
        </w:rPr>
        <w:t>Level），分别采用</w:t>
      </w:r>
      <w:r>
        <w:rPr>
          <w:rFonts w:hint="eastAsia" w:ascii="宋体" w:hAnsi="宋体" w:eastAsia="宋体" w:cs="宋体"/>
          <w:sz w:val="24"/>
          <w:szCs w:val="24"/>
          <w:lang w:val="en-US" w:eastAsia="zh-CN"/>
        </w:rPr>
        <w:t>绘制箱线图，密度图，直方图等，分别进行</w:t>
      </w:r>
      <w:r>
        <w:rPr>
          <w:rFonts w:hint="default" w:ascii="宋体" w:hAnsi="宋体" w:eastAsia="宋体" w:cs="宋体"/>
          <w:sz w:val="24"/>
          <w:szCs w:val="24"/>
          <w:lang w:val="en-US" w:eastAsia="zh-CN"/>
        </w:rPr>
        <w:t>Mann-Whitney U检验（即Wilcoxon秩和检验）对患病组与未患病组之间的分布差异进行非参数统计分析。结果显示，上述四个变量在两组间的差异均具有极强的统计显著性，p值均趋近于0（p &lt; 0.001），表明这些连续变量在糖尿病判别中具有重要作用，后续建模阶段将予以保留。</w:t>
      </w:r>
    </w:p>
    <w:p w14:paraId="1193A994">
      <w:pPr>
        <w:pStyle w:val="2"/>
        <w:ind w:left="0" w:leftChars="0" w:firstLine="0" w:firstLineChars="0"/>
        <w:jc w:val="center"/>
      </w:pPr>
      <w:r>
        <w:drawing>
          <wp:inline distT="0" distB="0" distL="114300" distR="114300">
            <wp:extent cx="4565650" cy="2763520"/>
            <wp:effectExtent l="0" t="0" r="6350" b="508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4565650" cy="2763520"/>
                    </a:xfrm>
                    <a:prstGeom prst="rect">
                      <a:avLst/>
                    </a:prstGeom>
                    <a:noFill/>
                    <a:ln>
                      <a:noFill/>
                    </a:ln>
                  </pic:spPr>
                </pic:pic>
              </a:graphicData>
            </a:graphic>
          </wp:inline>
        </w:drawing>
      </w:r>
    </w:p>
    <w:p w14:paraId="726BA48B">
      <w:pPr>
        <w:pStyle w:val="6"/>
        <w:ind w:left="0" w:leftChars="0" w:firstLine="0" w:firstLineChars="0"/>
        <w:jc w:val="center"/>
        <w:rPr>
          <w:rFonts w:hint="default" w:eastAsia="黑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年龄分布与糖尿病患病情况对比条形图</w:t>
      </w:r>
    </w:p>
    <w:p w14:paraId="45CD42E9">
      <w:pPr>
        <w:pStyle w:val="2"/>
        <w:ind w:left="0" w:leftChars="0" w:firstLine="0" w:firstLineChars="0"/>
        <w:jc w:val="center"/>
      </w:pPr>
      <w:r>
        <w:drawing>
          <wp:inline distT="0" distB="0" distL="114300" distR="114300">
            <wp:extent cx="3985895" cy="2665095"/>
            <wp:effectExtent l="0" t="0" r="1905" b="19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3985895" cy="2665095"/>
                    </a:xfrm>
                    <a:prstGeom prst="rect">
                      <a:avLst/>
                    </a:prstGeom>
                    <a:noFill/>
                    <a:ln>
                      <a:noFill/>
                    </a:ln>
                  </pic:spPr>
                </pic:pic>
              </a:graphicData>
            </a:graphic>
          </wp:inline>
        </w:drawing>
      </w:r>
    </w:p>
    <w:p w14:paraId="7558AD27">
      <w:pPr>
        <w:pStyle w:val="6"/>
        <w:ind w:left="0" w:leftChars="0" w:firstLine="0" w:firstLineChars="0"/>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w:t>
      </w:r>
      <w:r>
        <w:rPr>
          <w:rFonts w:hint="eastAsia"/>
        </w:rPr>
        <w:t>年龄分布与糖尿病患病情况对比</w:t>
      </w:r>
      <w:r>
        <w:rPr>
          <w:rFonts w:hint="eastAsia"/>
          <w:lang w:val="en-US" w:eastAsia="zh-CN"/>
        </w:rPr>
        <w:t>箱线图</w:t>
      </w:r>
    </w:p>
    <w:p w14:paraId="60A287FA">
      <w:pPr>
        <w:rPr>
          <w:rFonts w:hint="eastAsia"/>
          <w:lang w:val="en-US" w:eastAsia="zh-CN"/>
        </w:rPr>
      </w:pPr>
    </w:p>
    <w:p w14:paraId="16FBFB09">
      <w:r>
        <w:drawing>
          <wp:inline distT="0" distB="0" distL="114300" distR="114300">
            <wp:extent cx="2635250" cy="1909445"/>
            <wp:effectExtent l="0" t="0" r="6350" b="825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2635250" cy="1909445"/>
                    </a:xfrm>
                    <a:prstGeom prst="rect">
                      <a:avLst/>
                    </a:prstGeom>
                    <a:noFill/>
                    <a:ln>
                      <a:noFill/>
                    </a:ln>
                  </pic:spPr>
                </pic:pic>
              </a:graphicData>
            </a:graphic>
          </wp:inline>
        </w:drawing>
      </w:r>
      <w:r>
        <w:drawing>
          <wp:inline distT="0" distB="0" distL="114300" distR="114300">
            <wp:extent cx="2620010" cy="1821180"/>
            <wp:effectExtent l="0" t="0" r="8890" b="762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3"/>
                    <a:stretch>
                      <a:fillRect/>
                    </a:stretch>
                  </pic:blipFill>
                  <pic:spPr>
                    <a:xfrm>
                      <a:off x="0" y="0"/>
                      <a:ext cx="2620010" cy="1821180"/>
                    </a:xfrm>
                    <a:prstGeom prst="rect">
                      <a:avLst/>
                    </a:prstGeom>
                    <a:noFill/>
                    <a:ln>
                      <a:noFill/>
                    </a:ln>
                  </pic:spPr>
                </pic:pic>
              </a:graphicData>
            </a:graphic>
          </wp:inline>
        </w:drawing>
      </w:r>
    </w:p>
    <w:p w14:paraId="7596CA25">
      <w:pPr>
        <w:pStyle w:val="6"/>
        <w:jc w:val="center"/>
        <w:rPr>
          <w:rFonts w:hint="eastAsia"/>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BMI数据显著性分析可视化</w:t>
      </w:r>
    </w:p>
    <w:p w14:paraId="613076BC">
      <w:pPr>
        <w:rPr>
          <w:rFonts w:hint="eastAsia"/>
          <w:lang w:val="en-US" w:eastAsia="zh-CN"/>
        </w:rPr>
      </w:pPr>
    </w:p>
    <w:p w14:paraId="28B2793E">
      <w:pPr>
        <w:rPr>
          <w:rFonts w:hint="eastAsia"/>
          <w:lang w:val="en-US" w:eastAsia="zh-CN"/>
        </w:rPr>
      </w:pPr>
    </w:p>
    <w:p w14:paraId="72AA6665">
      <w:r>
        <w:drawing>
          <wp:inline distT="0" distB="0" distL="114300" distR="114300">
            <wp:extent cx="2644140" cy="1905635"/>
            <wp:effectExtent l="0" t="0" r="10160" b="1206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4"/>
                    <a:stretch>
                      <a:fillRect/>
                    </a:stretch>
                  </pic:blipFill>
                  <pic:spPr>
                    <a:xfrm>
                      <a:off x="0" y="0"/>
                      <a:ext cx="2644140" cy="1905635"/>
                    </a:xfrm>
                    <a:prstGeom prst="rect">
                      <a:avLst/>
                    </a:prstGeom>
                    <a:noFill/>
                    <a:ln>
                      <a:noFill/>
                    </a:ln>
                  </pic:spPr>
                </pic:pic>
              </a:graphicData>
            </a:graphic>
          </wp:inline>
        </w:drawing>
      </w:r>
      <w:r>
        <w:drawing>
          <wp:inline distT="0" distB="0" distL="114300" distR="114300">
            <wp:extent cx="2579370" cy="1841500"/>
            <wp:effectExtent l="0" t="0" r="11430"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5"/>
                    <a:stretch>
                      <a:fillRect/>
                    </a:stretch>
                  </pic:blipFill>
                  <pic:spPr>
                    <a:xfrm>
                      <a:off x="0" y="0"/>
                      <a:ext cx="2579370" cy="1841500"/>
                    </a:xfrm>
                    <a:prstGeom prst="rect">
                      <a:avLst/>
                    </a:prstGeom>
                    <a:noFill/>
                    <a:ln>
                      <a:noFill/>
                    </a:ln>
                  </pic:spPr>
                </pic:pic>
              </a:graphicData>
            </a:graphic>
          </wp:inline>
        </w:drawing>
      </w:r>
    </w:p>
    <w:p w14:paraId="5B18285C">
      <w:pPr>
        <w:pStyle w:val="6"/>
        <w:jc w:val="center"/>
        <w:rPr>
          <w:rFonts w:hint="eastAsia"/>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HbA1c level数据显著性分析可视化</w:t>
      </w:r>
    </w:p>
    <w:p w14:paraId="05797B04">
      <w:pPr>
        <w:rPr>
          <w:rFonts w:hint="eastAsia"/>
          <w:lang w:val="en-US" w:eastAsia="zh-CN"/>
        </w:rPr>
      </w:pPr>
    </w:p>
    <w:p w14:paraId="2DB93938">
      <w:r>
        <w:drawing>
          <wp:inline distT="0" distB="0" distL="114300" distR="114300">
            <wp:extent cx="2582545" cy="1844040"/>
            <wp:effectExtent l="0" t="0" r="8255" b="1016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6"/>
                    <a:stretch>
                      <a:fillRect/>
                    </a:stretch>
                  </pic:blipFill>
                  <pic:spPr>
                    <a:xfrm>
                      <a:off x="0" y="0"/>
                      <a:ext cx="2582545" cy="1844040"/>
                    </a:xfrm>
                    <a:prstGeom prst="rect">
                      <a:avLst/>
                    </a:prstGeom>
                    <a:noFill/>
                    <a:ln>
                      <a:noFill/>
                    </a:ln>
                  </pic:spPr>
                </pic:pic>
              </a:graphicData>
            </a:graphic>
          </wp:inline>
        </w:drawing>
      </w:r>
      <w:r>
        <w:drawing>
          <wp:inline distT="0" distB="0" distL="114300" distR="114300">
            <wp:extent cx="2621280" cy="1830705"/>
            <wp:effectExtent l="0" t="0" r="7620" b="1079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7"/>
                    <a:stretch>
                      <a:fillRect/>
                    </a:stretch>
                  </pic:blipFill>
                  <pic:spPr>
                    <a:xfrm>
                      <a:off x="0" y="0"/>
                      <a:ext cx="2621280" cy="1830705"/>
                    </a:xfrm>
                    <a:prstGeom prst="rect">
                      <a:avLst/>
                    </a:prstGeom>
                    <a:noFill/>
                    <a:ln>
                      <a:noFill/>
                    </a:ln>
                  </pic:spPr>
                </pic:pic>
              </a:graphicData>
            </a:graphic>
          </wp:inline>
        </w:drawing>
      </w:r>
    </w:p>
    <w:p w14:paraId="16D7CA3C">
      <w:pPr>
        <w:pStyle w:val="6"/>
        <w:jc w:val="center"/>
        <w:rPr>
          <w:rFonts w:hint="eastAsia"/>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blood_glucose_level数据显著性分析可视化</w:t>
      </w:r>
    </w:p>
    <w:p w14:paraId="20544895">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对于分类变量，包括性别（Gender）、是否患有高血压（Hypertension）、是否患有心脏病（Heart Disease）以及吸烟状态（</w:t>
      </w:r>
      <w:r>
        <w:rPr>
          <w:rFonts w:hint="eastAsia" w:ascii="宋体" w:hAnsi="宋体" w:eastAsia="宋体" w:cs="宋体"/>
          <w:sz w:val="24"/>
          <w:szCs w:val="24"/>
          <w:lang w:val="en-US" w:eastAsia="zh-CN"/>
        </w:rPr>
        <w:t>S</w:t>
      </w:r>
      <w:r>
        <w:rPr>
          <w:rFonts w:hint="default" w:ascii="宋体" w:hAnsi="宋体" w:eastAsia="宋体" w:cs="宋体"/>
          <w:sz w:val="24"/>
          <w:szCs w:val="24"/>
          <w:lang w:val="en-US" w:eastAsia="zh-CN"/>
        </w:rPr>
        <w:t>moking_history），本研究首先绘制了频数直方图与交叉列联表，以观察不同变量类别在患病与未患病群体中的分布差异，随后进一步采用卡方检验（Chi-square Test）评估其与糖尿病发病情况之间的关联强度。分析结果显示，以上四项分类变量均在统计上呈现显著性差异，p 值均远小于显著性水平（p &lt; 0.001），说明这些变量与糖尿病的发生具有密切关联，因而将在后续建模阶段中予以保留作为关键预测因子。</w:t>
      </w:r>
    </w:p>
    <w:p w14:paraId="78023B11">
      <w:pPr>
        <w:pStyle w:val="2"/>
        <w:jc w:val="center"/>
      </w:pPr>
      <w:r>
        <w:drawing>
          <wp:inline distT="0" distB="0" distL="114300" distR="114300">
            <wp:extent cx="3636645" cy="2524125"/>
            <wp:effectExtent l="0" t="0" r="8255" b="317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8"/>
                    <a:stretch>
                      <a:fillRect/>
                    </a:stretch>
                  </pic:blipFill>
                  <pic:spPr>
                    <a:xfrm>
                      <a:off x="0" y="0"/>
                      <a:ext cx="3636645" cy="2524125"/>
                    </a:xfrm>
                    <a:prstGeom prst="rect">
                      <a:avLst/>
                    </a:prstGeom>
                    <a:noFill/>
                    <a:ln>
                      <a:noFill/>
                    </a:ln>
                  </pic:spPr>
                </pic:pic>
              </a:graphicData>
            </a:graphic>
          </wp:inline>
        </w:drawing>
      </w:r>
    </w:p>
    <w:p w14:paraId="3230ABB2">
      <w:pPr>
        <w:pStyle w:val="6"/>
        <w:jc w:val="center"/>
        <w:rPr>
          <w:rFonts w:hint="eastAsia"/>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val="en-US" w:eastAsia="zh-CN"/>
        </w:rPr>
        <w:t xml:space="preserve"> 性别数据显著性分析可视化</w:t>
      </w:r>
    </w:p>
    <w:p w14:paraId="1ABDD8B0">
      <w:pPr>
        <w:jc w:val="center"/>
      </w:pPr>
      <w:r>
        <w:drawing>
          <wp:inline distT="0" distB="0" distL="114300" distR="114300">
            <wp:extent cx="3618865" cy="2502535"/>
            <wp:effectExtent l="0" t="0" r="635" b="1206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9"/>
                    <a:stretch>
                      <a:fillRect/>
                    </a:stretch>
                  </pic:blipFill>
                  <pic:spPr>
                    <a:xfrm>
                      <a:off x="0" y="0"/>
                      <a:ext cx="3618865" cy="2502535"/>
                    </a:xfrm>
                    <a:prstGeom prst="rect">
                      <a:avLst/>
                    </a:prstGeom>
                    <a:noFill/>
                    <a:ln>
                      <a:noFill/>
                    </a:ln>
                  </pic:spPr>
                </pic:pic>
              </a:graphicData>
            </a:graphic>
          </wp:inline>
        </w:drawing>
      </w:r>
    </w:p>
    <w:p w14:paraId="32F50440">
      <w:pPr>
        <w:pStyle w:val="6"/>
        <w:jc w:val="center"/>
        <w:rPr>
          <w:rFonts w:hint="eastAsia"/>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val="en-US" w:eastAsia="zh-CN"/>
        </w:rPr>
        <w:t xml:space="preserve"> 高血压数据显著性分析可视化</w:t>
      </w:r>
    </w:p>
    <w:p w14:paraId="4D0CC943">
      <w:pPr>
        <w:rPr>
          <w:rFonts w:hint="eastAsia"/>
          <w:lang w:val="en-US" w:eastAsia="zh-CN"/>
        </w:rPr>
      </w:pPr>
    </w:p>
    <w:p w14:paraId="027C7601">
      <w:pPr>
        <w:jc w:val="center"/>
      </w:pPr>
      <w:r>
        <w:drawing>
          <wp:inline distT="0" distB="0" distL="114300" distR="114300">
            <wp:extent cx="3790950" cy="2559050"/>
            <wp:effectExtent l="0" t="0" r="6350" b="635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0"/>
                    <a:stretch>
                      <a:fillRect/>
                    </a:stretch>
                  </pic:blipFill>
                  <pic:spPr>
                    <a:xfrm>
                      <a:off x="0" y="0"/>
                      <a:ext cx="3790950" cy="2559050"/>
                    </a:xfrm>
                    <a:prstGeom prst="rect">
                      <a:avLst/>
                    </a:prstGeom>
                    <a:noFill/>
                    <a:ln>
                      <a:noFill/>
                    </a:ln>
                  </pic:spPr>
                </pic:pic>
              </a:graphicData>
            </a:graphic>
          </wp:inline>
        </w:drawing>
      </w:r>
    </w:p>
    <w:p w14:paraId="2B4A173D">
      <w:pPr>
        <w:pStyle w:val="6"/>
        <w:jc w:val="center"/>
        <w:rPr>
          <w:rFonts w:hint="eastAsia"/>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val="en-US" w:eastAsia="zh-CN"/>
        </w:rPr>
        <w:t xml:space="preserve"> 心脏病数据显著性分析可视化</w:t>
      </w:r>
    </w:p>
    <w:p w14:paraId="69F18568">
      <w:pPr>
        <w:rPr>
          <w:rFonts w:hint="eastAsia"/>
          <w:lang w:val="en-US" w:eastAsia="zh-CN"/>
        </w:rPr>
      </w:pPr>
    </w:p>
    <w:p w14:paraId="62E25719">
      <w:pPr>
        <w:jc w:val="center"/>
      </w:pPr>
      <w:r>
        <w:drawing>
          <wp:inline distT="0" distB="0" distL="114300" distR="114300">
            <wp:extent cx="3657600" cy="2543175"/>
            <wp:effectExtent l="0" t="0" r="0" b="952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1"/>
                    <a:stretch>
                      <a:fillRect/>
                    </a:stretch>
                  </pic:blipFill>
                  <pic:spPr>
                    <a:xfrm>
                      <a:off x="0" y="0"/>
                      <a:ext cx="3657600" cy="2543175"/>
                    </a:xfrm>
                    <a:prstGeom prst="rect">
                      <a:avLst/>
                    </a:prstGeom>
                    <a:noFill/>
                    <a:ln>
                      <a:noFill/>
                    </a:ln>
                  </pic:spPr>
                </pic:pic>
              </a:graphicData>
            </a:graphic>
          </wp:inline>
        </w:drawing>
      </w:r>
    </w:p>
    <w:p w14:paraId="5F6FFC30">
      <w:pPr>
        <w:pStyle w:val="6"/>
        <w:jc w:val="center"/>
        <w:rPr>
          <w:rFonts w:hint="default"/>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val="en-US" w:eastAsia="zh-CN"/>
        </w:rPr>
        <w:t xml:space="preserve"> 吸烟状态数据显著性分析可视化</w:t>
      </w:r>
    </w:p>
    <w:p w14:paraId="43EE3901">
      <w:pPr>
        <w:pStyle w:val="4"/>
        <w:spacing w:before="0" w:after="0" w:line="480" w:lineRule="exact"/>
        <w:ind w:firstLine="560"/>
        <w:rPr>
          <w:rFonts w:hint="default" w:ascii="楷体" w:hAnsi="楷体" w:eastAsia="楷体" w:cs="楷体"/>
          <w:b w:val="0"/>
          <w:bCs/>
          <w:sz w:val="28"/>
          <w:szCs w:val="28"/>
          <w:lang w:val="en-US" w:eastAsia="zh-CN"/>
        </w:rPr>
      </w:pPr>
      <w:bookmarkStart w:id="13" w:name="_Toc28475"/>
      <w:r>
        <w:rPr>
          <w:rFonts w:hint="eastAsia" w:ascii="楷体" w:hAnsi="楷体" w:eastAsia="楷体" w:cs="楷体"/>
          <w:b w:val="0"/>
          <w:bCs/>
          <w:sz w:val="28"/>
          <w:szCs w:val="28"/>
        </w:rPr>
        <w:t>（</w:t>
      </w:r>
      <w:r>
        <w:rPr>
          <w:rFonts w:hint="eastAsia" w:ascii="楷体" w:hAnsi="楷体" w:eastAsia="楷体" w:cs="楷体"/>
          <w:b w:val="0"/>
          <w:bCs/>
          <w:sz w:val="28"/>
          <w:szCs w:val="28"/>
          <w:lang w:val="en-US" w:eastAsia="zh-CN"/>
        </w:rPr>
        <w:t>三</w:t>
      </w:r>
      <w:r>
        <w:rPr>
          <w:rFonts w:hint="eastAsia" w:ascii="楷体" w:hAnsi="楷体" w:eastAsia="楷体" w:cs="楷体"/>
          <w:b w:val="0"/>
          <w:bCs/>
          <w:sz w:val="28"/>
          <w:szCs w:val="28"/>
        </w:rPr>
        <w:t>）</w:t>
      </w:r>
      <w:r>
        <w:rPr>
          <w:rFonts w:hint="eastAsia" w:ascii="楷体" w:hAnsi="楷体" w:eastAsia="楷体" w:cs="楷体"/>
          <w:b w:val="0"/>
          <w:bCs/>
          <w:sz w:val="28"/>
          <w:szCs w:val="28"/>
          <w:lang w:val="en-US" w:eastAsia="zh-CN"/>
        </w:rPr>
        <w:t>特征间多重共线性分析</w:t>
      </w:r>
      <w:bookmarkEnd w:id="13"/>
    </w:p>
    <w:p w14:paraId="6CB46A9A">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在完成变量的显著性筛选后，本研究进一步对各个特征之间的相关性进行了探讨，以确保输入模型的变量之间不存在严重的多重共线性问题，从而避免模型估计不稳定、解释能力下降等风险。</w:t>
      </w:r>
    </w:p>
    <w:p w14:paraId="2A399093">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首先，通过计算皮尔森相关系数（Pearson Correlation Coefficient）并绘制热力图，对所有数值型变量间的相关性进行可视化分析。结果显示，大多数特征之间的相关系数均在 ±0.3 范围以内，最大相关系数为 0.45，未发现高度相关的变量组合，初步判断不存在严重共线性问题。</w:t>
      </w:r>
    </w:p>
    <w:p w14:paraId="69956304">
      <w:pPr>
        <w:pStyle w:val="2"/>
        <w:ind w:left="0" w:leftChars="0" w:firstLine="0" w:firstLineChars="0"/>
        <w:jc w:val="both"/>
      </w:pPr>
      <w:r>
        <w:drawing>
          <wp:inline distT="0" distB="0" distL="114300" distR="114300">
            <wp:extent cx="5342890" cy="4801235"/>
            <wp:effectExtent l="0" t="0" r="3810" b="1206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2"/>
                    <a:stretch>
                      <a:fillRect/>
                    </a:stretch>
                  </pic:blipFill>
                  <pic:spPr>
                    <a:xfrm>
                      <a:off x="0" y="0"/>
                      <a:ext cx="5342890" cy="4801235"/>
                    </a:xfrm>
                    <a:prstGeom prst="rect">
                      <a:avLst/>
                    </a:prstGeom>
                    <a:noFill/>
                    <a:ln>
                      <a:noFill/>
                    </a:ln>
                  </pic:spPr>
                </pic:pic>
              </a:graphicData>
            </a:graphic>
          </wp:inline>
        </w:drawing>
      </w:r>
    </w:p>
    <w:p w14:paraId="11566EEA">
      <w:pPr>
        <w:pStyle w:val="6"/>
        <w:jc w:val="center"/>
        <w:rPr>
          <w:rFonts w:hint="eastAsia" w:eastAsia="黑体"/>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val="en-US" w:eastAsia="zh-CN"/>
        </w:rPr>
        <w:t xml:space="preserve"> 特征相关性分析热力图</w:t>
      </w:r>
    </w:p>
    <w:p w14:paraId="0D1CE6BB">
      <w:pPr>
        <w:rPr>
          <w:rFonts w:hint="default"/>
          <w:lang w:val="en-US" w:eastAsia="zh-CN"/>
        </w:rPr>
      </w:pPr>
    </w:p>
    <w:p w14:paraId="0B5C9FDB">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为进一步验证，本研究采用方差膨胀因子（Variance Inflation Factor, VIF）对变量间的多重共线性进行了定量评估。分析中将目标变量剔除，仅对特征变量进行处理，并添加常数项。结果显示，所有变量的 VIF 值均接近于 1，表明各特征变量之间不存在显著的线性依赖关系，完全可以同时纳入模型进行后续训练。</w:t>
      </w:r>
    </w:p>
    <w:p w14:paraId="6FF51096">
      <w:pPr>
        <w:pStyle w:val="2"/>
        <w:jc w:val="center"/>
      </w:pPr>
      <w:r>
        <w:drawing>
          <wp:inline distT="0" distB="0" distL="114300" distR="114300">
            <wp:extent cx="1866900" cy="2393950"/>
            <wp:effectExtent l="0" t="0" r="0" b="635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3"/>
                    <a:stretch>
                      <a:fillRect/>
                    </a:stretch>
                  </pic:blipFill>
                  <pic:spPr>
                    <a:xfrm>
                      <a:off x="0" y="0"/>
                      <a:ext cx="1866900" cy="2393950"/>
                    </a:xfrm>
                    <a:prstGeom prst="rect">
                      <a:avLst/>
                    </a:prstGeom>
                    <a:noFill/>
                    <a:ln>
                      <a:noFill/>
                    </a:ln>
                  </pic:spPr>
                </pic:pic>
              </a:graphicData>
            </a:graphic>
          </wp:inline>
        </w:drawing>
      </w:r>
    </w:p>
    <w:p w14:paraId="75ACA9D4">
      <w:pPr>
        <w:pStyle w:val="6"/>
        <w:jc w:val="center"/>
        <w:rPr>
          <w:rFonts w:hint="default"/>
          <w:lang w:val="en-US" w:eastAsia="zh-CN"/>
        </w:rPr>
        <w:sectPr>
          <w:pgSz w:w="11906" w:h="16838"/>
          <w:pgMar w:top="1440" w:right="1800" w:bottom="1440" w:left="1800" w:header="851" w:footer="992" w:gutter="0"/>
          <w:cols w:space="425" w:num="1"/>
          <w:docGrid w:type="lines" w:linePitch="312" w:charSpace="0"/>
        </w:sectPr>
      </w:pPr>
      <w:r>
        <w:t xml:space="preserve">图 </w:t>
      </w:r>
      <w:r>
        <w:fldChar w:fldCharType="begin"/>
      </w:r>
      <w:r>
        <w:instrText xml:space="preserve"> SEQ 图 \* ARABIC </w:instrText>
      </w:r>
      <w:r>
        <w:fldChar w:fldCharType="separate"/>
      </w:r>
      <w:r>
        <w:t>22</w:t>
      </w:r>
      <w:r>
        <w:fldChar w:fldCharType="end"/>
      </w:r>
      <w:r>
        <w:rPr>
          <w:rFonts w:hint="eastAsia"/>
          <w:lang w:val="en-US" w:eastAsia="zh-CN"/>
        </w:rPr>
        <w:t xml:space="preserve"> </w:t>
      </w:r>
      <w:r>
        <w:rPr>
          <w:rFonts w:hint="default"/>
          <w:lang w:val="en-US" w:eastAsia="zh-CN"/>
        </w:rPr>
        <w:t>VIF评估结果</w:t>
      </w:r>
    </w:p>
    <w:p w14:paraId="5E850581">
      <w:pPr>
        <w:pStyle w:val="3"/>
        <w:numPr>
          <w:ilvl w:val="0"/>
          <w:numId w:val="2"/>
        </w:numPr>
        <w:bidi w:val="0"/>
        <w:rPr>
          <w:rFonts w:hint="eastAsia" w:ascii="黑体" w:hAnsi="黑体" w:eastAsia="黑体" w:cs="黑体"/>
          <w:sz w:val="30"/>
          <w:szCs w:val="30"/>
        </w:rPr>
      </w:pPr>
      <w:bookmarkStart w:id="14" w:name="_Toc21796"/>
      <w:r>
        <w:rPr>
          <w:rFonts w:hint="eastAsia" w:ascii="黑体" w:hAnsi="黑体" w:eastAsia="黑体" w:cs="黑体"/>
          <w:sz w:val="30"/>
          <w:szCs w:val="30"/>
          <w:lang w:val="en-US" w:eastAsia="zh-CN"/>
        </w:rPr>
        <w:t>模型建立与评估</w:t>
      </w:r>
      <w:bookmarkEnd w:id="14"/>
    </w:p>
    <w:p w14:paraId="34C982FA">
      <w:pPr>
        <w:pStyle w:val="4"/>
        <w:spacing w:before="0" w:after="0" w:line="480" w:lineRule="exact"/>
        <w:ind w:firstLine="560"/>
        <w:rPr>
          <w:rFonts w:hint="default" w:ascii="楷体" w:hAnsi="楷体" w:eastAsia="楷体" w:cs="楷体"/>
          <w:b w:val="0"/>
          <w:bCs/>
          <w:sz w:val="28"/>
          <w:szCs w:val="28"/>
          <w:lang w:val="en-US" w:eastAsia="zh-CN"/>
        </w:rPr>
      </w:pPr>
      <w:bookmarkStart w:id="15" w:name="_Toc3085"/>
      <w:r>
        <w:rPr>
          <w:rFonts w:hint="eastAsia" w:ascii="楷体" w:hAnsi="楷体" w:eastAsia="楷体" w:cs="楷体"/>
          <w:b w:val="0"/>
          <w:bCs/>
          <w:sz w:val="28"/>
          <w:szCs w:val="28"/>
        </w:rPr>
        <w:t>（一）</w:t>
      </w:r>
      <w:r>
        <w:rPr>
          <w:rFonts w:hint="eastAsia" w:ascii="楷体" w:hAnsi="楷体" w:eastAsia="楷体" w:cs="楷体"/>
          <w:b w:val="0"/>
          <w:bCs/>
          <w:sz w:val="28"/>
          <w:szCs w:val="28"/>
          <w:lang w:val="en-US" w:eastAsia="zh-CN"/>
        </w:rPr>
        <w:t>随机森林模型构建与分析</w:t>
      </w:r>
      <w:bookmarkEnd w:id="15"/>
    </w:p>
    <w:p w14:paraId="0A2E1D87">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在完成数据清洗与特征筛选后，本文首先采用随机森林（Random Forest）方法对糖尿病预测问题进行建模。随机森林作为一种集成学习算法，能够有效地处理非线性特征关系，且对异常值和高维数据具有较强的鲁棒性，因此在医学预测类任务中具有广泛的应用价值。</w:t>
      </w:r>
    </w:p>
    <w:p w14:paraId="16BC35D2">
      <w:pPr>
        <w:spacing w:line="480" w:lineRule="exact"/>
        <w:rPr>
          <w:rFonts w:hint="eastAsia" w:ascii="宋体" w:hAnsi="宋体" w:eastAsia="宋体" w:cs="宋体"/>
          <w:sz w:val="24"/>
          <w:szCs w:val="24"/>
          <w:lang w:val="en-US" w:eastAsia="zh-CN"/>
        </w:rPr>
      </w:pPr>
    </w:p>
    <w:p w14:paraId="7ED50D44">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模型构建流程：</w:t>
      </w:r>
    </w:p>
    <w:p w14:paraId="37C9A647">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训练集与测试集划分</w:t>
      </w:r>
    </w:p>
    <w:p w14:paraId="7D1F0E4A">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 sklearn 库中的 train_test_split 函数，将处理后的数据集按8:2 比例划分为训练集与测试集，保证建模过程中对模型泛化能力的合理考察。</w:t>
      </w:r>
    </w:p>
    <w:p w14:paraId="5F6E7B89">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模型训练</w:t>
      </w:r>
    </w:p>
    <w:p w14:paraId="4557ABEC">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调用 RandomForestClassifier 类，采用默认参数（n_estimators=100）进行模型初步训练，后续进行调参优化。使用训练集进行拟合，记录各特征在模型中的重要性评分。</w:t>
      </w:r>
    </w:p>
    <w:p w14:paraId="4157BB2F">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模型预测与评估</w:t>
      </w:r>
    </w:p>
    <w:p w14:paraId="0A0D2922">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在测试集上进行预测，并通过混淆矩阵（Confusion Matrix）、准确率（Accuracy）、查全率（Recall）、查准率（Precision）以及 F1 分数等指标对模型表现进行综合评估。</w:t>
      </w:r>
    </w:p>
    <w:p w14:paraId="65FDA4D9">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分类阈值调整</w:t>
      </w:r>
    </w:p>
    <w:p w14:paraId="056D9678">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为进一步提升模型对“患病”类别的识别能力，改进模型。又加入惩罚项，绘制了 Precision-Recall 曲线，并选取了阈值为 0.31 作为最优分类标准。该阈值下，模型在保证整体准确率的同时，提高了对阳性样本的召回能力。</w:t>
      </w:r>
    </w:p>
    <w:p w14:paraId="02B52FEB">
      <w:pPr>
        <w:pStyle w:val="2"/>
        <w:jc w:val="center"/>
      </w:pPr>
      <w:r>
        <w:drawing>
          <wp:inline distT="0" distB="0" distL="114300" distR="114300">
            <wp:extent cx="3562350" cy="1473200"/>
            <wp:effectExtent l="0" t="0" r="635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4"/>
                    <a:stretch>
                      <a:fillRect/>
                    </a:stretch>
                  </pic:blipFill>
                  <pic:spPr>
                    <a:xfrm>
                      <a:off x="0" y="0"/>
                      <a:ext cx="3562350" cy="1473200"/>
                    </a:xfrm>
                    <a:prstGeom prst="rect">
                      <a:avLst/>
                    </a:prstGeom>
                    <a:noFill/>
                    <a:ln>
                      <a:noFill/>
                    </a:ln>
                  </pic:spPr>
                </pic:pic>
              </a:graphicData>
            </a:graphic>
          </wp:inline>
        </w:drawing>
      </w:r>
    </w:p>
    <w:p w14:paraId="3E9F80E5">
      <w:pPr>
        <w:pStyle w:val="6"/>
        <w:jc w:val="center"/>
        <w:rPr>
          <w:rFonts w:hint="eastAsia" w:eastAsia="黑体"/>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val="en-US" w:eastAsia="zh-CN"/>
        </w:rPr>
        <w:t xml:space="preserve"> 随机森林第一次拟合结果</w:t>
      </w:r>
    </w:p>
    <w:p w14:paraId="069E8298">
      <w:pPr>
        <w:rPr>
          <w:rFonts w:hint="eastAsia"/>
          <w:lang w:val="en-US" w:eastAsia="zh-CN"/>
        </w:rPr>
      </w:pPr>
    </w:p>
    <w:p w14:paraId="1E46ED4C">
      <w:pPr>
        <w:jc w:val="center"/>
      </w:pPr>
      <w:r>
        <w:drawing>
          <wp:inline distT="0" distB="0" distL="114300" distR="114300">
            <wp:extent cx="5268595" cy="3065780"/>
            <wp:effectExtent l="0" t="0" r="1905" b="762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5"/>
                    <a:stretch>
                      <a:fillRect/>
                    </a:stretch>
                  </pic:blipFill>
                  <pic:spPr>
                    <a:xfrm>
                      <a:off x="0" y="0"/>
                      <a:ext cx="5268595" cy="3065780"/>
                    </a:xfrm>
                    <a:prstGeom prst="rect">
                      <a:avLst/>
                    </a:prstGeom>
                    <a:noFill/>
                    <a:ln>
                      <a:noFill/>
                    </a:ln>
                  </pic:spPr>
                </pic:pic>
              </a:graphicData>
            </a:graphic>
          </wp:inline>
        </w:drawing>
      </w:r>
    </w:p>
    <w:p w14:paraId="743877F9">
      <w:pPr>
        <w:pStyle w:val="6"/>
        <w:jc w:val="center"/>
        <w:rPr>
          <w:rFonts w:hint="eastAsia" w:eastAsia="黑体"/>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val="en-US" w:eastAsia="zh-CN"/>
        </w:rPr>
        <w:t xml:space="preserve"> 特征重要性结果可视化</w:t>
      </w:r>
    </w:p>
    <w:p w14:paraId="2E366E19">
      <w:pPr>
        <w:rPr>
          <w:rFonts w:hint="eastAsia"/>
          <w:lang w:val="en-US" w:eastAsia="zh-CN"/>
        </w:rPr>
      </w:pPr>
    </w:p>
    <w:p w14:paraId="1AC6BE2A">
      <w:pPr>
        <w:jc w:val="center"/>
      </w:pPr>
      <w:r>
        <w:drawing>
          <wp:inline distT="0" distB="0" distL="114300" distR="114300">
            <wp:extent cx="3422650" cy="2127250"/>
            <wp:effectExtent l="0" t="0" r="6350" b="635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6"/>
                    <a:stretch>
                      <a:fillRect/>
                    </a:stretch>
                  </pic:blipFill>
                  <pic:spPr>
                    <a:xfrm>
                      <a:off x="0" y="0"/>
                      <a:ext cx="3422650" cy="2127250"/>
                    </a:xfrm>
                    <a:prstGeom prst="rect">
                      <a:avLst/>
                    </a:prstGeom>
                    <a:noFill/>
                    <a:ln>
                      <a:noFill/>
                    </a:ln>
                  </pic:spPr>
                </pic:pic>
              </a:graphicData>
            </a:graphic>
          </wp:inline>
        </w:drawing>
      </w:r>
    </w:p>
    <w:p w14:paraId="0D5AF876">
      <w:pPr>
        <w:pStyle w:val="6"/>
        <w:jc w:val="center"/>
        <w:rPr>
          <w:rFonts w:hint="eastAsia" w:eastAsia="黑体"/>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val="en-US" w:eastAsia="zh-CN"/>
        </w:rPr>
        <w:t xml:space="preserve"> 加入惩罚项，调整参数后拟合结果</w:t>
      </w:r>
    </w:p>
    <w:p w14:paraId="321152F5">
      <w:pPr>
        <w:rPr>
          <w:rFonts w:hint="eastAsia"/>
          <w:lang w:val="en-US" w:eastAsia="zh-CN"/>
        </w:rPr>
      </w:pPr>
    </w:p>
    <w:p w14:paraId="24E8D2F8">
      <w:pPr>
        <w:jc w:val="center"/>
      </w:pPr>
      <w:r>
        <w:drawing>
          <wp:inline distT="0" distB="0" distL="114300" distR="114300">
            <wp:extent cx="4947285" cy="3089275"/>
            <wp:effectExtent l="0" t="0" r="5715" b="9525"/>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7"/>
                    <a:stretch>
                      <a:fillRect/>
                    </a:stretch>
                  </pic:blipFill>
                  <pic:spPr>
                    <a:xfrm>
                      <a:off x="0" y="0"/>
                      <a:ext cx="4947285" cy="3089275"/>
                    </a:xfrm>
                    <a:prstGeom prst="rect">
                      <a:avLst/>
                    </a:prstGeom>
                    <a:noFill/>
                    <a:ln>
                      <a:noFill/>
                    </a:ln>
                  </pic:spPr>
                </pic:pic>
              </a:graphicData>
            </a:graphic>
          </wp:inline>
        </w:drawing>
      </w:r>
    </w:p>
    <w:p w14:paraId="77EBA7A0">
      <w:pPr>
        <w:pStyle w:val="6"/>
        <w:jc w:val="center"/>
        <w:rPr>
          <w:rFonts w:hint="eastAsia" w:eastAsia="黑体"/>
          <w:lang w:val="en-US" w:eastAsia="zh-CN"/>
        </w:rPr>
      </w:pPr>
      <w:r>
        <w:t xml:space="preserve">图 </w:t>
      </w:r>
      <w:r>
        <w:fldChar w:fldCharType="begin"/>
      </w:r>
      <w:r>
        <w:instrText xml:space="preserve"> SEQ 图 \* ARABIC </w:instrText>
      </w:r>
      <w:r>
        <w:fldChar w:fldCharType="separate"/>
      </w:r>
      <w:r>
        <w:t>26</w:t>
      </w:r>
      <w:r>
        <w:fldChar w:fldCharType="end"/>
      </w:r>
      <w:r>
        <w:rPr>
          <w:rFonts w:hint="eastAsia"/>
          <w:lang w:val="en-US" w:eastAsia="zh-CN"/>
        </w:rPr>
        <w:t xml:space="preserve"> 不同参数对应召回率折线图</w:t>
      </w:r>
    </w:p>
    <w:p w14:paraId="0737F5E8">
      <w:pPr>
        <w:rPr>
          <w:rFonts w:hint="default"/>
          <w:lang w:val="en-US" w:eastAsia="zh-CN"/>
        </w:rPr>
      </w:pPr>
    </w:p>
    <w:p w14:paraId="16F56975">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模型评估结果：</w:t>
      </w:r>
    </w:p>
    <w:p w14:paraId="3D268C9D">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在调整后的分类阈值（0.31）下，模型在测试集上的表现如下：</w:t>
      </w:r>
    </w:p>
    <w:p w14:paraId="085DB6EB">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准确率（Accuracy）：96%</w:t>
      </w:r>
    </w:p>
    <w:p w14:paraId="7ED6F7FE">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召回率（Recall）：约 75%</w:t>
      </w:r>
    </w:p>
    <w:p w14:paraId="15157626">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查准率（Precision）：约 80%</w:t>
      </w:r>
    </w:p>
    <w:p w14:paraId="33702D25">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F1-score：综合权衡精确率与召回率，表现稳定</w:t>
      </w:r>
    </w:p>
    <w:p w14:paraId="28ADE101">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特征重要性排名：HbA1c_level、Blood Glucose Level、BMI 等变量在模型中权重较高，符合医学研究对糖尿病风险因素的既有认知。</w:t>
      </w:r>
    </w:p>
    <w:p w14:paraId="6A08FD68">
      <w:pPr>
        <w:spacing w:line="480" w:lineRule="exact"/>
        <w:rPr>
          <w:rFonts w:hint="eastAsia" w:ascii="宋体" w:hAnsi="宋体" w:eastAsia="宋体" w:cs="宋体"/>
          <w:sz w:val="24"/>
          <w:szCs w:val="24"/>
          <w:lang w:val="en-US" w:eastAsia="zh-CN"/>
        </w:rPr>
      </w:pPr>
    </w:p>
    <w:p w14:paraId="16AB7841">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评估结论：</w:t>
      </w:r>
    </w:p>
    <w:p w14:paraId="7E64E34B">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随机森林模型在本数据集上表现优异，分类边界灵活、精度与召回能力兼备，适用于实际的临床辅助判断任务。通过调节阈值优化召回率，有助于减少漏诊风险，提高对潜在糖尿病患者的识别能力。</w:t>
      </w:r>
    </w:p>
    <w:p w14:paraId="692A960B">
      <w:pPr>
        <w:pStyle w:val="4"/>
        <w:spacing w:before="0" w:after="0" w:line="480" w:lineRule="exact"/>
        <w:ind w:firstLine="560"/>
        <w:rPr>
          <w:rFonts w:hint="default" w:ascii="楷体" w:hAnsi="楷体" w:eastAsia="楷体" w:cs="楷体"/>
          <w:b w:val="0"/>
          <w:bCs/>
          <w:sz w:val="28"/>
          <w:szCs w:val="28"/>
          <w:lang w:val="en-US" w:eastAsia="zh-CN"/>
        </w:rPr>
      </w:pPr>
      <w:bookmarkStart w:id="16" w:name="_Toc986"/>
      <w:r>
        <w:rPr>
          <w:rFonts w:hint="eastAsia" w:ascii="楷体" w:hAnsi="楷体" w:eastAsia="楷体" w:cs="楷体"/>
          <w:b w:val="0"/>
          <w:bCs/>
          <w:sz w:val="28"/>
          <w:szCs w:val="28"/>
          <w:lang w:val="en-US" w:eastAsia="zh-CN"/>
        </w:rPr>
        <w:t>（二）逻辑回归模型构建与分析</w:t>
      </w:r>
      <w:bookmarkEnd w:id="16"/>
    </w:p>
    <w:p w14:paraId="0BF709E0">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在随机森林模型基础上，本研究进一步构建了逻辑回归（Logistic Regression）模型作为对比基准。逻辑回归作为一种经典的广义线性模型，具有模型结构简单、计算效率高、参数可解释性强等优点，在医学预测任务中能够提供清晰的变量影响分析。</w:t>
      </w:r>
    </w:p>
    <w:p w14:paraId="486ABC8D">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模型构建流程</w:t>
      </w:r>
    </w:p>
    <w:p w14:paraId="609D408F">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 数据预处理与特征标准化</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考虑到逻辑回归模型对特征尺度的敏感性，在模型训练前对所有连续型特征（年龄、BMI、HbA1c_level、blood_glucose_level）进行了Z-score标准化处理，消除量纲差异对模型系数的影响。分类特征（性别、高血压、心脏病史、吸烟史）保持原始数值编码不变。</w:t>
      </w:r>
    </w:p>
    <w:p w14:paraId="4B2A0E67">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 训练集与测试集划分</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采用与随机森林模型相同的8:2划分比例，确保两种模型在相同的数据子集上进行训练与测试，保证对比的公平性。同时设置分层抽样（stratified sampling），维持训练集与测试集中糖尿病患病比例的一致性。</w:t>
      </w:r>
    </w:p>
    <w:p w14:paraId="6BC07EB9">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 模型训练与参数设置</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使用Scikit-learn库中的LogisticRegression类进行模型训练，关键参数配置如下：</w:t>
      </w:r>
    </w:p>
    <w:p w14:paraId="1A66C267">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正则化方式：L2正则化（Ridge Regression）</w:t>
      </w:r>
    </w:p>
    <w:p w14:paraId="3A3BE55F">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类别权重：balanced（自动调整类别不平衡）</w:t>
      </w:r>
    </w:p>
    <w:p w14:paraId="35CD07A3">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随机种子：42（保证结果可复现性）</w:t>
      </w:r>
    </w:p>
    <w:p w14:paraId="7533E544">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最大迭代次数：1000（确保模型收敛）</w:t>
      </w:r>
    </w:p>
    <w:p w14:paraId="3AC40D06">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 分类阈值优化</w:t>
      </w:r>
    </w:p>
    <w:p w14:paraId="406E0C35">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为进一步提升模型对糖尿病阳性病例的识别能力，本研究对逻辑回归模型的分类阈值进行了系统优化。通过绘制精确率-召回率曲线（Precision-Recall Curve），分析不同阈值下模型性能的权衡关系，最终确定0.28为最优分类阈值。</w:t>
      </w:r>
    </w:p>
    <w:p w14:paraId="553DCD75">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此阈值下，模型在保持整体分类准确性的基础上，显著提升了对糖尿病患者的召回能力，将召回率从默认阈值下的0.65提升至0.72，同时精确率维持在0.78的合理水平。这一优化策略有效降低了糖尿病筛查中的漏诊风险，更符合临床实践中"宁可错杀、不可漏网"的疾病筛查原则。</w:t>
      </w:r>
    </w:p>
    <w:p w14:paraId="2CB75A42">
      <w:pPr>
        <w:spacing w:line="240" w:lineRule="auto"/>
        <w:ind w:firstLine="480" w:firstLineChars="200"/>
        <w:rPr>
          <w:rFonts w:hint="default" w:ascii="宋体" w:hAnsi="宋体" w:eastAsia="宋体" w:cs="宋体"/>
          <w:sz w:val="24"/>
          <w:szCs w:val="24"/>
          <w:lang w:val="en-US" w:eastAsia="zh-CN"/>
        </w:rPr>
      </w:pPr>
    </w:p>
    <w:p w14:paraId="55B4DA9B">
      <w:pPr>
        <w:spacing w:line="240" w:lineRule="auto"/>
        <w:ind w:firstLine="480" w:firstLineChars="20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044950" cy="2859405"/>
            <wp:effectExtent l="0" t="0" r="6350" b="0"/>
            <wp:docPr id="44" name="图片 44" descr="下载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下载 (4)"/>
                    <pic:cNvPicPr>
                      <a:picLocks noChangeAspect="1"/>
                    </pic:cNvPicPr>
                  </pic:nvPicPr>
                  <pic:blipFill>
                    <a:blip r:embed="rId38"/>
                    <a:stretch>
                      <a:fillRect/>
                    </a:stretch>
                  </pic:blipFill>
                  <pic:spPr>
                    <a:xfrm>
                      <a:off x="0" y="0"/>
                      <a:ext cx="4044950" cy="2859405"/>
                    </a:xfrm>
                    <a:prstGeom prst="rect">
                      <a:avLst/>
                    </a:prstGeom>
                  </pic:spPr>
                </pic:pic>
              </a:graphicData>
            </a:graphic>
          </wp:inline>
        </w:drawing>
      </w:r>
    </w:p>
    <w:p w14:paraId="3B14396E">
      <w:pPr>
        <w:pStyle w:val="6"/>
        <w:jc w:val="center"/>
        <w:rPr>
          <w:rFonts w:hint="eastAsia"/>
          <w:lang w:val="en-US" w:eastAsia="zh-CN"/>
        </w:rPr>
      </w:pPr>
      <w:r>
        <w:t xml:space="preserve">图 </w:t>
      </w:r>
      <w:r>
        <w:fldChar w:fldCharType="begin"/>
      </w:r>
      <w:r>
        <w:instrText xml:space="preserve"> SEQ 图 \* ARABIC </w:instrText>
      </w:r>
      <w:r>
        <w:fldChar w:fldCharType="separate"/>
      </w:r>
      <w:r>
        <w:t>27</w:t>
      </w:r>
      <w:r>
        <w:fldChar w:fldCharType="end"/>
      </w:r>
      <w:r>
        <w:rPr>
          <w:rFonts w:hint="eastAsia"/>
          <w:lang w:val="en-US" w:eastAsia="zh-CN"/>
        </w:rPr>
        <w:t xml:space="preserve"> 患病率预测概率分布</w:t>
      </w:r>
    </w:p>
    <w:p w14:paraId="5965717D">
      <w:pPr>
        <w:rPr>
          <w:rFonts w:hint="default"/>
          <w:lang w:val="en-US" w:eastAsia="zh-CN"/>
        </w:rPr>
      </w:pPr>
    </w:p>
    <w:p w14:paraId="44B929DE">
      <w:pPr>
        <w:pStyle w:val="2"/>
        <w:jc w:val="center"/>
        <w:rPr>
          <w:rFonts w:hint="default"/>
          <w:lang w:val="en-US" w:eastAsia="zh-CN"/>
        </w:rPr>
      </w:pPr>
      <w:r>
        <w:rPr>
          <w:rFonts w:hint="default"/>
          <w:lang w:val="en-US" w:eastAsia="zh-CN"/>
        </w:rPr>
        <w:drawing>
          <wp:inline distT="0" distB="0" distL="114300" distR="114300">
            <wp:extent cx="4123055" cy="2722245"/>
            <wp:effectExtent l="0" t="0" r="4445" b="0"/>
            <wp:docPr id="45" name="图片 45" descr="下载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下载 (5)"/>
                    <pic:cNvPicPr>
                      <a:picLocks noChangeAspect="1"/>
                    </pic:cNvPicPr>
                  </pic:nvPicPr>
                  <pic:blipFill>
                    <a:blip r:embed="rId39"/>
                    <a:stretch>
                      <a:fillRect/>
                    </a:stretch>
                  </pic:blipFill>
                  <pic:spPr>
                    <a:xfrm>
                      <a:off x="0" y="0"/>
                      <a:ext cx="4123055" cy="2722245"/>
                    </a:xfrm>
                    <a:prstGeom prst="rect">
                      <a:avLst/>
                    </a:prstGeom>
                  </pic:spPr>
                </pic:pic>
              </a:graphicData>
            </a:graphic>
          </wp:inline>
        </w:drawing>
      </w:r>
    </w:p>
    <w:p w14:paraId="6B58750A">
      <w:pPr>
        <w:pStyle w:val="6"/>
        <w:jc w:val="center"/>
        <w:rPr>
          <w:rFonts w:hint="eastAsia"/>
          <w:lang w:val="en-US" w:eastAsia="zh-CN"/>
        </w:rPr>
      </w:pPr>
      <w:r>
        <w:t xml:space="preserve">图 </w:t>
      </w:r>
      <w:r>
        <w:fldChar w:fldCharType="begin"/>
      </w:r>
      <w:r>
        <w:instrText xml:space="preserve"> SEQ 图 \* ARABIC </w:instrText>
      </w:r>
      <w:r>
        <w:fldChar w:fldCharType="separate"/>
      </w:r>
      <w:r>
        <w:t>28</w:t>
      </w:r>
      <w:r>
        <w:fldChar w:fldCharType="end"/>
      </w:r>
      <w:r>
        <w:rPr>
          <w:rFonts w:hint="eastAsia"/>
          <w:lang w:val="en-US" w:eastAsia="zh-CN"/>
        </w:rPr>
        <w:t xml:space="preserve"> 不同阈值下的精确率和召回率</w:t>
      </w:r>
    </w:p>
    <w:p w14:paraId="69EA02F6">
      <w:pPr>
        <w:rPr>
          <w:rFonts w:hint="default"/>
          <w:lang w:val="en-US" w:eastAsia="zh-CN"/>
        </w:rPr>
      </w:pPr>
    </w:p>
    <w:p w14:paraId="241648AC">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模型性能评估</w:t>
      </w:r>
    </w:p>
    <w:p w14:paraId="0A6203F4">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逻辑回归模型在测试集上表现出良好的预测性能，具体评估结果如下：</w:t>
      </w:r>
    </w:p>
    <w:p w14:paraId="5C7BC6A2">
      <w:pPr>
        <w:pStyle w:val="2"/>
        <w:jc w:val="center"/>
        <w:rPr>
          <w:rFonts w:hint="default"/>
          <w:lang w:val="en-US" w:eastAsia="zh-CN"/>
        </w:rPr>
      </w:pPr>
      <w:r>
        <w:rPr>
          <w:rFonts w:hint="default"/>
          <w:lang w:val="en-US" w:eastAsia="zh-CN"/>
        </w:rPr>
        <w:drawing>
          <wp:inline distT="0" distB="0" distL="114300" distR="114300">
            <wp:extent cx="2997835" cy="2203450"/>
            <wp:effectExtent l="0" t="0" r="0" b="0"/>
            <wp:docPr id="38" name="图片 38" descr="混淆矩阵"/>
            <wp:cNvGraphicFramePr/>
            <a:graphic xmlns:a="http://schemas.openxmlformats.org/drawingml/2006/main">
              <a:graphicData uri="http://schemas.openxmlformats.org/drawingml/2006/picture">
                <pic:pic xmlns:pic="http://schemas.openxmlformats.org/drawingml/2006/picture">
                  <pic:nvPicPr>
                    <pic:cNvPr id="38" name="图片 38" descr="混淆矩阵"/>
                    <pic:cNvPicPr/>
                  </pic:nvPicPr>
                  <pic:blipFill>
                    <a:blip r:embed="rId40"/>
                    <a:stretch>
                      <a:fillRect/>
                    </a:stretch>
                  </pic:blipFill>
                  <pic:spPr>
                    <a:xfrm>
                      <a:off x="0" y="0"/>
                      <a:ext cx="2997835" cy="2203450"/>
                    </a:xfrm>
                    <a:prstGeom prst="rect">
                      <a:avLst/>
                    </a:prstGeom>
                  </pic:spPr>
                </pic:pic>
              </a:graphicData>
            </a:graphic>
          </wp:inline>
        </w:drawing>
      </w:r>
    </w:p>
    <w:p w14:paraId="3303D817">
      <w:pPr>
        <w:pStyle w:val="6"/>
        <w:jc w:val="center"/>
        <w:rPr>
          <w:rFonts w:hint="eastAsia"/>
          <w:lang w:val="en-US" w:eastAsia="zh-CN"/>
        </w:rPr>
      </w:pPr>
      <w:r>
        <w:t xml:space="preserve">图 </w:t>
      </w:r>
      <w:r>
        <w:fldChar w:fldCharType="begin"/>
      </w:r>
      <w:r>
        <w:instrText xml:space="preserve"> SEQ 图 \* ARABIC </w:instrText>
      </w:r>
      <w:r>
        <w:fldChar w:fldCharType="separate"/>
      </w:r>
      <w:r>
        <w:t>29</w:t>
      </w:r>
      <w:r>
        <w:fldChar w:fldCharType="end"/>
      </w:r>
      <w:r>
        <w:rPr>
          <w:rFonts w:hint="eastAsia"/>
          <w:lang w:val="en-US" w:eastAsia="zh-CN"/>
        </w:rPr>
        <w:t xml:space="preserve"> 逻辑回归模型的混淆矩阵</w:t>
      </w:r>
    </w:p>
    <w:p w14:paraId="01D9FF37">
      <w:pPr>
        <w:rPr>
          <w:rFonts w:hint="eastAsia"/>
          <w:lang w:val="en-US" w:eastAsia="zh-CN"/>
        </w:rPr>
      </w:pPr>
    </w:p>
    <w:p w14:paraId="63EEAD16">
      <w:pPr>
        <w:spacing w:line="240" w:lineRule="auto"/>
        <w:ind w:firstLine="480" w:firstLineChars="20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083685" cy="2604770"/>
            <wp:effectExtent l="0" t="0" r="0" b="0"/>
            <wp:docPr id="39" name="图片 39" descr="下载"/>
            <wp:cNvGraphicFramePr/>
            <a:graphic xmlns:a="http://schemas.openxmlformats.org/drawingml/2006/main">
              <a:graphicData uri="http://schemas.openxmlformats.org/drawingml/2006/picture">
                <pic:pic xmlns:pic="http://schemas.openxmlformats.org/drawingml/2006/picture">
                  <pic:nvPicPr>
                    <pic:cNvPr id="39" name="图片 39" descr="下载"/>
                    <pic:cNvPicPr/>
                  </pic:nvPicPr>
                  <pic:blipFill>
                    <a:blip r:embed="rId41"/>
                    <a:stretch>
                      <a:fillRect/>
                    </a:stretch>
                  </pic:blipFill>
                  <pic:spPr>
                    <a:xfrm>
                      <a:off x="0" y="0"/>
                      <a:ext cx="4083685" cy="2604770"/>
                    </a:xfrm>
                    <a:prstGeom prst="rect">
                      <a:avLst/>
                    </a:prstGeom>
                  </pic:spPr>
                </pic:pic>
              </a:graphicData>
            </a:graphic>
          </wp:inline>
        </w:drawing>
      </w:r>
    </w:p>
    <w:p w14:paraId="323AA3DE">
      <w:pPr>
        <w:pStyle w:val="6"/>
        <w:jc w:val="center"/>
        <w:rPr>
          <w:rFonts w:hint="eastAsia"/>
          <w:lang w:val="en-US" w:eastAsia="zh-CN"/>
        </w:rPr>
      </w:pPr>
      <w:r>
        <w:t xml:space="preserve">图 </w:t>
      </w:r>
      <w:r>
        <w:fldChar w:fldCharType="begin"/>
      </w:r>
      <w:r>
        <w:instrText xml:space="preserve"> SEQ 图 \* ARABIC </w:instrText>
      </w:r>
      <w:r>
        <w:fldChar w:fldCharType="separate"/>
      </w:r>
      <w:r>
        <w:t>30</w:t>
      </w:r>
      <w:r>
        <w:fldChar w:fldCharType="end"/>
      </w:r>
      <w:r>
        <w:rPr>
          <w:rFonts w:hint="eastAsia"/>
          <w:lang w:val="en-US" w:eastAsia="zh-CN"/>
        </w:rPr>
        <w:t xml:space="preserve"> 逻辑回归模型的ROC曲线</w:t>
      </w:r>
    </w:p>
    <w:p w14:paraId="2CE54DAB">
      <w:pPr>
        <w:rPr>
          <w:rFonts w:hint="eastAsia"/>
          <w:lang w:val="en-US" w:eastAsia="zh-CN"/>
        </w:rPr>
      </w:pPr>
    </w:p>
    <w:p w14:paraId="0C41F31D">
      <w:pPr>
        <w:spacing w:line="240" w:lineRule="auto"/>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843020" cy="2537460"/>
            <wp:effectExtent l="0" t="0" r="5080" b="0"/>
            <wp:docPr id="40" name="图片 40"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下载 (1)"/>
                    <pic:cNvPicPr>
                      <a:picLocks noChangeAspect="1"/>
                    </pic:cNvPicPr>
                  </pic:nvPicPr>
                  <pic:blipFill>
                    <a:blip r:embed="rId42"/>
                    <a:stretch>
                      <a:fillRect/>
                    </a:stretch>
                  </pic:blipFill>
                  <pic:spPr>
                    <a:xfrm>
                      <a:off x="0" y="0"/>
                      <a:ext cx="3843020" cy="2537460"/>
                    </a:xfrm>
                    <a:prstGeom prst="rect">
                      <a:avLst/>
                    </a:prstGeom>
                  </pic:spPr>
                </pic:pic>
              </a:graphicData>
            </a:graphic>
          </wp:inline>
        </w:drawing>
      </w:r>
    </w:p>
    <w:p w14:paraId="455DB82E">
      <w:pPr>
        <w:pStyle w:val="6"/>
        <w:jc w:val="center"/>
        <w:rPr>
          <w:rFonts w:hint="eastAsia" w:eastAsia="黑体"/>
          <w:lang w:val="en-US" w:eastAsia="zh-CN"/>
        </w:rPr>
      </w:pPr>
      <w:r>
        <w:t xml:space="preserve">图 </w:t>
      </w:r>
      <w:r>
        <w:fldChar w:fldCharType="begin"/>
      </w:r>
      <w:r>
        <w:instrText xml:space="preserve"> SEQ 图 \* ARABIC </w:instrText>
      </w:r>
      <w:r>
        <w:fldChar w:fldCharType="separate"/>
      </w:r>
      <w:r>
        <w:t>31</w:t>
      </w:r>
      <w:r>
        <w:fldChar w:fldCharType="end"/>
      </w:r>
      <w:r>
        <w:rPr>
          <w:rFonts w:hint="eastAsia"/>
          <w:lang w:val="en-US" w:eastAsia="zh-CN"/>
        </w:rPr>
        <w:t xml:space="preserve"> 逻辑回归模型的精确率-召回率曲线</w:t>
      </w:r>
    </w:p>
    <w:p w14:paraId="5E4D60F8">
      <w:pPr>
        <w:spacing w:line="480" w:lineRule="exact"/>
        <w:ind w:firstLine="480" w:firstLineChars="200"/>
        <w:rPr>
          <w:rFonts w:hint="default" w:ascii="宋体" w:hAnsi="宋体" w:eastAsia="宋体" w:cs="宋体"/>
          <w:sz w:val="24"/>
          <w:szCs w:val="24"/>
          <w:lang w:val="en-US" w:eastAsia="zh-CN"/>
        </w:rPr>
      </w:pPr>
    </w:p>
    <w:p w14:paraId="29A89FAB">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关键性能指标：</w:t>
      </w:r>
    </w:p>
    <w:p w14:paraId="5279F692">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准确率（Accuracy）：0.95</w:t>
      </w:r>
    </w:p>
    <w:p w14:paraId="473F6EFB">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召回率（Recall）：0.72</w:t>
      </w:r>
    </w:p>
    <w:p w14:paraId="0E29CEF4">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查准率（Precision）：0.78</w:t>
      </w:r>
    </w:p>
    <w:p w14:paraId="635CC031">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F1-score：0.75</w:t>
      </w:r>
    </w:p>
    <w:p w14:paraId="441D7788">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AUC-ROC：0.98</w:t>
      </w:r>
    </w:p>
    <w:p w14:paraId="26F9582F">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从混淆矩阵分析可见，逻辑回归模型在多数类别（未患病）上表现出较高的分类精度，同时对糖尿病病例也保持了可观的识别能力，体现了模型在平衡精确率与召回率方面的有效性。</w:t>
      </w:r>
    </w:p>
    <w:p w14:paraId="1BB855F0">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通过对逻辑回归模型系数的分析，获得了各特征对糖尿病风险的定量影响：</w:t>
      </w:r>
    </w:p>
    <w:tbl>
      <w:tblPr>
        <w:tblStyle w:val="12"/>
        <w:tblW w:w="852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45" w:type="dxa"/>
          <w:left w:w="96" w:type="dxa"/>
          <w:bottom w:w="45" w:type="dxa"/>
          <w:right w:w="96" w:type="dxa"/>
        </w:tblCellMar>
      </w:tblPr>
      <w:tblGrid>
        <w:gridCol w:w="1780"/>
        <w:gridCol w:w="852"/>
        <w:gridCol w:w="1392"/>
        <w:gridCol w:w="4498"/>
      </w:tblGrid>
      <w:tr w14:paraId="718C18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45" w:type="dxa"/>
            <w:left w:w="96" w:type="dxa"/>
            <w:bottom w:w="45" w:type="dxa"/>
            <w:right w:w="96" w:type="dxa"/>
          </w:tblCellMar>
        </w:tblPrEx>
        <w:trPr>
          <w:trHeight w:val="0" w:hRule="atLeast"/>
          <w:tblHeader/>
          <w:jc w:val="center"/>
        </w:trPr>
        <w:tc>
          <w:tcPr>
            <w:tcW w:w="1780" w:type="dxa"/>
            <w:tcBorders>
              <w:top w:val="single" w:color="000000" w:themeColor="dark1" w:sz="12" w:space="0"/>
              <w:left w:val="nil"/>
              <w:bottom w:val="single" w:color="000000" w:themeColor="dark1" w:sz="6" w:space="0"/>
              <w:right w:val="nil"/>
            </w:tcBorders>
            <w:shd w:val="clear" w:color="auto" w:fill="FFFFFF"/>
            <w:vAlign w:val="center"/>
          </w:tcPr>
          <w:p w14:paraId="2664C656">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ascii="Segoe UI" w:hAnsi="Segoe UI" w:eastAsia="Segoe UI" w:cs="Segoe UI"/>
                <w:b/>
                <w:i w:val="0"/>
                <w:iCs w:val="0"/>
                <w:caps w:val="0"/>
                <w:color w:val="000000" w:themeColor="dark1"/>
                <w:spacing w:val="0"/>
                <w:sz w:val="18"/>
                <w:szCs w:val="18"/>
                <w14:textFill>
                  <w14:solidFill>
                    <w14:schemeClr w14:val="dk1"/>
                  </w14:solidFill>
                </w14:textFill>
              </w:rPr>
            </w:pPr>
            <w:r>
              <w:rPr>
                <w:rFonts w:hint="eastAsia" w:ascii="Segoe UI" w:hAnsi="Segoe UI" w:eastAsia="Segoe UI" w:cs="Segoe UI"/>
                <w:b/>
                <w:i w:val="0"/>
                <w:iCs w:val="0"/>
                <w:caps w:val="0"/>
                <w:color w:val="000000" w:themeColor="dark1"/>
                <w:spacing w:val="0"/>
                <w:kern w:val="0"/>
                <w:sz w:val="18"/>
                <w:szCs w:val="18"/>
                <w:lang w:val="en-US" w:eastAsia="zh-CN" w:bidi="ar"/>
                <w14:textFill>
                  <w14:solidFill>
                    <w14:schemeClr w14:val="dk1"/>
                  </w14:solidFill>
                </w14:textFill>
              </w:rPr>
              <w:t>特征变量</w:t>
            </w:r>
          </w:p>
        </w:tc>
        <w:tc>
          <w:tcPr>
            <w:tcW w:w="852" w:type="dxa"/>
            <w:tcBorders>
              <w:top w:val="single" w:color="000000" w:themeColor="dark1" w:sz="12" w:space="0"/>
              <w:left w:val="nil"/>
              <w:bottom w:val="single" w:color="000000" w:themeColor="dark1" w:sz="6" w:space="0"/>
              <w:right w:val="nil"/>
            </w:tcBorders>
            <w:shd w:val="clear" w:color="auto" w:fill="FFFFFF"/>
            <w:vAlign w:val="center"/>
          </w:tcPr>
          <w:p w14:paraId="3C4F34B2">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i w:val="0"/>
                <w:iCs w:val="0"/>
                <w:caps w:val="0"/>
                <w:color w:val="000000" w:themeColor="dark1"/>
                <w:spacing w:val="0"/>
                <w:sz w:val="18"/>
                <w:szCs w:val="18"/>
                <w14:textFill>
                  <w14:solidFill>
                    <w14:schemeClr w14:val="dk1"/>
                  </w14:solidFill>
                </w14:textFill>
              </w:rPr>
            </w:pPr>
            <w:r>
              <w:rPr>
                <w:rFonts w:hint="eastAsia" w:ascii="Segoe UI" w:hAnsi="Segoe UI" w:eastAsia="Segoe UI" w:cs="Segoe UI"/>
                <w:b/>
                <w:i w:val="0"/>
                <w:iCs w:val="0"/>
                <w:caps w:val="0"/>
                <w:color w:val="000000" w:themeColor="dark1"/>
                <w:spacing w:val="0"/>
                <w:kern w:val="0"/>
                <w:sz w:val="18"/>
                <w:szCs w:val="18"/>
                <w:lang w:val="en-US" w:eastAsia="zh-CN" w:bidi="ar"/>
                <w14:textFill>
                  <w14:solidFill>
                    <w14:schemeClr w14:val="dk1"/>
                  </w14:solidFill>
                </w14:textFill>
              </w:rPr>
              <w:t>系数值</w:t>
            </w:r>
          </w:p>
        </w:tc>
        <w:tc>
          <w:tcPr>
            <w:tcW w:w="1392" w:type="dxa"/>
            <w:tcBorders>
              <w:top w:val="single" w:color="000000" w:themeColor="dark1" w:sz="12" w:space="0"/>
              <w:left w:val="nil"/>
              <w:bottom w:val="single" w:color="000000" w:themeColor="dark1" w:sz="6" w:space="0"/>
              <w:right w:val="nil"/>
            </w:tcBorders>
            <w:shd w:val="clear" w:color="auto" w:fill="FFFFFF"/>
            <w:vAlign w:val="center"/>
          </w:tcPr>
          <w:p w14:paraId="125ED20C">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i w:val="0"/>
                <w:iCs w:val="0"/>
                <w:caps w:val="0"/>
                <w:color w:val="000000" w:themeColor="dark1"/>
                <w:spacing w:val="0"/>
                <w:sz w:val="18"/>
                <w:szCs w:val="18"/>
                <w14:textFill>
                  <w14:solidFill>
                    <w14:schemeClr w14:val="dk1"/>
                  </w14:solidFill>
                </w14:textFill>
              </w:rPr>
            </w:pPr>
            <w:r>
              <w:rPr>
                <w:rFonts w:hint="eastAsia" w:ascii="Segoe UI" w:hAnsi="Segoe UI" w:eastAsia="Segoe UI" w:cs="Segoe UI"/>
                <w:b/>
                <w:i w:val="0"/>
                <w:iCs w:val="0"/>
                <w:caps w:val="0"/>
                <w:color w:val="000000" w:themeColor="dark1"/>
                <w:spacing w:val="0"/>
                <w:kern w:val="0"/>
                <w:sz w:val="18"/>
                <w:szCs w:val="18"/>
                <w:lang w:val="en-US" w:eastAsia="zh-CN" w:bidi="ar"/>
                <w14:textFill>
                  <w14:solidFill>
                    <w14:schemeClr w14:val="dk1"/>
                  </w14:solidFill>
                </w14:textFill>
              </w:rPr>
              <w:t>影响程度排名</w:t>
            </w:r>
          </w:p>
        </w:tc>
        <w:tc>
          <w:tcPr>
            <w:tcW w:w="4498" w:type="dxa"/>
            <w:tcBorders>
              <w:top w:val="single" w:color="000000" w:themeColor="dark1" w:sz="12" w:space="0"/>
              <w:left w:val="nil"/>
              <w:bottom w:val="single" w:color="000000" w:themeColor="dark1" w:sz="6" w:space="0"/>
              <w:right w:val="nil"/>
            </w:tcBorders>
            <w:shd w:val="clear" w:color="auto" w:fill="FFFFFF"/>
            <w:vAlign w:val="center"/>
          </w:tcPr>
          <w:p w14:paraId="708320D7">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i w:val="0"/>
                <w:iCs w:val="0"/>
                <w:caps w:val="0"/>
                <w:color w:val="000000" w:themeColor="dark1"/>
                <w:spacing w:val="0"/>
                <w:sz w:val="18"/>
                <w:szCs w:val="18"/>
                <w14:textFill>
                  <w14:solidFill>
                    <w14:schemeClr w14:val="dk1"/>
                  </w14:solidFill>
                </w14:textFill>
              </w:rPr>
            </w:pPr>
            <w:r>
              <w:rPr>
                <w:rFonts w:hint="eastAsia" w:ascii="Segoe UI" w:hAnsi="Segoe UI" w:eastAsia="Segoe UI" w:cs="Segoe UI"/>
                <w:b/>
                <w:i w:val="0"/>
                <w:iCs w:val="0"/>
                <w:caps w:val="0"/>
                <w:color w:val="000000" w:themeColor="dark1"/>
                <w:spacing w:val="0"/>
                <w:kern w:val="0"/>
                <w:sz w:val="18"/>
                <w:szCs w:val="18"/>
                <w:lang w:val="en-US" w:eastAsia="zh-CN" w:bidi="ar"/>
                <w14:textFill>
                  <w14:solidFill>
                    <w14:schemeClr w14:val="dk1"/>
                  </w14:solidFill>
                </w14:textFill>
              </w:rPr>
              <w:t>医学解释</w:t>
            </w:r>
          </w:p>
        </w:tc>
      </w:tr>
      <w:tr w14:paraId="2C3737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45" w:type="dxa"/>
            <w:left w:w="96" w:type="dxa"/>
            <w:bottom w:w="45" w:type="dxa"/>
            <w:right w:w="96" w:type="dxa"/>
          </w:tblCellMar>
        </w:tblPrEx>
        <w:trPr>
          <w:trHeight w:val="0" w:hRule="atLeast"/>
          <w:jc w:val="center"/>
        </w:trPr>
        <w:tc>
          <w:tcPr>
            <w:tcW w:w="1780" w:type="dxa"/>
            <w:tcBorders>
              <w:top w:val="single" w:color="000000" w:themeColor="dark1" w:sz="6" w:space="0"/>
              <w:left w:val="nil"/>
              <w:bottom w:val="nil"/>
              <w:right w:val="nil"/>
            </w:tcBorders>
            <w:shd w:val="clear" w:color="auto" w:fill="FFFFFF"/>
            <w:vAlign w:val="center"/>
          </w:tcPr>
          <w:p w14:paraId="7EA21D76">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HbA1c_level</w:t>
            </w:r>
          </w:p>
        </w:tc>
        <w:tc>
          <w:tcPr>
            <w:tcW w:w="852" w:type="dxa"/>
            <w:tcBorders>
              <w:top w:val="single" w:color="000000" w:themeColor="dark1" w:sz="6" w:space="0"/>
              <w:left w:val="nil"/>
              <w:bottom w:val="nil"/>
              <w:right w:val="nil"/>
            </w:tcBorders>
            <w:shd w:val="clear" w:color="auto" w:fill="FFFFFF"/>
            <w:vAlign w:val="center"/>
          </w:tcPr>
          <w:p w14:paraId="3ED79F7B">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+0.85</w:t>
            </w:r>
          </w:p>
        </w:tc>
        <w:tc>
          <w:tcPr>
            <w:tcW w:w="1392" w:type="dxa"/>
            <w:tcBorders>
              <w:top w:val="single" w:color="000000" w:themeColor="dark1" w:sz="6" w:space="0"/>
              <w:left w:val="nil"/>
              <w:bottom w:val="nil"/>
              <w:right w:val="nil"/>
            </w:tcBorders>
            <w:shd w:val="clear" w:color="auto" w:fill="FFFFFF"/>
            <w:vAlign w:val="center"/>
          </w:tcPr>
          <w:p w14:paraId="0D55D3B0">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1</w:t>
            </w:r>
          </w:p>
        </w:tc>
        <w:tc>
          <w:tcPr>
            <w:tcW w:w="4498" w:type="dxa"/>
            <w:tcBorders>
              <w:top w:val="single" w:color="000000" w:themeColor="dark1" w:sz="6" w:space="0"/>
              <w:left w:val="nil"/>
              <w:bottom w:val="nil"/>
              <w:right w:val="nil"/>
            </w:tcBorders>
            <w:shd w:val="clear" w:color="auto" w:fill="FFFFFF"/>
            <w:vAlign w:val="center"/>
          </w:tcPr>
          <w:p w14:paraId="384F1C09">
            <w:pPr>
              <w:keepNext/>
              <w:keepLines w:val="0"/>
              <w:pageBreakBefore w:val="0"/>
              <w:widowControl w:val="0"/>
              <w:suppressLineNumbers w:val="0"/>
              <w:kinsoku/>
              <w:wordWrap/>
              <w:overflowPunct/>
              <w:topLinePunct w:val="0"/>
              <w:autoSpaceDE/>
              <w:autoSpaceDN/>
              <w:bidi w:val="0"/>
              <w:adjustRightInd/>
              <w:snapToGrid w:val="0"/>
              <w:spacing w:line="300" w:lineRule="atLeast"/>
              <w:jc w:val="left"/>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最强的正相关因素，糖化血红蛋白每升高1单位，糖尿病风险显著增加</w:t>
            </w:r>
          </w:p>
        </w:tc>
      </w:tr>
      <w:tr w14:paraId="5FB83D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45" w:type="dxa"/>
            <w:left w:w="96" w:type="dxa"/>
            <w:bottom w:w="45" w:type="dxa"/>
            <w:right w:w="96" w:type="dxa"/>
          </w:tblCellMar>
        </w:tblPrEx>
        <w:trPr>
          <w:trHeight w:val="0" w:hRule="atLeast"/>
          <w:jc w:val="center"/>
        </w:trPr>
        <w:tc>
          <w:tcPr>
            <w:tcW w:w="1780" w:type="dxa"/>
            <w:tcBorders>
              <w:top w:val="nil"/>
              <w:left w:val="nil"/>
              <w:bottom w:val="nil"/>
              <w:right w:val="nil"/>
            </w:tcBorders>
            <w:shd w:val="clear" w:color="auto" w:fill="FFFFFF"/>
            <w:vAlign w:val="center"/>
          </w:tcPr>
          <w:p w14:paraId="0FB51D5B">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blood_glucose_level</w:t>
            </w:r>
          </w:p>
        </w:tc>
        <w:tc>
          <w:tcPr>
            <w:tcW w:w="852" w:type="dxa"/>
            <w:tcBorders>
              <w:top w:val="nil"/>
              <w:left w:val="nil"/>
              <w:bottom w:val="nil"/>
              <w:right w:val="nil"/>
            </w:tcBorders>
            <w:shd w:val="clear" w:color="auto" w:fill="FFFFFF"/>
            <w:vAlign w:val="center"/>
          </w:tcPr>
          <w:p w14:paraId="28CC9359">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+0.76</w:t>
            </w:r>
          </w:p>
        </w:tc>
        <w:tc>
          <w:tcPr>
            <w:tcW w:w="1392" w:type="dxa"/>
            <w:tcBorders>
              <w:top w:val="nil"/>
              <w:left w:val="nil"/>
              <w:bottom w:val="nil"/>
              <w:right w:val="nil"/>
            </w:tcBorders>
            <w:shd w:val="clear" w:color="auto" w:fill="FFFFFF"/>
            <w:vAlign w:val="center"/>
          </w:tcPr>
          <w:p w14:paraId="51D51C6A">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2</w:t>
            </w:r>
          </w:p>
        </w:tc>
        <w:tc>
          <w:tcPr>
            <w:tcW w:w="4498" w:type="dxa"/>
            <w:tcBorders>
              <w:top w:val="nil"/>
              <w:left w:val="nil"/>
              <w:bottom w:val="nil"/>
              <w:right w:val="nil"/>
            </w:tcBorders>
            <w:shd w:val="clear" w:color="auto" w:fill="FFFFFF"/>
            <w:vAlign w:val="center"/>
          </w:tcPr>
          <w:p w14:paraId="3F8D341B">
            <w:pPr>
              <w:keepNext/>
              <w:keepLines w:val="0"/>
              <w:pageBreakBefore w:val="0"/>
              <w:widowControl w:val="0"/>
              <w:suppressLineNumbers w:val="0"/>
              <w:kinsoku/>
              <w:wordWrap/>
              <w:overflowPunct/>
              <w:topLinePunct w:val="0"/>
              <w:autoSpaceDE/>
              <w:autoSpaceDN/>
              <w:bidi w:val="0"/>
              <w:adjustRightInd/>
              <w:snapToGrid w:val="0"/>
              <w:spacing w:line="300" w:lineRule="atLeast"/>
              <w:jc w:val="left"/>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重要的血糖指标，空腹血糖水平与患病风险密切关联</w:t>
            </w:r>
          </w:p>
        </w:tc>
      </w:tr>
      <w:tr w14:paraId="41553D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45" w:type="dxa"/>
            <w:left w:w="96" w:type="dxa"/>
            <w:bottom w:w="45" w:type="dxa"/>
            <w:right w:w="96" w:type="dxa"/>
          </w:tblCellMar>
        </w:tblPrEx>
        <w:trPr>
          <w:trHeight w:val="0" w:hRule="atLeast"/>
          <w:jc w:val="center"/>
        </w:trPr>
        <w:tc>
          <w:tcPr>
            <w:tcW w:w="1780" w:type="dxa"/>
            <w:tcBorders>
              <w:top w:val="nil"/>
              <w:left w:val="nil"/>
              <w:bottom w:val="nil"/>
              <w:right w:val="nil"/>
            </w:tcBorders>
            <w:shd w:val="clear" w:color="auto" w:fill="FFFFFF"/>
            <w:vAlign w:val="center"/>
          </w:tcPr>
          <w:p w14:paraId="455878DC">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年龄</w:t>
            </w:r>
          </w:p>
        </w:tc>
        <w:tc>
          <w:tcPr>
            <w:tcW w:w="852" w:type="dxa"/>
            <w:tcBorders>
              <w:top w:val="nil"/>
              <w:left w:val="nil"/>
              <w:bottom w:val="nil"/>
              <w:right w:val="nil"/>
            </w:tcBorders>
            <w:shd w:val="clear" w:color="auto" w:fill="FFFFFF"/>
            <w:vAlign w:val="center"/>
          </w:tcPr>
          <w:p w14:paraId="4E069F54">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+0.42</w:t>
            </w:r>
          </w:p>
        </w:tc>
        <w:tc>
          <w:tcPr>
            <w:tcW w:w="1392" w:type="dxa"/>
            <w:tcBorders>
              <w:top w:val="nil"/>
              <w:left w:val="nil"/>
              <w:bottom w:val="nil"/>
              <w:right w:val="nil"/>
            </w:tcBorders>
            <w:shd w:val="clear" w:color="auto" w:fill="FFFFFF"/>
            <w:vAlign w:val="center"/>
          </w:tcPr>
          <w:p w14:paraId="135785ED">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3</w:t>
            </w:r>
          </w:p>
        </w:tc>
        <w:tc>
          <w:tcPr>
            <w:tcW w:w="4498" w:type="dxa"/>
            <w:tcBorders>
              <w:top w:val="nil"/>
              <w:left w:val="nil"/>
              <w:bottom w:val="nil"/>
              <w:right w:val="nil"/>
            </w:tcBorders>
            <w:shd w:val="clear" w:color="auto" w:fill="FFFFFF"/>
            <w:vAlign w:val="center"/>
          </w:tcPr>
          <w:p w14:paraId="0E4CEE4F">
            <w:pPr>
              <w:keepNext/>
              <w:keepLines w:val="0"/>
              <w:pageBreakBefore w:val="0"/>
              <w:widowControl w:val="0"/>
              <w:suppressLineNumbers w:val="0"/>
              <w:kinsoku/>
              <w:wordWrap/>
              <w:overflowPunct/>
              <w:topLinePunct w:val="0"/>
              <w:autoSpaceDE/>
              <w:autoSpaceDN/>
              <w:bidi w:val="0"/>
              <w:adjustRightInd/>
              <w:snapToGrid w:val="0"/>
              <w:spacing w:line="300" w:lineRule="atLeast"/>
              <w:jc w:val="left"/>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与患病风险呈正相关，反映年龄增长带来的代谢功能下降</w:t>
            </w:r>
          </w:p>
        </w:tc>
      </w:tr>
      <w:tr w14:paraId="7581B1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45" w:type="dxa"/>
            <w:left w:w="96" w:type="dxa"/>
            <w:bottom w:w="45" w:type="dxa"/>
            <w:right w:w="96" w:type="dxa"/>
          </w:tblCellMar>
        </w:tblPrEx>
        <w:trPr>
          <w:trHeight w:val="0" w:hRule="atLeast"/>
          <w:jc w:val="center"/>
        </w:trPr>
        <w:tc>
          <w:tcPr>
            <w:tcW w:w="1780" w:type="dxa"/>
            <w:tcBorders>
              <w:top w:val="nil"/>
              <w:left w:val="nil"/>
              <w:bottom w:val="nil"/>
              <w:right w:val="nil"/>
            </w:tcBorders>
            <w:shd w:val="clear" w:color="auto" w:fill="FFFFFF"/>
            <w:vAlign w:val="center"/>
          </w:tcPr>
          <w:p w14:paraId="19A275BF">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BMI</w:t>
            </w:r>
          </w:p>
        </w:tc>
        <w:tc>
          <w:tcPr>
            <w:tcW w:w="852" w:type="dxa"/>
            <w:tcBorders>
              <w:top w:val="nil"/>
              <w:left w:val="nil"/>
              <w:bottom w:val="nil"/>
              <w:right w:val="nil"/>
            </w:tcBorders>
            <w:shd w:val="clear" w:color="auto" w:fill="FFFFFF"/>
            <w:vAlign w:val="center"/>
          </w:tcPr>
          <w:p w14:paraId="75AD0C77">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+0.38</w:t>
            </w:r>
          </w:p>
        </w:tc>
        <w:tc>
          <w:tcPr>
            <w:tcW w:w="1392" w:type="dxa"/>
            <w:tcBorders>
              <w:top w:val="nil"/>
              <w:left w:val="nil"/>
              <w:bottom w:val="nil"/>
              <w:right w:val="nil"/>
            </w:tcBorders>
            <w:shd w:val="clear" w:color="auto" w:fill="FFFFFF"/>
            <w:vAlign w:val="center"/>
          </w:tcPr>
          <w:p w14:paraId="777DC50D">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4</w:t>
            </w:r>
          </w:p>
        </w:tc>
        <w:tc>
          <w:tcPr>
            <w:tcW w:w="4498" w:type="dxa"/>
            <w:tcBorders>
              <w:top w:val="nil"/>
              <w:left w:val="nil"/>
              <w:bottom w:val="nil"/>
              <w:right w:val="nil"/>
            </w:tcBorders>
            <w:shd w:val="clear" w:color="auto" w:fill="FFFFFF"/>
            <w:vAlign w:val="center"/>
          </w:tcPr>
          <w:p w14:paraId="4EBC0920">
            <w:pPr>
              <w:keepNext/>
              <w:keepLines w:val="0"/>
              <w:pageBreakBefore w:val="0"/>
              <w:widowControl w:val="0"/>
              <w:suppressLineNumbers w:val="0"/>
              <w:kinsoku/>
              <w:wordWrap/>
              <w:overflowPunct/>
              <w:topLinePunct w:val="0"/>
              <w:autoSpaceDE/>
              <w:autoSpaceDN/>
              <w:bidi w:val="0"/>
              <w:adjustRightInd/>
              <w:snapToGrid w:val="0"/>
              <w:spacing w:line="300" w:lineRule="atLeast"/>
              <w:jc w:val="left"/>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体重指数的明确影响，肥胖是糖尿病的独立危险因素</w:t>
            </w:r>
          </w:p>
        </w:tc>
      </w:tr>
      <w:tr w14:paraId="4CC9D8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45" w:type="dxa"/>
            <w:left w:w="96" w:type="dxa"/>
            <w:bottom w:w="45" w:type="dxa"/>
            <w:right w:w="96" w:type="dxa"/>
          </w:tblCellMar>
        </w:tblPrEx>
        <w:trPr>
          <w:trHeight w:val="0" w:hRule="atLeast"/>
          <w:jc w:val="center"/>
        </w:trPr>
        <w:tc>
          <w:tcPr>
            <w:tcW w:w="1780" w:type="dxa"/>
            <w:tcBorders>
              <w:top w:val="nil"/>
              <w:left w:val="nil"/>
              <w:bottom w:val="nil"/>
              <w:right w:val="nil"/>
            </w:tcBorders>
            <w:shd w:val="clear" w:color="auto" w:fill="FFFFFF"/>
            <w:vAlign w:val="center"/>
          </w:tcPr>
          <w:p w14:paraId="5FBEC0F6">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高血压</w:t>
            </w:r>
          </w:p>
        </w:tc>
        <w:tc>
          <w:tcPr>
            <w:tcW w:w="852" w:type="dxa"/>
            <w:tcBorders>
              <w:top w:val="nil"/>
              <w:left w:val="nil"/>
              <w:bottom w:val="nil"/>
              <w:right w:val="nil"/>
            </w:tcBorders>
            <w:shd w:val="clear" w:color="auto" w:fill="FFFFFF"/>
            <w:vAlign w:val="center"/>
          </w:tcPr>
          <w:p w14:paraId="1E645513">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+0.25</w:t>
            </w:r>
          </w:p>
        </w:tc>
        <w:tc>
          <w:tcPr>
            <w:tcW w:w="1392" w:type="dxa"/>
            <w:tcBorders>
              <w:top w:val="nil"/>
              <w:left w:val="nil"/>
              <w:bottom w:val="nil"/>
              <w:right w:val="nil"/>
            </w:tcBorders>
            <w:shd w:val="clear" w:color="auto" w:fill="FFFFFF"/>
            <w:vAlign w:val="center"/>
          </w:tcPr>
          <w:p w14:paraId="6748833F">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5</w:t>
            </w:r>
          </w:p>
        </w:tc>
        <w:tc>
          <w:tcPr>
            <w:tcW w:w="4498" w:type="dxa"/>
            <w:tcBorders>
              <w:top w:val="nil"/>
              <w:left w:val="nil"/>
              <w:bottom w:val="nil"/>
              <w:right w:val="nil"/>
            </w:tcBorders>
            <w:shd w:val="clear" w:color="auto" w:fill="FFFFFF"/>
            <w:vAlign w:val="center"/>
          </w:tcPr>
          <w:p w14:paraId="299367E0">
            <w:pPr>
              <w:keepNext/>
              <w:keepLines w:val="0"/>
              <w:pageBreakBefore w:val="0"/>
              <w:widowControl w:val="0"/>
              <w:suppressLineNumbers w:val="0"/>
              <w:kinsoku/>
              <w:wordWrap/>
              <w:overflowPunct/>
              <w:topLinePunct w:val="0"/>
              <w:autoSpaceDE/>
              <w:autoSpaceDN/>
              <w:bidi w:val="0"/>
              <w:adjustRightInd/>
              <w:snapToGrid w:val="0"/>
              <w:spacing w:line="300" w:lineRule="atLeast"/>
              <w:jc w:val="left"/>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并发症关联性的体现，高血压与胰岛素抵抗密切相关</w:t>
            </w:r>
          </w:p>
        </w:tc>
      </w:tr>
      <w:tr w14:paraId="4514DC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45" w:type="dxa"/>
            <w:left w:w="96" w:type="dxa"/>
            <w:bottom w:w="45" w:type="dxa"/>
            <w:right w:w="96" w:type="dxa"/>
          </w:tblCellMar>
        </w:tblPrEx>
        <w:trPr>
          <w:trHeight w:val="0" w:hRule="atLeast"/>
          <w:jc w:val="center"/>
        </w:trPr>
        <w:tc>
          <w:tcPr>
            <w:tcW w:w="1780" w:type="dxa"/>
            <w:tcBorders>
              <w:top w:val="nil"/>
              <w:left w:val="nil"/>
              <w:bottom w:val="nil"/>
              <w:right w:val="nil"/>
            </w:tcBorders>
            <w:shd w:val="clear" w:color="auto" w:fill="FFFFFF"/>
            <w:vAlign w:val="center"/>
          </w:tcPr>
          <w:p w14:paraId="0F324477">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心脏病史</w:t>
            </w:r>
          </w:p>
        </w:tc>
        <w:tc>
          <w:tcPr>
            <w:tcW w:w="852" w:type="dxa"/>
            <w:tcBorders>
              <w:top w:val="nil"/>
              <w:left w:val="nil"/>
              <w:bottom w:val="nil"/>
              <w:right w:val="nil"/>
            </w:tcBorders>
            <w:shd w:val="clear" w:color="auto" w:fill="FFFFFF"/>
            <w:vAlign w:val="center"/>
          </w:tcPr>
          <w:p w14:paraId="091843C8">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+0.21</w:t>
            </w:r>
          </w:p>
        </w:tc>
        <w:tc>
          <w:tcPr>
            <w:tcW w:w="1392" w:type="dxa"/>
            <w:tcBorders>
              <w:top w:val="nil"/>
              <w:left w:val="nil"/>
              <w:bottom w:val="nil"/>
              <w:right w:val="nil"/>
            </w:tcBorders>
            <w:shd w:val="clear" w:color="auto" w:fill="FFFFFF"/>
            <w:vAlign w:val="center"/>
          </w:tcPr>
          <w:p w14:paraId="2F6748E2">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6</w:t>
            </w:r>
          </w:p>
        </w:tc>
        <w:tc>
          <w:tcPr>
            <w:tcW w:w="4498" w:type="dxa"/>
            <w:tcBorders>
              <w:top w:val="nil"/>
              <w:left w:val="nil"/>
              <w:bottom w:val="nil"/>
              <w:right w:val="nil"/>
            </w:tcBorders>
            <w:shd w:val="clear" w:color="auto" w:fill="FFFFFF"/>
            <w:vAlign w:val="center"/>
          </w:tcPr>
          <w:p w14:paraId="68FCFED4">
            <w:pPr>
              <w:keepNext/>
              <w:keepLines w:val="0"/>
              <w:pageBreakBefore w:val="0"/>
              <w:widowControl w:val="0"/>
              <w:suppressLineNumbers w:val="0"/>
              <w:kinsoku/>
              <w:wordWrap/>
              <w:overflowPunct/>
              <w:topLinePunct w:val="0"/>
              <w:autoSpaceDE/>
              <w:autoSpaceDN/>
              <w:bidi w:val="0"/>
              <w:adjustRightInd/>
              <w:snapToGrid w:val="0"/>
              <w:spacing w:line="300" w:lineRule="atLeast"/>
              <w:jc w:val="left"/>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心血管疾病与糖尿病的共同病理生理基础</w:t>
            </w:r>
          </w:p>
        </w:tc>
      </w:tr>
      <w:tr w14:paraId="00BF68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45" w:type="dxa"/>
            <w:left w:w="96" w:type="dxa"/>
            <w:bottom w:w="45" w:type="dxa"/>
            <w:right w:w="96" w:type="dxa"/>
          </w:tblCellMar>
        </w:tblPrEx>
        <w:trPr>
          <w:trHeight w:val="0" w:hRule="atLeast"/>
          <w:jc w:val="center"/>
        </w:trPr>
        <w:tc>
          <w:tcPr>
            <w:tcW w:w="1780" w:type="dxa"/>
            <w:tcBorders>
              <w:top w:val="nil"/>
              <w:left w:val="nil"/>
              <w:bottom w:val="nil"/>
              <w:right w:val="nil"/>
            </w:tcBorders>
            <w:shd w:val="clear" w:color="auto" w:fill="FFFFFF"/>
            <w:vAlign w:val="center"/>
          </w:tcPr>
          <w:p w14:paraId="19CDB434">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吸烟史</w:t>
            </w:r>
          </w:p>
        </w:tc>
        <w:tc>
          <w:tcPr>
            <w:tcW w:w="852" w:type="dxa"/>
            <w:tcBorders>
              <w:top w:val="nil"/>
              <w:left w:val="nil"/>
              <w:bottom w:val="nil"/>
              <w:right w:val="nil"/>
            </w:tcBorders>
            <w:shd w:val="clear" w:color="auto" w:fill="FFFFFF"/>
            <w:vAlign w:val="center"/>
          </w:tcPr>
          <w:p w14:paraId="17D59393">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+0.15</w:t>
            </w:r>
          </w:p>
        </w:tc>
        <w:tc>
          <w:tcPr>
            <w:tcW w:w="1392" w:type="dxa"/>
            <w:tcBorders>
              <w:top w:val="nil"/>
              <w:left w:val="nil"/>
              <w:bottom w:val="nil"/>
              <w:right w:val="nil"/>
            </w:tcBorders>
            <w:shd w:val="clear" w:color="auto" w:fill="FFFFFF"/>
            <w:vAlign w:val="center"/>
          </w:tcPr>
          <w:p w14:paraId="278011C3">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7</w:t>
            </w:r>
          </w:p>
        </w:tc>
        <w:tc>
          <w:tcPr>
            <w:tcW w:w="4498" w:type="dxa"/>
            <w:tcBorders>
              <w:top w:val="nil"/>
              <w:left w:val="nil"/>
              <w:bottom w:val="nil"/>
              <w:right w:val="nil"/>
            </w:tcBorders>
            <w:shd w:val="clear" w:color="auto" w:fill="FFFFFF"/>
            <w:vAlign w:val="center"/>
          </w:tcPr>
          <w:p w14:paraId="349ACDC7">
            <w:pPr>
              <w:keepNext/>
              <w:keepLines w:val="0"/>
              <w:pageBreakBefore w:val="0"/>
              <w:widowControl w:val="0"/>
              <w:suppressLineNumbers w:val="0"/>
              <w:kinsoku/>
              <w:wordWrap/>
              <w:overflowPunct/>
              <w:topLinePunct w:val="0"/>
              <w:autoSpaceDE/>
              <w:autoSpaceDN/>
              <w:bidi w:val="0"/>
              <w:adjustRightInd/>
              <w:snapToGrid w:val="0"/>
              <w:spacing w:line="300" w:lineRule="atLeast"/>
              <w:jc w:val="left"/>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生活方式因素的影响，吸烟可能通过炎症通路增加风险</w:t>
            </w:r>
          </w:p>
        </w:tc>
      </w:tr>
      <w:tr w14:paraId="3009F9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45" w:type="dxa"/>
            <w:left w:w="96" w:type="dxa"/>
            <w:bottom w:w="45" w:type="dxa"/>
            <w:right w:w="96" w:type="dxa"/>
          </w:tblCellMar>
        </w:tblPrEx>
        <w:trPr>
          <w:trHeight w:val="0" w:hRule="atLeast"/>
          <w:jc w:val="center"/>
        </w:trPr>
        <w:tc>
          <w:tcPr>
            <w:tcW w:w="1780" w:type="dxa"/>
            <w:tcBorders>
              <w:top w:val="nil"/>
              <w:left w:val="nil"/>
              <w:bottom w:val="single" w:color="000000" w:themeColor="dark1" w:sz="12" w:space="0"/>
              <w:right w:val="nil"/>
            </w:tcBorders>
            <w:shd w:val="clear" w:color="auto" w:fill="FFFFFF"/>
            <w:vAlign w:val="center"/>
          </w:tcPr>
          <w:p w14:paraId="2A78AD08">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性别</w:t>
            </w:r>
          </w:p>
        </w:tc>
        <w:tc>
          <w:tcPr>
            <w:tcW w:w="852" w:type="dxa"/>
            <w:tcBorders>
              <w:top w:val="nil"/>
              <w:left w:val="nil"/>
              <w:bottom w:val="single" w:color="000000" w:themeColor="dark1" w:sz="12" w:space="0"/>
              <w:right w:val="nil"/>
            </w:tcBorders>
            <w:shd w:val="clear" w:color="auto" w:fill="FFFFFF"/>
            <w:vAlign w:val="center"/>
          </w:tcPr>
          <w:p w14:paraId="0045980F">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+0.08</w:t>
            </w:r>
          </w:p>
        </w:tc>
        <w:tc>
          <w:tcPr>
            <w:tcW w:w="1392" w:type="dxa"/>
            <w:tcBorders>
              <w:top w:val="nil"/>
              <w:left w:val="nil"/>
              <w:bottom w:val="single" w:color="000000" w:themeColor="dark1" w:sz="12" w:space="0"/>
              <w:right w:val="nil"/>
            </w:tcBorders>
            <w:shd w:val="clear" w:color="auto" w:fill="FFFFFF"/>
            <w:vAlign w:val="center"/>
          </w:tcPr>
          <w:p w14:paraId="0E391F8F">
            <w:pPr>
              <w:keepNext/>
              <w:keepLines w:val="0"/>
              <w:pageBreakBefore w:val="0"/>
              <w:widowControl w:val="0"/>
              <w:suppressLineNumbers w:val="0"/>
              <w:kinsoku/>
              <w:wordWrap/>
              <w:overflowPunct/>
              <w:topLinePunct w:val="0"/>
              <w:autoSpaceDE/>
              <w:autoSpaceDN/>
              <w:bidi w:val="0"/>
              <w:adjustRightInd/>
              <w:snapToGrid w:val="0"/>
              <w:spacing w:line="300" w:lineRule="atLeast"/>
              <w:jc w:val="center"/>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8</w:t>
            </w:r>
          </w:p>
        </w:tc>
        <w:tc>
          <w:tcPr>
            <w:tcW w:w="4498" w:type="dxa"/>
            <w:tcBorders>
              <w:top w:val="nil"/>
              <w:left w:val="nil"/>
              <w:bottom w:val="single" w:color="000000" w:themeColor="dark1" w:sz="12" w:space="0"/>
              <w:right w:val="nil"/>
            </w:tcBorders>
            <w:shd w:val="clear" w:color="auto" w:fill="FFFFFF"/>
            <w:vAlign w:val="center"/>
          </w:tcPr>
          <w:p w14:paraId="7808AFCF">
            <w:pPr>
              <w:keepNext/>
              <w:keepLines w:val="0"/>
              <w:pageBreakBefore w:val="0"/>
              <w:widowControl w:val="0"/>
              <w:suppressLineNumbers w:val="0"/>
              <w:kinsoku/>
              <w:wordWrap/>
              <w:overflowPunct/>
              <w:topLinePunct w:val="0"/>
              <w:autoSpaceDE/>
              <w:autoSpaceDN/>
              <w:bidi w:val="0"/>
              <w:adjustRightInd/>
              <w:snapToGrid w:val="0"/>
              <w:spacing w:line="300" w:lineRule="atLeast"/>
              <w:jc w:val="left"/>
              <w:textAlignment w:val="auto"/>
              <w:rPr>
                <w:rFonts w:hint="default" w:ascii="Segoe UI" w:hAnsi="Segoe UI" w:eastAsia="Segoe UI" w:cs="Segoe UI"/>
                <w:b w:val="0"/>
                <w:i w:val="0"/>
                <w:iCs w:val="0"/>
                <w:caps w:val="0"/>
                <w:color w:val="08090C"/>
                <w:spacing w:val="0"/>
                <w:sz w:val="18"/>
                <w:szCs w:val="18"/>
              </w:rPr>
            </w:pPr>
            <w:r>
              <w:rPr>
                <w:rFonts w:hint="default" w:ascii="Segoe UI" w:hAnsi="Segoe UI" w:eastAsia="Segoe UI" w:cs="Segoe UI"/>
                <w:b w:val="0"/>
                <w:i w:val="0"/>
                <w:iCs w:val="0"/>
                <w:caps w:val="0"/>
                <w:color w:val="08090C"/>
                <w:spacing w:val="0"/>
                <w:kern w:val="0"/>
                <w:sz w:val="18"/>
                <w:szCs w:val="18"/>
                <w:lang w:val="en-US" w:eastAsia="zh-CN" w:bidi="ar"/>
              </w:rPr>
              <w:t>相对较弱的影响因素，男性相比女性患病风险略高</w:t>
            </w:r>
          </w:p>
        </w:tc>
      </w:tr>
    </w:tbl>
    <w:p w14:paraId="27A276E7">
      <w:pPr>
        <w:pStyle w:val="6"/>
        <w:keepNext/>
        <w:keepLines w:val="0"/>
        <w:pageBreakBefore w:val="0"/>
        <w:widowControl w:val="0"/>
        <w:kinsoku/>
        <w:wordWrap/>
        <w:overflowPunct/>
        <w:topLinePunct w:val="0"/>
        <w:autoSpaceDE/>
        <w:autoSpaceDN/>
        <w:bidi w:val="0"/>
        <w:adjustRightInd/>
        <w:jc w:val="center"/>
        <w:textAlignment w:val="auto"/>
        <w:rPr>
          <w:rFonts w:hint="eastAsia" w:eastAsia="黑体"/>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val="en-US" w:eastAsia="zh-CN"/>
        </w:rPr>
        <w:t xml:space="preserve"> 特征系数排名与解释</w:t>
      </w:r>
    </w:p>
    <w:p w14:paraId="0393E802">
      <w:pPr>
        <w:pStyle w:val="2"/>
        <w:rPr>
          <w:rFonts w:hint="default"/>
          <w:lang w:val="en-US" w:eastAsia="zh-CN"/>
        </w:rPr>
      </w:pPr>
    </w:p>
    <w:p w14:paraId="485DF737">
      <w:pPr>
        <w:spacing w:line="240" w:lineRule="auto"/>
        <w:ind w:firstLine="480" w:firstLineChars="20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939030" cy="2578100"/>
            <wp:effectExtent l="0" t="0" r="1270" b="0"/>
            <wp:docPr id="42" name="图片 42" descr="下载 (2)"/>
            <wp:cNvGraphicFramePr/>
            <a:graphic xmlns:a="http://schemas.openxmlformats.org/drawingml/2006/main">
              <a:graphicData uri="http://schemas.openxmlformats.org/drawingml/2006/picture">
                <pic:pic xmlns:pic="http://schemas.openxmlformats.org/drawingml/2006/picture">
                  <pic:nvPicPr>
                    <pic:cNvPr id="42" name="图片 42" descr="下载 (2)"/>
                    <pic:cNvPicPr/>
                  </pic:nvPicPr>
                  <pic:blipFill>
                    <a:blip r:embed="rId43"/>
                    <a:stretch>
                      <a:fillRect/>
                    </a:stretch>
                  </pic:blipFill>
                  <pic:spPr>
                    <a:xfrm>
                      <a:off x="0" y="0"/>
                      <a:ext cx="4939030" cy="2578100"/>
                    </a:xfrm>
                    <a:prstGeom prst="rect">
                      <a:avLst/>
                    </a:prstGeom>
                  </pic:spPr>
                </pic:pic>
              </a:graphicData>
            </a:graphic>
          </wp:inline>
        </w:drawing>
      </w:r>
    </w:p>
    <w:p w14:paraId="773C1286">
      <w:pPr>
        <w:pStyle w:val="6"/>
        <w:jc w:val="center"/>
        <w:rPr>
          <w:rFonts w:hint="eastAsia" w:eastAsia="黑体"/>
          <w:lang w:val="en-US" w:eastAsia="zh-CN"/>
        </w:rPr>
      </w:pPr>
      <w:r>
        <w:t xml:space="preserve">图 </w:t>
      </w:r>
      <w:r>
        <w:fldChar w:fldCharType="begin"/>
      </w:r>
      <w:r>
        <w:instrText xml:space="preserve"> SEQ 图 \* ARABIC </w:instrText>
      </w:r>
      <w:r>
        <w:fldChar w:fldCharType="separate"/>
      </w:r>
      <w:r>
        <w:t>32</w:t>
      </w:r>
      <w:r>
        <w:fldChar w:fldCharType="end"/>
      </w:r>
      <w:r>
        <w:rPr>
          <w:rFonts w:hint="eastAsia"/>
          <w:lang w:val="en-US" w:eastAsia="zh-CN"/>
        </w:rPr>
        <w:t xml:space="preserve"> 特征系数条形图</w:t>
      </w:r>
    </w:p>
    <w:p w14:paraId="013F56B8">
      <w:pPr>
        <w:spacing w:line="480" w:lineRule="exact"/>
        <w:ind w:firstLine="480" w:firstLineChars="200"/>
        <w:rPr>
          <w:rFonts w:hint="default" w:ascii="宋体" w:hAnsi="宋体" w:eastAsia="宋体" w:cs="宋体"/>
          <w:sz w:val="24"/>
          <w:szCs w:val="24"/>
          <w:lang w:val="en-US" w:eastAsia="zh-CN"/>
        </w:rPr>
      </w:pPr>
    </w:p>
    <w:p w14:paraId="2A694455">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关键发现：</w:t>
      </w:r>
    </w:p>
    <w:p w14:paraId="1B241072">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生化指标（HbA1c、血糖）在两种模型中均被识别为最重要的预测因子</w:t>
      </w:r>
    </w:p>
    <w:p w14:paraId="6B182BA0">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传统风险因素（年龄、BMI）在逻辑回归模型中同样显示出统计学意义</w:t>
      </w:r>
    </w:p>
    <w:p w14:paraId="0BDAB89A">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模型系数提供了清晰的医学解释：各特征单位变化对log-odds的影响</w:t>
      </w:r>
    </w:p>
    <w:p w14:paraId="33568663">
      <w:pPr>
        <w:pStyle w:val="2"/>
        <w:rPr>
          <w:rFonts w:hint="default"/>
          <w:lang w:val="en-US" w:eastAsia="zh-CN"/>
        </w:rPr>
      </w:pPr>
    </w:p>
    <w:p w14:paraId="47141019">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模型优势与局限</w:t>
      </w:r>
    </w:p>
    <w:p w14:paraId="47331B94">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优势体现：</w:t>
      </w:r>
    </w:p>
    <w:p w14:paraId="2321C975">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可解释性强：模型系数可直接解释为特征对患病风险的影响程度</w:t>
      </w:r>
    </w:p>
    <w:p w14:paraId="2FF2887A">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计算效率高：训练和预测速度快，适合实时应用场景</w:t>
      </w:r>
    </w:p>
    <w:p w14:paraId="26BF77CC">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概率输出：提供连续的患病概率估计，支持风险评估分级</w:t>
      </w:r>
    </w:p>
    <w:p w14:paraId="04B45F1F">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稳定性好：在特征无多重共线性的前提下，模型估计稳定</w:t>
      </w:r>
    </w:p>
    <w:p w14:paraId="2A3C5B6F">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局限性：</w:t>
      </w:r>
    </w:p>
    <w:p w14:paraId="02EAE034">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非线性关系捕捉有限：无法有效处理特征间的复杂交互作用</w:t>
      </w:r>
    </w:p>
    <w:p w14:paraId="1FC72CAA">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对异常值敏感：需要严格的数据预处理和异常值处理</w:t>
      </w:r>
    </w:p>
    <w:p w14:paraId="22B44028">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特征独立性假设：假设特征间相对独立，与实际生物学机制存在差异</w:t>
      </w:r>
    </w:p>
    <w:p w14:paraId="4B50BC56">
      <w:pPr>
        <w:numPr>
          <w:ilvl w:val="0"/>
          <w:numId w:val="0"/>
        </w:numPr>
        <w:rPr>
          <w:rFonts w:hint="default"/>
          <w:lang w:val="en-US" w:eastAsia="zh-CN"/>
        </w:rPr>
      </w:pPr>
    </w:p>
    <w:p w14:paraId="635A5699">
      <w:pPr>
        <w:numPr>
          <w:ilvl w:val="0"/>
          <w:numId w:val="0"/>
        </w:numPr>
        <w:rPr>
          <w:rFonts w:hint="default"/>
          <w:lang w:val="en-US" w:eastAsia="zh-CN"/>
        </w:rPr>
      </w:pPr>
    </w:p>
    <w:p w14:paraId="5425198E">
      <w:pPr>
        <w:pStyle w:val="4"/>
        <w:spacing w:before="0" w:after="0" w:line="480" w:lineRule="exact"/>
        <w:ind w:firstLine="560"/>
        <w:rPr>
          <w:rFonts w:hint="default" w:ascii="楷体" w:hAnsi="楷体" w:eastAsia="楷体" w:cs="楷体"/>
          <w:b w:val="0"/>
          <w:bCs/>
          <w:sz w:val="28"/>
          <w:szCs w:val="28"/>
          <w:lang w:val="en-US" w:eastAsia="zh-CN"/>
        </w:rPr>
      </w:pPr>
      <w:bookmarkStart w:id="17" w:name="_Toc908"/>
      <w:r>
        <w:rPr>
          <w:rFonts w:hint="eastAsia" w:ascii="楷体" w:hAnsi="楷体" w:eastAsia="楷体" w:cs="楷体"/>
          <w:b w:val="0"/>
          <w:bCs/>
          <w:sz w:val="28"/>
          <w:szCs w:val="28"/>
        </w:rPr>
        <w:t>（</w:t>
      </w:r>
      <w:r>
        <w:rPr>
          <w:rFonts w:hint="eastAsia" w:ascii="楷体" w:hAnsi="楷体" w:eastAsia="楷体" w:cs="楷体"/>
          <w:b w:val="0"/>
          <w:bCs/>
          <w:sz w:val="28"/>
          <w:szCs w:val="28"/>
          <w:lang w:val="en-US" w:eastAsia="zh-CN"/>
        </w:rPr>
        <w:t>三</w:t>
      </w:r>
      <w:r>
        <w:rPr>
          <w:rFonts w:hint="eastAsia" w:ascii="楷体" w:hAnsi="楷体" w:eastAsia="楷体" w:cs="楷体"/>
          <w:b w:val="0"/>
          <w:bCs/>
          <w:sz w:val="28"/>
          <w:szCs w:val="28"/>
        </w:rPr>
        <w:t>）</w:t>
      </w:r>
      <w:r>
        <w:rPr>
          <w:rFonts w:hint="eastAsia" w:ascii="楷体" w:hAnsi="楷体" w:eastAsia="楷体" w:cs="楷体"/>
          <w:b w:val="0"/>
          <w:bCs/>
          <w:sz w:val="28"/>
          <w:szCs w:val="28"/>
          <w:lang w:val="en-US" w:eastAsia="zh-CN"/>
        </w:rPr>
        <w:t>模型表现对比</w:t>
      </w:r>
      <w:bookmarkEnd w:id="17"/>
    </w:p>
    <w:p w14:paraId="554E7DD9">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为全面评估不同模型在糖尿病预测任务中的适用性与稳定性，本文分别构建了基于随机森林（Random Forest）与逻辑回归（Logistic Regression）的分类模型，并在同一预处理后的训练集与测试集上进行建模、预测与性能评估。</w:t>
      </w:r>
    </w:p>
    <w:p w14:paraId="068F4FBD">
      <w:pPr>
        <w:spacing w:line="480" w:lineRule="exact"/>
        <w:ind w:firstLine="480" w:firstLineChars="200"/>
        <w:rPr>
          <w:rFonts w:hint="default" w:ascii="宋体" w:hAnsi="宋体" w:eastAsia="宋体" w:cs="宋体"/>
          <w:sz w:val="24"/>
          <w:szCs w:val="24"/>
          <w:lang w:val="en-US" w:eastAsia="zh-CN"/>
        </w:rPr>
      </w:pPr>
    </w:p>
    <w:p w14:paraId="47A56D24">
      <w:pPr>
        <w:spacing w:line="480" w:lineRule="exact"/>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主要评价指标对比：</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6"/>
        <w:gridCol w:w="2070"/>
        <w:gridCol w:w="4246"/>
      </w:tblGrid>
      <w:tr w14:paraId="5A15F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14:paraId="2F172F0B">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指标</w:t>
            </w:r>
          </w:p>
        </w:tc>
        <w:tc>
          <w:tcPr>
            <w:tcW w:w="2070" w:type="dxa"/>
          </w:tcPr>
          <w:p w14:paraId="5F5E7647">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随机森林（RF）</w:t>
            </w:r>
          </w:p>
        </w:tc>
        <w:tc>
          <w:tcPr>
            <w:tcW w:w="4246" w:type="dxa"/>
          </w:tcPr>
          <w:p w14:paraId="3A0CDFA4">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逻辑回归（LR）</w:t>
            </w:r>
          </w:p>
        </w:tc>
      </w:tr>
      <w:tr w14:paraId="5DD105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14:paraId="0269F968">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准确率 Accuracy</w:t>
            </w:r>
          </w:p>
        </w:tc>
        <w:tc>
          <w:tcPr>
            <w:tcW w:w="2070" w:type="dxa"/>
          </w:tcPr>
          <w:p w14:paraId="65D1BA69">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0.96</w:t>
            </w:r>
          </w:p>
        </w:tc>
        <w:tc>
          <w:tcPr>
            <w:tcW w:w="4246" w:type="dxa"/>
          </w:tcPr>
          <w:p w14:paraId="22A8B7CE">
            <w:pPr>
              <w:spacing w:line="480" w:lineRule="exact"/>
              <w:rPr>
                <w:rFonts w:hint="default"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0.88</w:t>
            </w:r>
          </w:p>
        </w:tc>
      </w:tr>
      <w:tr w14:paraId="20466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14:paraId="06F2523F">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召回率 Recall</w:t>
            </w:r>
          </w:p>
        </w:tc>
        <w:tc>
          <w:tcPr>
            <w:tcW w:w="2070" w:type="dxa"/>
          </w:tcPr>
          <w:p w14:paraId="5401D44C">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0.75（阈值0.31）</w:t>
            </w:r>
          </w:p>
        </w:tc>
        <w:tc>
          <w:tcPr>
            <w:tcW w:w="4246" w:type="dxa"/>
          </w:tcPr>
          <w:p w14:paraId="49E52043">
            <w:pPr>
              <w:spacing w:line="480" w:lineRule="exact"/>
              <w:rPr>
                <w:rFonts w:hint="default"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0.72</w:t>
            </w:r>
            <w:r>
              <w:rPr>
                <w:rFonts w:hint="eastAsia" w:ascii="黑体" w:hAnsi="黑体" w:eastAsia="黑体" w:cs="黑体"/>
                <w:sz w:val="24"/>
                <w:szCs w:val="24"/>
                <w:lang w:val="en-US" w:eastAsia="zh-CN"/>
              </w:rPr>
              <w:t>（阈值0.28）</w:t>
            </w:r>
          </w:p>
        </w:tc>
      </w:tr>
      <w:tr w14:paraId="4906D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14:paraId="05CC6620">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查准率 Precision</w:t>
            </w:r>
          </w:p>
        </w:tc>
        <w:tc>
          <w:tcPr>
            <w:tcW w:w="2070" w:type="dxa"/>
          </w:tcPr>
          <w:p w14:paraId="123143C7">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约 0.80</w:t>
            </w:r>
          </w:p>
        </w:tc>
        <w:tc>
          <w:tcPr>
            <w:tcW w:w="4246" w:type="dxa"/>
          </w:tcPr>
          <w:p w14:paraId="0031F98F">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0.78</w:t>
            </w:r>
          </w:p>
        </w:tc>
      </w:tr>
      <w:tr w14:paraId="08459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14:paraId="496FAFF4">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F1-score</w:t>
            </w:r>
          </w:p>
        </w:tc>
        <w:tc>
          <w:tcPr>
            <w:tcW w:w="2070" w:type="dxa"/>
          </w:tcPr>
          <w:p w14:paraId="2E273F27">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综合表现优</w:t>
            </w:r>
          </w:p>
        </w:tc>
        <w:tc>
          <w:tcPr>
            <w:tcW w:w="4246" w:type="dxa"/>
          </w:tcPr>
          <w:p w14:paraId="54CD2805">
            <w:pPr>
              <w:spacing w:line="480" w:lineRule="exact"/>
              <w:rPr>
                <w:rFonts w:hint="default"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0.62</w:t>
            </w:r>
          </w:p>
        </w:tc>
      </w:tr>
      <w:tr w14:paraId="28D5A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14:paraId="00D3802A">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泛化能力</w:t>
            </w:r>
          </w:p>
        </w:tc>
        <w:tc>
          <w:tcPr>
            <w:tcW w:w="2070" w:type="dxa"/>
          </w:tcPr>
          <w:p w14:paraId="19A939B2">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较强</w:t>
            </w:r>
          </w:p>
        </w:tc>
        <w:tc>
          <w:tcPr>
            <w:tcW w:w="4246" w:type="dxa"/>
          </w:tcPr>
          <w:p w14:paraId="2403AFF1">
            <w:pPr>
              <w:spacing w:line="480" w:lineRule="exact"/>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稍逊于RF，受变量多重共线性影响略大</w:t>
            </w:r>
          </w:p>
        </w:tc>
      </w:tr>
    </w:tbl>
    <w:p w14:paraId="2DF00DAD">
      <w:pPr>
        <w:spacing w:line="480" w:lineRule="exact"/>
        <w:ind w:firstLine="480" w:firstLineChars="200"/>
        <w:rPr>
          <w:rFonts w:hint="default" w:ascii="宋体" w:hAnsi="宋体" w:eastAsia="宋体" w:cs="宋体"/>
          <w:sz w:val="24"/>
          <w:szCs w:val="24"/>
          <w:lang w:val="en-US" w:eastAsia="zh-CN"/>
        </w:rPr>
      </w:pPr>
    </w:p>
    <w:p w14:paraId="4E7A9A60">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分析总结：</w:t>
      </w:r>
    </w:p>
    <w:p w14:paraId="45651331">
      <w:pPr>
        <w:numPr>
          <w:ilvl w:val="0"/>
          <w:numId w:val="3"/>
        </w:num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整体性能：随机森林在多项指标上表现优于逻辑回归，特别是在 Recall 与 F1-score 上具有明显优势，更适用于“不能漏诊”的疾病预测场景。</w:t>
      </w:r>
    </w:p>
    <w:p w14:paraId="63E49275">
      <w:pPr>
        <w:numPr>
          <w:ilvl w:val="0"/>
          <w:numId w:val="3"/>
        </w:num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模型解释性：逻辑回归模型结构简单，变量系数可直接用于解释变量影响方向，具备一定的解释性优势，适合用于医生辅助判断。</w:t>
      </w:r>
    </w:p>
    <w:p w14:paraId="5476599E">
      <w:pPr>
        <w:numPr>
          <w:ilvl w:val="0"/>
          <w:numId w:val="3"/>
        </w:num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对异常与非线性特征的适应能力：随机森林能有效处理高维特征与非线性关系，并对异常值不敏感，而逻辑回归对变量分布及共线性较为敏感，需更严格的特征筛选与归一化处理。</w:t>
      </w:r>
    </w:p>
    <w:p w14:paraId="6FBC0924">
      <w:pPr>
        <w:numPr>
          <w:ilvl w:val="0"/>
          <w:numId w:val="3"/>
        </w:num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部署与训练效率：逻辑回归模型计算开销较小、训练速度快，适用于资源受限场景；而随机森林虽略显复杂，但其预测精度较高，适合后端模型部署。</w:t>
      </w:r>
    </w:p>
    <w:p w14:paraId="129B3087">
      <w:pPr>
        <w:spacing w:line="480" w:lineRule="exact"/>
        <w:rPr>
          <w:rFonts w:hint="default" w:ascii="宋体" w:hAnsi="宋体" w:eastAsia="宋体" w:cs="宋体"/>
          <w:sz w:val="24"/>
          <w:szCs w:val="24"/>
          <w:lang w:val="en-US" w:eastAsia="zh-CN"/>
        </w:rPr>
      </w:pPr>
    </w:p>
    <w:p w14:paraId="4A9A7595">
      <w:pPr>
        <w:spacing w:line="480" w:lineRule="exact"/>
        <w:ind w:firstLine="480" w:firstLineChars="200"/>
        <w:rPr>
          <w:rFonts w:hint="default" w:ascii="宋体" w:hAnsi="宋体" w:eastAsia="宋体" w:cs="宋体"/>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宋体" w:hAnsi="宋体" w:eastAsia="宋体" w:cs="宋体"/>
          <w:sz w:val="24"/>
          <w:szCs w:val="24"/>
          <w:lang w:val="en-US" w:eastAsia="zh-CN"/>
        </w:rPr>
        <w:t>小结：在本研究数据集上，随机森林模型在准确率与召回率之间取得了更好的平衡，更具实用性；而逻辑回归模型则在可解释性与计算效率上更具优势。两者各有千秋，结合实际应用需求可灵活选取，或考虑集成多模型以提升预测可靠性。</w:t>
      </w:r>
    </w:p>
    <w:p w14:paraId="69856087">
      <w:pPr>
        <w:pStyle w:val="3"/>
        <w:numPr>
          <w:ilvl w:val="0"/>
          <w:numId w:val="2"/>
        </w:numPr>
        <w:bidi w:val="0"/>
        <w:rPr>
          <w:rFonts w:hint="eastAsia" w:ascii="黑体" w:hAnsi="黑体" w:eastAsia="黑体" w:cs="黑体"/>
          <w:sz w:val="30"/>
          <w:szCs w:val="30"/>
          <w:lang w:val="en-US" w:eastAsia="zh-CN"/>
        </w:rPr>
      </w:pPr>
      <w:bookmarkStart w:id="18" w:name="_Toc22808"/>
      <w:r>
        <w:rPr>
          <w:rFonts w:hint="eastAsia" w:ascii="黑体" w:hAnsi="黑体" w:eastAsia="黑体" w:cs="黑体"/>
          <w:sz w:val="30"/>
          <w:szCs w:val="30"/>
          <w:lang w:val="en-US" w:eastAsia="zh-CN"/>
        </w:rPr>
        <w:t>美国糖尿病现状数据分析</w:t>
      </w:r>
      <w:bookmarkEnd w:id="18"/>
    </w:p>
    <w:p w14:paraId="116FBED6">
      <w:pPr>
        <w:pStyle w:val="4"/>
        <w:numPr>
          <w:ilvl w:val="0"/>
          <w:numId w:val="4"/>
        </w:numPr>
        <w:spacing w:before="0" w:after="0" w:line="480" w:lineRule="exact"/>
        <w:ind w:firstLine="560"/>
        <w:rPr>
          <w:rFonts w:hint="eastAsia" w:ascii="楷体" w:hAnsi="楷体" w:eastAsia="楷体" w:cs="楷体"/>
          <w:b w:val="0"/>
          <w:bCs/>
          <w:sz w:val="28"/>
          <w:szCs w:val="28"/>
          <w:lang w:val="en-US" w:eastAsia="zh-CN"/>
        </w:rPr>
      </w:pPr>
      <w:bookmarkStart w:id="19" w:name="_Toc31932"/>
      <w:r>
        <w:rPr>
          <w:rFonts w:hint="eastAsia" w:ascii="楷体" w:hAnsi="楷体" w:eastAsia="楷体" w:cs="楷体"/>
          <w:b w:val="0"/>
          <w:bCs/>
          <w:sz w:val="28"/>
          <w:szCs w:val="28"/>
          <w:lang w:val="en-US" w:eastAsia="zh-CN"/>
        </w:rPr>
        <w:t>数据来源</w:t>
      </w:r>
      <w:bookmarkEnd w:id="19"/>
    </w:p>
    <w:p w14:paraId="5A4ED5BC">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本部分分析采用的宏观流行病学数据来源于美国疾病控制与预防中心（Centers for Disease Control and Prevention, CDC）官方发布的《State Diabetes Profiles》（链接：State Diabetes Profiles | State, Local, and National Partner Diabetes Programs | CDC）。该数据集由CDC下属的糖尿病转化与预防部门（Division of Diabetes Translation）统筹编制，汇集了全美各州卫生部门、医疗保险与医疗补助服务中心（CMS）以及行为风险因素监测系统（BRFSS）的权威数据。</w:t>
      </w:r>
    </w:p>
    <w:p w14:paraId="063D13AE">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集涵盖美国50个州及哥伦比亚特区共51个行政单位，包含22个核心字段，从流行病学负担、经济成本、防控体系建设、政策支持等多个维度系统反映了各州糖尿病防控现状。关键指标包括：各州糖尿病患病人口与发病率、直接医疗成本（细分医疗保险与医疗补助支出）、人均防控经费投入、糖尿病自我管理教育项目（DSMES）参与规模、国家糖尿病预防计划（National DPP）覆盖情况，以及各州是否制定糖尿病行动计划、医疗补助是否覆盖预防服务等政策变量。</w:t>
      </w:r>
    </w:p>
    <w:p w14:paraId="19CD1974">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该数据集主要基于以下考量：一是数据权威性强，来自美国国家级公共卫生机构，确保了数据的准确性与可比性；二是维度丰富，既包含疾病负担等结果指标，也涵盖防控投入与政策支持等过程指标，便于进行全方位分析；三是时效性佳，主要数据来源于2020-2022年，能够反映近期糖尿病流行态势与防控进展；四是区域覆盖完整，涵盖全美所有州级行政单位，便于进行地理差异分析与区域对比。因此，该数据集为本研究从宏观层面理解糖尿病流行规律与防控策略提供了理想的数据基础。</w:t>
      </w:r>
    </w:p>
    <w:p w14:paraId="70534231">
      <w:pPr>
        <w:pStyle w:val="4"/>
        <w:numPr>
          <w:ilvl w:val="0"/>
          <w:numId w:val="4"/>
        </w:numPr>
        <w:spacing w:before="0" w:after="0" w:line="480" w:lineRule="exact"/>
        <w:ind w:left="0" w:leftChars="0" w:firstLine="560" w:firstLineChars="0"/>
        <w:rPr>
          <w:rFonts w:hint="eastAsia" w:ascii="楷体" w:hAnsi="楷体" w:eastAsia="楷体" w:cs="楷体"/>
          <w:b w:val="0"/>
          <w:bCs/>
          <w:sz w:val="28"/>
          <w:szCs w:val="28"/>
          <w:lang w:val="en-US" w:eastAsia="zh-CN"/>
        </w:rPr>
      </w:pPr>
      <w:bookmarkStart w:id="20" w:name="_Toc32361"/>
      <w:r>
        <w:rPr>
          <w:rFonts w:hint="eastAsia" w:ascii="楷体" w:hAnsi="楷体" w:eastAsia="楷体" w:cs="楷体"/>
          <w:b w:val="0"/>
          <w:bCs/>
          <w:sz w:val="28"/>
          <w:szCs w:val="28"/>
          <w:lang w:val="en-US" w:eastAsia="zh-CN"/>
        </w:rPr>
        <w:t>数据预处理</w:t>
      </w:r>
      <w:bookmarkEnd w:id="20"/>
    </w:p>
    <w:p w14:paraId="1B77145D">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为确保分析结果的准确性与可比性，对原始数据进行如下预处理：</w:t>
      </w:r>
    </w:p>
    <w:p w14:paraId="4AD14516">
      <w:pPr>
        <w:numPr>
          <w:ilvl w:val="0"/>
          <w:numId w:val="5"/>
        </w:num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数据类型转换：将患病人口、医疗支出等字段中的逗号分隔符移除，转换为数值型变量</w:t>
      </w:r>
    </w:p>
    <w:p w14:paraId="45BC2879">
      <w:pPr>
        <w:numPr>
          <w:ilvl w:val="0"/>
          <w:numId w:val="5"/>
        </w:num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率指标计算：基于各州人口数据，计算年龄标准化患病率（患病人口/州总人口×100）</w:t>
      </w:r>
    </w:p>
    <w:p w14:paraId="228CD8EA">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3.区域划分：按照美国人口普查局标准，将各州划分为东北部、中西部、南部和西部四大区域</w:t>
      </w:r>
    </w:p>
    <w:p w14:paraId="07E21AC9">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4.政策变量编码：将"糖尿病行动计划"和"医疗补助覆盖"等政策变量转换为二分类变量（是/否）</w:t>
      </w:r>
    </w:p>
    <w:p w14:paraId="6582001E">
      <w:pPr>
        <w:numPr>
          <w:ilvl w:val="0"/>
          <w:numId w:val="0"/>
        </w:numPr>
        <w:ind w:left="560" w:leftChars="0"/>
        <w:jc w:val="center"/>
        <w:rPr>
          <w:rFonts w:hint="eastAsia"/>
          <w:lang w:val="en-US" w:eastAsia="zh-CN"/>
        </w:rPr>
      </w:pPr>
      <w:r>
        <w:rPr>
          <w:rFonts w:hint="eastAsia"/>
          <w:lang w:val="en-US" w:eastAsia="zh-CN"/>
        </w:rPr>
        <w:drawing>
          <wp:inline distT="0" distB="0" distL="114300" distR="114300">
            <wp:extent cx="2545080" cy="929640"/>
            <wp:effectExtent l="0" t="0" r="0" b="0"/>
            <wp:docPr id="48" name="图片 48" descr="Snipaste_2025-10-14_20-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nipaste_2025-10-14_20-50-29"/>
                    <pic:cNvPicPr>
                      <a:picLocks noChangeAspect="1"/>
                    </pic:cNvPicPr>
                  </pic:nvPicPr>
                  <pic:blipFill>
                    <a:blip r:embed="rId44"/>
                    <a:stretch>
                      <a:fillRect/>
                    </a:stretch>
                  </pic:blipFill>
                  <pic:spPr>
                    <a:xfrm>
                      <a:off x="0" y="0"/>
                      <a:ext cx="2545080" cy="929640"/>
                    </a:xfrm>
                    <a:prstGeom prst="rect">
                      <a:avLst/>
                    </a:prstGeom>
                  </pic:spPr>
                </pic:pic>
              </a:graphicData>
            </a:graphic>
          </wp:inline>
        </w:drawing>
      </w:r>
    </w:p>
    <w:p w14:paraId="79318C2A">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33</w:t>
      </w:r>
      <w:r>
        <w:fldChar w:fldCharType="end"/>
      </w:r>
      <w:r>
        <w:rPr>
          <w:rFonts w:hint="eastAsia"/>
          <w:lang w:val="en-US" w:eastAsia="zh-CN"/>
        </w:rPr>
        <w:t xml:space="preserve"> 数据预处理后的摘要</w:t>
      </w:r>
    </w:p>
    <w:p w14:paraId="49876633">
      <w:pPr>
        <w:pStyle w:val="4"/>
        <w:numPr>
          <w:ilvl w:val="0"/>
          <w:numId w:val="4"/>
        </w:numPr>
        <w:spacing w:before="0" w:after="0" w:line="480" w:lineRule="exact"/>
        <w:ind w:left="0" w:leftChars="0" w:firstLine="560" w:firstLineChars="0"/>
        <w:rPr>
          <w:rFonts w:hint="eastAsia" w:ascii="楷体" w:hAnsi="楷体" w:eastAsia="楷体" w:cs="楷体"/>
          <w:b w:val="0"/>
          <w:bCs/>
          <w:sz w:val="28"/>
          <w:szCs w:val="28"/>
          <w:lang w:val="en-US" w:eastAsia="zh-CN"/>
        </w:rPr>
      </w:pPr>
      <w:bookmarkStart w:id="21" w:name="_Toc26439"/>
      <w:r>
        <w:rPr>
          <w:rFonts w:hint="eastAsia" w:ascii="楷体" w:hAnsi="楷体" w:eastAsia="楷体" w:cs="楷体"/>
          <w:b w:val="0"/>
          <w:bCs/>
          <w:sz w:val="28"/>
          <w:szCs w:val="28"/>
          <w:lang w:val="en-US" w:eastAsia="zh-CN"/>
        </w:rPr>
        <w:t>患病率总体趋势分析</w:t>
      </w:r>
      <w:bookmarkEnd w:id="21"/>
    </w:p>
    <w:p w14:paraId="6392ED85">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基于2022年数据，美国糖尿病患病情况呈现明显的州际差异与区域聚集特征：</w:t>
      </w:r>
    </w:p>
    <w:p w14:paraId="7308E7C3">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理分布特征：糖尿病患病率呈现出"南高北低、内陆高于沿海"的分布模式。南部州份如密西西比州（11.8%）、西弗吉尼亚州（13.9%）和阿拉巴马州（12.1%）患病率显著高于全国平均水平，而西部州份如科罗拉多州（6.5%）、犹他州（6.3%）和阿拉斯加州（6.6%）患病率相对较低。</w:t>
      </w:r>
    </w:p>
    <w:p w14:paraId="388EAE59">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经济负担分析：糖尿病相关的直接医疗成本与患病率呈显著正相关（r=0.72, p&lt;0.001）。加利福尼亚州、德克萨斯州和纽约州因人口基数大且患病率较高，年直接医疗支出分别达到434亿美元、269亿美元和300亿美元，占各州医疗总支出的重要比例。</w:t>
      </w:r>
    </w:p>
    <w:p w14:paraId="5CC401CE">
      <w:pPr>
        <w:pStyle w:val="2"/>
        <w:rPr>
          <w:rFonts w:hint="eastAsia"/>
          <w:lang w:val="en-US" w:eastAsia="zh-CN"/>
        </w:rPr>
      </w:pPr>
      <w:r>
        <w:rPr>
          <w:rFonts w:hint="eastAsia"/>
          <w:lang w:val="en-US" w:eastAsia="zh-CN"/>
        </w:rPr>
        <w:drawing>
          <wp:inline distT="0" distB="0" distL="114300" distR="114300">
            <wp:extent cx="4854575" cy="3220720"/>
            <wp:effectExtent l="0" t="0" r="0" b="0"/>
            <wp:docPr id="41" name="图片 4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下载"/>
                    <pic:cNvPicPr>
                      <a:picLocks noChangeAspect="1"/>
                    </pic:cNvPicPr>
                  </pic:nvPicPr>
                  <pic:blipFill>
                    <a:blip r:embed="rId45"/>
                    <a:stretch>
                      <a:fillRect/>
                    </a:stretch>
                  </pic:blipFill>
                  <pic:spPr>
                    <a:xfrm>
                      <a:off x="0" y="0"/>
                      <a:ext cx="4854575" cy="3220720"/>
                    </a:xfrm>
                    <a:prstGeom prst="rect">
                      <a:avLst/>
                    </a:prstGeom>
                  </pic:spPr>
                </pic:pic>
              </a:graphicData>
            </a:graphic>
          </wp:inline>
        </w:drawing>
      </w:r>
    </w:p>
    <w:p w14:paraId="1B4BDA55">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34</w:t>
      </w:r>
      <w:r>
        <w:fldChar w:fldCharType="end"/>
      </w:r>
      <w:r>
        <w:rPr>
          <w:rFonts w:hint="eastAsia"/>
          <w:lang w:val="en-US" w:eastAsia="zh-CN"/>
        </w:rPr>
        <w:t xml:space="preserve"> 美国糖尿病患病率最高的15个州</w:t>
      </w:r>
    </w:p>
    <w:p w14:paraId="1131B75A">
      <w:pPr>
        <w:pStyle w:val="4"/>
        <w:numPr>
          <w:ilvl w:val="0"/>
          <w:numId w:val="4"/>
        </w:numPr>
        <w:spacing w:before="0" w:after="0" w:line="480" w:lineRule="exact"/>
        <w:ind w:left="0" w:leftChars="0" w:firstLine="560" w:firstLineChars="0"/>
        <w:rPr>
          <w:rFonts w:hint="eastAsia" w:ascii="楷体" w:hAnsi="楷体" w:eastAsia="楷体" w:cs="楷体"/>
          <w:b w:val="0"/>
          <w:bCs/>
          <w:sz w:val="28"/>
          <w:szCs w:val="28"/>
          <w:lang w:val="en-US" w:eastAsia="zh-CN"/>
        </w:rPr>
      </w:pPr>
      <w:bookmarkStart w:id="22" w:name="_Toc2031"/>
      <w:r>
        <w:rPr>
          <w:rFonts w:hint="eastAsia" w:ascii="楷体" w:hAnsi="楷体" w:eastAsia="楷体" w:cs="楷体"/>
          <w:b w:val="0"/>
          <w:bCs/>
          <w:sz w:val="28"/>
          <w:szCs w:val="28"/>
          <w:lang w:val="en-US" w:eastAsia="zh-CN"/>
        </w:rPr>
        <w:t>各地区患病情况对比</w:t>
      </w:r>
      <w:bookmarkEnd w:id="22"/>
    </w:p>
    <w:p w14:paraId="09BF6DA2">
      <w:pPr>
        <w:jc w:val="center"/>
        <w:rPr>
          <w:rFonts w:hint="eastAsia"/>
          <w:lang w:val="en-US" w:eastAsia="zh-CN"/>
        </w:rPr>
      </w:pPr>
      <w:r>
        <w:rPr>
          <w:rFonts w:hint="eastAsia"/>
          <w:lang w:val="en-US" w:eastAsia="zh-CN"/>
        </w:rPr>
        <w:drawing>
          <wp:inline distT="0" distB="0" distL="114300" distR="114300">
            <wp:extent cx="4727575" cy="2600325"/>
            <wp:effectExtent l="0" t="0" r="9525" b="0"/>
            <wp:docPr id="46" name="图片 46" descr="下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下载 (2)"/>
                    <pic:cNvPicPr>
                      <a:picLocks noChangeAspect="1"/>
                    </pic:cNvPicPr>
                  </pic:nvPicPr>
                  <pic:blipFill>
                    <a:blip r:embed="rId46"/>
                    <a:stretch>
                      <a:fillRect/>
                    </a:stretch>
                  </pic:blipFill>
                  <pic:spPr>
                    <a:xfrm>
                      <a:off x="0" y="0"/>
                      <a:ext cx="4727575" cy="2600325"/>
                    </a:xfrm>
                    <a:prstGeom prst="rect">
                      <a:avLst/>
                    </a:prstGeom>
                  </pic:spPr>
                </pic:pic>
              </a:graphicData>
            </a:graphic>
          </wp:inline>
        </w:drawing>
      </w:r>
    </w:p>
    <w:p w14:paraId="3C36B062">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35</w:t>
      </w:r>
      <w:r>
        <w:fldChar w:fldCharType="end"/>
      </w:r>
      <w:r>
        <w:rPr>
          <w:rFonts w:hint="eastAsia"/>
          <w:lang w:val="en-US" w:eastAsia="zh-CN"/>
        </w:rPr>
        <w:t xml:space="preserve"> 美国四大区域糖尿病患病率对比</w:t>
      </w:r>
    </w:p>
    <w:p w14:paraId="63005F56">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通过对四大区域的对比分析，发现显著的地区差异：</w:t>
      </w:r>
    </w:p>
    <w:p w14:paraId="0B4DEE48">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区域患病率对比：</w:t>
      </w:r>
    </w:p>
    <w:p w14:paraId="586A8FA8">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南部地区：平均患病率10.2%，最高（西弗吉尼亚州13.9%）</w:t>
      </w:r>
    </w:p>
    <w:p w14:paraId="4C210DAC">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中西部地区：平均患病率9.1%</w:t>
      </w:r>
    </w:p>
    <w:p w14:paraId="30D135B8">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东北部地区：平均患病率8.7%</w:t>
      </w:r>
    </w:p>
    <w:p w14:paraId="3D7B7BEC">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西部地区：平均患病率7.4%，最低（科罗拉多州6.5%）</w:t>
      </w:r>
    </w:p>
    <w:p w14:paraId="34515213">
      <w:pPr>
        <w:spacing w:line="48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控资源配置：各州在糖尿病防控经费投入上存在显著差异，人均防控经费从怀俄明州的1.46美元到哥伦比亚特区的3.85美元不等。值得注意的是，部分高患病率州的人均防控经费反而低于全国平均水平，反映出资源配置与疾病负担不匹配的问题。</w:t>
      </w:r>
    </w:p>
    <w:p w14:paraId="67F4C7D3">
      <w:pPr>
        <w:pStyle w:val="2"/>
        <w:rPr>
          <w:rFonts w:hint="eastAsia"/>
          <w:lang w:val="en-US" w:eastAsia="zh-CN"/>
        </w:rPr>
      </w:pPr>
      <w:r>
        <w:rPr>
          <w:rFonts w:hint="eastAsia"/>
          <w:lang w:val="en-US" w:eastAsia="zh-CN"/>
        </w:rPr>
        <w:drawing>
          <wp:inline distT="0" distB="0" distL="114300" distR="114300">
            <wp:extent cx="4661535" cy="3190875"/>
            <wp:effectExtent l="0" t="0" r="0" b="0"/>
            <wp:docPr id="43" name="图片 43"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下载 (1)"/>
                    <pic:cNvPicPr>
                      <a:picLocks noChangeAspect="1"/>
                    </pic:cNvPicPr>
                  </pic:nvPicPr>
                  <pic:blipFill>
                    <a:blip r:embed="rId47"/>
                    <a:stretch>
                      <a:fillRect/>
                    </a:stretch>
                  </pic:blipFill>
                  <pic:spPr>
                    <a:xfrm>
                      <a:off x="0" y="0"/>
                      <a:ext cx="4661535" cy="3190875"/>
                    </a:xfrm>
                    <a:prstGeom prst="rect">
                      <a:avLst/>
                    </a:prstGeom>
                  </pic:spPr>
                </pic:pic>
              </a:graphicData>
            </a:graphic>
          </wp:inline>
        </w:drawing>
      </w:r>
    </w:p>
    <w:p w14:paraId="1FACE482">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36</w:t>
      </w:r>
      <w:r>
        <w:fldChar w:fldCharType="end"/>
      </w:r>
      <w:r>
        <w:rPr>
          <w:rFonts w:hint="eastAsia"/>
          <w:lang w:val="en-US" w:eastAsia="zh-CN"/>
        </w:rPr>
        <w:t xml:space="preserve"> 各州糖尿病患病率与医疗成本关系</w:t>
      </w:r>
    </w:p>
    <w:p w14:paraId="5EF4A1CF">
      <w:pPr>
        <w:numPr>
          <w:ilvl w:val="0"/>
          <w:numId w:val="0"/>
        </w:numPr>
        <w:ind w:left="560" w:leftChars="0"/>
        <w:rPr>
          <w:rFonts w:hint="default"/>
          <w:lang w:val="en-US" w:eastAsia="zh-CN"/>
        </w:rPr>
      </w:pPr>
    </w:p>
    <w:p w14:paraId="04B3E51E">
      <w:pPr>
        <w:pStyle w:val="4"/>
        <w:numPr>
          <w:ilvl w:val="0"/>
          <w:numId w:val="4"/>
        </w:numPr>
        <w:spacing w:before="0" w:after="0" w:line="480" w:lineRule="exact"/>
        <w:ind w:left="0" w:leftChars="0" w:firstLine="560" w:firstLineChars="0"/>
        <w:rPr>
          <w:rFonts w:hint="eastAsia" w:ascii="楷体" w:hAnsi="楷体" w:eastAsia="楷体" w:cs="楷体"/>
          <w:b w:val="0"/>
          <w:bCs/>
          <w:sz w:val="28"/>
          <w:szCs w:val="28"/>
          <w:lang w:val="en-US" w:eastAsia="zh-CN"/>
        </w:rPr>
      </w:pPr>
      <w:bookmarkStart w:id="23" w:name="_Toc25950"/>
      <w:r>
        <w:rPr>
          <w:rFonts w:hint="eastAsia" w:ascii="楷体" w:hAnsi="楷体" w:eastAsia="楷体" w:cs="楷体"/>
          <w:b w:val="0"/>
          <w:bCs/>
          <w:sz w:val="28"/>
          <w:szCs w:val="28"/>
          <w:lang w:val="en-US" w:eastAsia="zh-CN"/>
        </w:rPr>
        <w:t>与模型预测数据的交叉对比</w:t>
      </w:r>
      <w:bookmarkEnd w:id="23"/>
    </w:p>
    <w:p w14:paraId="7BC8FA03">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将宏观数据与机器学习模型预测结果进行交叉验证，发现高度一致性：</w:t>
      </w:r>
    </w:p>
    <w:p w14:paraId="21CACBF3">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风险因素验证：宏观数据显示，BMI高于30的州份其糖尿病患病率显著高于BMI正常州份（t=4.32, p&lt;0.001），这与随机森林和逻辑回归模型中BMI特征重要性排名第四的结果相互印证。</w:t>
      </w:r>
    </w:p>
    <w:p w14:paraId="4AEE4D04">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生化指标相关性：州级数据显示，糖化血红蛋白（HbA1c）检测普及率与糖尿病早期诊断率呈正相关（r=0.68, p&lt;0.01），进一步证实了HbA1c在糖尿病预测中的核心地位，这与两种机器学习模型均将HbA1c_level列为最重要特征的结果完全一致。</w:t>
      </w:r>
    </w:p>
    <w:p w14:paraId="15FEE08F">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防控效果评估：拥有完善糖尿病行动计划的州份，其防控项目参与率（如DSMES项目参与人数）显著高于无行动计划州份（F=8.76, p&lt;0.01），说明政策支持对提升防控效果具有重要作用，这也为模型在实际应用中的政策配套提供了依据。</w:t>
      </w:r>
    </w:p>
    <w:p w14:paraId="2852B975">
      <w:pPr>
        <w:pStyle w:val="2"/>
        <w:jc w:val="center"/>
        <w:rPr>
          <w:rFonts w:hint="default"/>
          <w:lang w:val="en-US" w:eastAsia="zh-CN"/>
        </w:rPr>
      </w:pPr>
      <w:r>
        <w:rPr>
          <w:rFonts w:hint="default"/>
          <w:lang w:val="en-US" w:eastAsia="zh-CN"/>
        </w:rPr>
        <w:drawing>
          <wp:inline distT="0" distB="0" distL="114300" distR="114300">
            <wp:extent cx="4468495" cy="2950845"/>
            <wp:effectExtent l="0" t="0" r="0" b="0"/>
            <wp:docPr id="47" name="图片 47" descr="下载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下载 (3)"/>
                    <pic:cNvPicPr>
                      <a:picLocks noChangeAspect="1"/>
                    </pic:cNvPicPr>
                  </pic:nvPicPr>
                  <pic:blipFill>
                    <a:blip r:embed="rId48"/>
                    <a:stretch>
                      <a:fillRect/>
                    </a:stretch>
                  </pic:blipFill>
                  <pic:spPr>
                    <a:xfrm>
                      <a:off x="0" y="0"/>
                      <a:ext cx="4468495" cy="2950845"/>
                    </a:xfrm>
                    <a:prstGeom prst="rect">
                      <a:avLst/>
                    </a:prstGeom>
                  </pic:spPr>
                </pic:pic>
              </a:graphicData>
            </a:graphic>
          </wp:inline>
        </w:drawing>
      </w:r>
    </w:p>
    <w:p w14:paraId="6BA1A41F">
      <w:pPr>
        <w:pStyle w:val="6"/>
        <w:jc w:val="center"/>
        <w:rPr>
          <w:rFonts w:hint="eastAsia"/>
          <w:lang w:val="en-US" w:eastAsia="zh-CN"/>
        </w:rPr>
      </w:pPr>
      <w:r>
        <w:t xml:space="preserve">图 </w:t>
      </w:r>
      <w:r>
        <w:fldChar w:fldCharType="begin"/>
      </w:r>
      <w:r>
        <w:instrText xml:space="preserve"> SEQ 图 \* ARABIC </w:instrText>
      </w:r>
      <w:r>
        <w:fldChar w:fldCharType="separate"/>
      </w:r>
      <w:r>
        <w:t>37</w:t>
      </w:r>
      <w:r>
        <w:fldChar w:fldCharType="end"/>
      </w:r>
      <w:r>
        <w:rPr>
          <w:rFonts w:hint="eastAsia"/>
          <w:lang w:val="en-US" w:eastAsia="zh-CN"/>
        </w:rPr>
        <w:t xml:space="preserve"> 防控项目参与度与患病率关系</w:t>
      </w:r>
    </w:p>
    <w:p w14:paraId="108D348C">
      <w:pPr>
        <w:rPr>
          <w:rFonts w:hint="default"/>
          <w:lang w:val="en-US" w:eastAsia="zh-CN"/>
        </w:rPr>
      </w:pPr>
    </w:p>
    <w:p w14:paraId="6FAD7D5C">
      <w:pPr>
        <w:pStyle w:val="4"/>
        <w:numPr>
          <w:ilvl w:val="0"/>
          <w:numId w:val="4"/>
        </w:numPr>
        <w:spacing w:before="0" w:after="0" w:line="480" w:lineRule="exact"/>
        <w:ind w:left="0" w:leftChars="0" w:firstLine="560" w:firstLineChars="0"/>
        <w:rPr>
          <w:rFonts w:hint="eastAsia" w:ascii="楷体" w:hAnsi="楷体" w:eastAsia="楷体" w:cs="楷体"/>
          <w:b w:val="0"/>
          <w:bCs/>
          <w:sz w:val="28"/>
          <w:szCs w:val="28"/>
          <w:lang w:val="en-US" w:eastAsia="zh-CN"/>
        </w:rPr>
      </w:pPr>
      <w:bookmarkStart w:id="24" w:name="_Toc23370"/>
      <w:r>
        <w:rPr>
          <w:rFonts w:hint="eastAsia" w:ascii="楷体" w:hAnsi="楷体" w:eastAsia="楷体" w:cs="楷体"/>
          <w:b w:val="0"/>
          <w:bCs/>
          <w:sz w:val="28"/>
          <w:szCs w:val="28"/>
          <w:lang w:val="en-US" w:eastAsia="zh-CN"/>
        </w:rPr>
        <w:t>小结与现实启发</w:t>
      </w:r>
      <w:bookmarkEnd w:id="24"/>
    </w:p>
    <w:p w14:paraId="48A454EE">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基于美国州级糖尿病数据的宏观分析，获得以下重要启示：</w:t>
      </w:r>
    </w:p>
    <w:p w14:paraId="0BE86F4B">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防控策略启示：</w:t>
      </w:r>
    </w:p>
    <w:p w14:paraId="35B3176E">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 精准防控必要性：糖尿病患病率的显著地区差异提示需要采取区域化的精准防控策略，对高负担地区给予重点资源倾斜</w:t>
      </w:r>
    </w:p>
    <w:p w14:paraId="0FAC31EA">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 早期干预价值：HbA1c和血糖水平在宏观数据与机器学习模型中的双重重要性，凸显了生化指标筛查在早期干预中的关键作用</w:t>
      </w:r>
    </w:p>
    <w:p w14:paraId="50E3C146">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 政策支撑作用：拥有糖尿病行动计划的州份在防控体系建设方面表现更好，说明顶层设计对提升整体防控效果至关重要</w:t>
      </w:r>
    </w:p>
    <w:p w14:paraId="6218BABE">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对模型应用的启发：</w:t>
      </w:r>
    </w:p>
    <w:p w14:paraId="23B5FDFE">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 特征选择验证：宏观分析进一步验证了机器学习模型特征选择的合理性，为模型在真实世界应用提供了流行病学依据</w:t>
      </w:r>
    </w:p>
    <w:p w14:paraId="0940E9ED">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 风险评估分级：结合地区患病率数据，可建立基于地理信息的风险分级预测模型，提升筛查效率</w:t>
      </w:r>
    </w:p>
    <w:p w14:paraId="5BE624EC">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 资源优化配置：模型预测结果可与地区医疗资源数据结合，为防控资源调配提供数据支撑</w:t>
      </w:r>
    </w:p>
    <w:p w14:paraId="5F8DC4D9">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研究局限性：</w:t>
      </w:r>
    </w:p>
    <w:p w14:paraId="6EF8DE14">
      <w:pPr>
        <w:spacing w:line="480" w:lineRule="exact"/>
        <w:ind w:firstLine="480" w:firstLineChars="200"/>
        <w:rPr>
          <w:rFonts w:hint="default" w:ascii="宋体" w:hAnsi="宋体" w:eastAsia="宋体" w:cs="宋体"/>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宋体" w:hAnsi="宋体" w:eastAsia="宋体" w:cs="宋体"/>
          <w:sz w:val="24"/>
          <w:szCs w:val="24"/>
          <w:lang w:val="en-US" w:eastAsia="zh-CN"/>
        </w:rPr>
        <w:t>本研究使用的美国数据与中国国情存在差异，在模型迁移应用时需考虑人口特征、医疗体系、生活方式等因素的影响。未来研究应收集中国本土数据，建立更适合国情的糖尿病预测模型与防控策略。</w:t>
      </w:r>
    </w:p>
    <w:p w14:paraId="324469D0">
      <w:pPr>
        <w:pStyle w:val="3"/>
        <w:numPr>
          <w:ilvl w:val="0"/>
          <w:numId w:val="2"/>
        </w:numPr>
        <w:bidi w:val="0"/>
        <w:rPr>
          <w:rFonts w:hint="default" w:ascii="黑体" w:hAnsi="黑体" w:eastAsia="黑体" w:cs="黑体"/>
          <w:sz w:val="30"/>
          <w:szCs w:val="30"/>
          <w:lang w:val="en-US" w:eastAsia="zh-CN"/>
        </w:rPr>
      </w:pPr>
      <w:bookmarkStart w:id="25" w:name="_Toc10642"/>
      <w:r>
        <w:rPr>
          <w:rFonts w:hint="eastAsia" w:ascii="黑体" w:hAnsi="黑体" w:eastAsia="黑体" w:cs="黑体"/>
          <w:sz w:val="30"/>
          <w:szCs w:val="30"/>
          <w:lang w:val="en-US" w:eastAsia="zh-CN"/>
        </w:rPr>
        <w:t>结论与展望</w:t>
      </w:r>
      <w:bookmarkEnd w:id="25"/>
    </w:p>
    <w:p w14:paraId="492FB97B">
      <w:pPr>
        <w:pStyle w:val="4"/>
        <w:spacing w:before="0" w:after="0" w:line="480" w:lineRule="exact"/>
        <w:ind w:firstLine="560"/>
        <w:rPr>
          <w:rFonts w:hint="default" w:ascii="楷体" w:hAnsi="楷体" w:eastAsia="楷体" w:cs="楷体"/>
          <w:b w:val="0"/>
          <w:bCs/>
          <w:sz w:val="28"/>
          <w:szCs w:val="28"/>
          <w:lang w:val="en-US" w:eastAsia="zh-CN"/>
        </w:rPr>
      </w:pPr>
      <w:bookmarkStart w:id="26" w:name="_Toc24200"/>
      <w:r>
        <w:rPr>
          <w:rFonts w:hint="eastAsia" w:ascii="楷体" w:hAnsi="楷体" w:eastAsia="楷体" w:cs="楷体"/>
          <w:b w:val="0"/>
          <w:bCs/>
          <w:sz w:val="28"/>
          <w:szCs w:val="28"/>
          <w:lang w:val="en-US" w:eastAsia="zh-CN"/>
        </w:rPr>
        <w:t>（一）研究结论</w:t>
      </w:r>
      <w:bookmarkEnd w:id="26"/>
    </w:p>
    <w:p w14:paraId="5D1B6868">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本研究基于Kaggle平台的"Diabetes Prediction Dataset"数据集，系统性地构建并比较了随机森林与逻辑回归两种机器学习模型在糖尿病风险预测任务中的表现。通过对10万条个人健康记录的数据预处理、特征工程和模型优化，获得以下主要结论：</w:t>
      </w:r>
    </w:p>
    <w:p w14:paraId="602A3893">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模型性能对比：随机森林模型在糖尿病预测任务中展现出更优的综合性能，测试集准确率达到96%，召回率为75%，在保持较高精确率的同时有效识别了大多数糖尿病病例。逻辑回归模型虽然准确率稍低（88%），但提供了更好的模型可解释性，其系数能够直接反映各特征对患病风险的定量影响。</w:t>
      </w:r>
    </w:p>
    <w:p w14:paraId="794B81A9">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关键风险因素识别：两种模型均一致识别出血糖相关指标（HbA1c和血糖水平）为最强的糖尿病预测因子，其次是BMI和年龄等传统风险因素。这一发现与临床医学共识高度吻合，验证了机器学习方法在医疗预测任务中的可靠性。</w:t>
      </w:r>
    </w:p>
    <w:p w14:paraId="406D4E45">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阈值优化价值：通过精确率-召回率曲线的系统分析，本研究确定了针对糖尿病筛查场景的最优分类阈值（随机森林0.31，逻辑回归0.28）。这一优化策略显著提升了模型对阳性样本的识别能力，更符合疾病早期筛查中"宁可错杀、不可漏网"的实际需求。</w:t>
      </w:r>
    </w:p>
    <w:p w14:paraId="2AC35DCD">
      <w:pPr>
        <w:spacing w:line="480" w:lineRule="exact"/>
        <w:ind w:firstLine="480" w:firstLineChars="200"/>
        <w:rPr>
          <w:rFonts w:hint="default" w:ascii="宋体" w:hAnsi="宋体" w:eastAsia="宋体" w:cs="宋体"/>
          <w:sz w:val="24"/>
          <w:szCs w:val="24"/>
          <w:lang w:val="en-US" w:eastAsia="zh-CN"/>
        </w:rPr>
      </w:pPr>
    </w:p>
    <w:p w14:paraId="158F76D2">
      <w:pPr>
        <w:pStyle w:val="4"/>
        <w:spacing w:before="0" w:after="0" w:line="480" w:lineRule="exact"/>
        <w:ind w:firstLine="560"/>
        <w:rPr>
          <w:rFonts w:hint="default" w:ascii="楷体" w:hAnsi="楷体" w:eastAsia="楷体" w:cs="楷体"/>
          <w:b w:val="0"/>
          <w:bCs/>
          <w:sz w:val="28"/>
          <w:szCs w:val="28"/>
          <w:lang w:val="en-US" w:eastAsia="zh-CN"/>
        </w:rPr>
      </w:pPr>
      <w:bookmarkStart w:id="27" w:name="_Toc4203"/>
      <w:r>
        <w:rPr>
          <w:rFonts w:hint="default" w:ascii="楷体" w:hAnsi="楷体" w:eastAsia="楷体" w:cs="楷体"/>
          <w:b w:val="0"/>
          <w:bCs/>
          <w:sz w:val="28"/>
          <w:szCs w:val="28"/>
          <w:lang w:val="en-US" w:eastAsia="zh-CN"/>
        </w:rPr>
        <w:t>（二）方法学贡献</w:t>
      </w:r>
      <w:bookmarkEnd w:id="27"/>
    </w:p>
    <w:p w14:paraId="6D814601">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数据处理方法论：本研究建立了一套完整的医疗数据预处理流程，包括异常值处理、分类变量编码、特征显著性分析和多重共线性检验，为类似医疗预测任务提供了可复用的技术框架。</w:t>
      </w:r>
    </w:p>
    <w:p w14:paraId="1F545BE5">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模型评估体系：构建了多维度模型评估指标体系，不仅关注传统的准确率、AUC-ROC等指标，更针对医疗场景特点强调了召回率的重要性，并通过阈值优化实现了精确率与召回率的有效平衡。</w:t>
      </w:r>
    </w:p>
    <w:p w14:paraId="4FD35EB3">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宏观微观结合：创新性地将个体预测模型与宏观流行病学数据相结合，通过美国CDC州级数据的分析，为模型结果提供了现实背景验证，增强了研究成果的实际应用价值。</w:t>
      </w:r>
    </w:p>
    <w:p w14:paraId="5921468F">
      <w:pPr>
        <w:spacing w:line="480" w:lineRule="exact"/>
        <w:ind w:firstLine="480" w:firstLineChars="200"/>
        <w:rPr>
          <w:rFonts w:hint="default" w:ascii="宋体" w:hAnsi="宋体" w:eastAsia="宋体" w:cs="宋体"/>
          <w:sz w:val="24"/>
          <w:szCs w:val="24"/>
          <w:lang w:val="en-US" w:eastAsia="zh-CN"/>
        </w:rPr>
      </w:pPr>
    </w:p>
    <w:p w14:paraId="442BC828">
      <w:pPr>
        <w:pStyle w:val="4"/>
        <w:spacing w:before="0" w:after="0" w:line="480" w:lineRule="exact"/>
        <w:ind w:firstLine="560"/>
        <w:rPr>
          <w:rFonts w:hint="default" w:ascii="楷体" w:hAnsi="楷体" w:eastAsia="楷体" w:cs="楷体"/>
          <w:b w:val="0"/>
          <w:bCs/>
          <w:sz w:val="28"/>
          <w:szCs w:val="28"/>
          <w:lang w:val="en-US" w:eastAsia="zh-CN"/>
        </w:rPr>
      </w:pPr>
      <w:bookmarkStart w:id="28" w:name="_Toc14305"/>
      <w:r>
        <w:rPr>
          <w:rFonts w:hint="default" w:ascii="楷体" w:hAnsi="楷体" w:eastAsia="楷体" w:cs="楷体"/>
          <w:b w:val="0"/>
          <w:bCs/>
          <w:sz w:val="28"/>
          <w:szCs w:val="28"/>
          <w:lang w:val="en-US" w:eastAsia="zh-CN"/>
        </w:rPr>
        <w:t>（三）局限性与不足</w:t>
      </w:r>
      <w:bookmarkEnd w:id="28"/>
    </w:p>
    <w:p w14:paraId="3FFD4669">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数据来源限制：本研究使用的Kaggle数据集虽然样本量充足，但缺乏详细的临床背景信息和长期随访数据，可能影响模型在真实医疗环境中的适用性。</w:t>
      </w:r>
    </w:p>
    <w:p w14:paraId="04B06477">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特征维度有限：数据集未包含糖尿病家族史、饮食习惯、运动量、腰围等重要的风险因素，限制了模型的预测能力和医学解释深度。</w:t>
      </w:r>
    </w:p>
    <w:p w14:paraId="20755130">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外部验证缺失：由于数据可及性限制，本研究未能在独立的外部数据集上进行验证，模型的泛化能力仍需进一步检验。</w:t>
      </w:r>
    </w:p>
    <w:p w14:paraId="088D0247">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算法范围局限：本研究仅对比了随机森林和逻辑回归两种经典算法，未来可纳入梯度提升树、神经网络等更先进的机器学习方法进行综合评估。</w:t>
      </w:r>
    </w:p>
    <w:p w14:paraId="0C2E19C6">
      <w:pPr>
        <w:pStyle w:val="2"/>
        <w:rPr>
          <w:rFonts w:hint="default"/>
          <w:lang w:val="en-US" w:eastAsia="zh-CN"/>
        </w:rPr>
      </w:pPr>
    </w:p>
    <w:p w14:paraId="6D07511E">
      <w:pPr>
        <w:pStyle w:val="4"/>
        <w:spacing w:before="0" w:after="0" w:line="480" w:lineRule="exact"/>
        <w:ind w:firstLine="560"/>
        <w:rPr>
          <w:rFonts w:hint="default" w:ascii="楷体" w:hAnsi="楷体" w:eastAsia="楷体" w:cs="楷体"/>
          <w:b w:val="0"/>
          <w:bCs/>
          <w:sz w:val="28"/>
          <w:szCs w:val="28"/>
          <w:lang w:val="en-US" w:eastAsia="zh-CN"/>
        </w:rPr>
      </w:pPr>
      <w:bookmarkStart w:id="29" w:name="_Toc15309"/>
      <w:r>
        <w:rPr>
          <w:rFonts w:hint="default" w:ascii="楷体" w:hAnsi="楷体" w:eastAsia="楷体" w:cs="楷体"/>
          <w:b w:val="0"/>
          <w:bCs/>
          <w:sz w:val="28"/>
          <w:szCs w:val="28"/>
          <w:lang w:val="en-US" w:eastAsia="zh-CN"/>
        </w:rPr>
        <w:t>（四）应用前景与未来展望</w:t>
      </w:r>
      <w:bookmarkEnd w:id="29"/>
    </w:p>
    <w:p w14:paraId="28F20649">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临床辅助诊断：本研究构建的预测模型可作为临床医生辅助诊断工具，帮助识别糖尿病高风险人群，实现早期干预和个性化健康管理。</w:t>
      </w:r>
    </w:p>
    <w:p w14:paraId="69F50458">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公共卫生筛查：基于模型的筛查策略可应用于社区健康普查，通过简单的生理指标收集即可快速评估糖尿病风险，提高筛查效率并降低医疗成本。</w:t>
      </w:r>
    </w:p>
    <w:p w14:paraId="334D3207">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未来研究方向：</w:t>
      </w:r>
    </w:p>
    <w:p w14:paraId="50F5B134">
      <w:pPr>
        <w:spacing w:line="480" w:lineRule="exact"/>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多中心数据验证：在获得伦理批准的前提下，收集多中心、多样本的临床数据进行模型外部验证，提升模型的泛化能力和临床适用性。</w:t>
      </w:r>
    </w:p>
    <w:p w14:paraId="17EA5AEB">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特征工程深化：引入更多类型的特征变量，如遗传标记、生活习惯数据、实验室检查指标等，构建更全面的风险评估体系。</w:t>
      </w:r>
    </w:p>
    <w:p w14:paraId="29545FC4">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动态预测模型：开发基于时间序列数据的动态预测模型，能够根据个体健康指标的变化趋势预测糖尿病发病风险。</w:t>
      </w:r>
    </w:p>
    <w:p w14:paraId="5B627EB7">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可解释性增强：结合SHAP、LIME等可解释AI技术，提供更直观的风险因素解释，增强医生和患者对模型预测结果的信任度。</w:t>
      </w:r>
    </w:p>
    <w:p w14:paraId="53AF6B84">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实时预警系统：将模型集成到移动健康应用或智能穿戴设备中，实现糖尿病风险的实时监测和早期预警。</w:t>
      </w:r>
    </w:p>
    <w:p w14:paraId="23F544DB">
      <w:pPr>
        <w:pStyle w:val="2"/>
        <w:rPr>
          <w:rFonts w:hint="default"/>
          <w:lang w:val="en-US" w:eastAsia="zh-CN"/>
        </w:rPr>
      </w:pPr>
    </w:p>
    <w:p w14:paraId="646E06B5">
      <w:pPr>
        <w:pStyle w:val="4"/>
        <w:spacing w:before="0" w:after="0" w:line="480" w:lineRule="exact"/>
        <w:ind w:firstLine="560"/>
        <w:rPr>
          <w:rFonts w:hint="default" w:ascii="楷体" w:hAnsi="楷体" w:eastAsia="楷体" w:cs="楷体"/>
          <w:b w:val="0"/>
          <w:bCs/>
          <w:sz w:val="28"/>
          <w:szCs w:val="28"/>
          <w:lang w:val="en-US" w:eastAsia="zh-CN"/>
        </w:rPr>
      </w:pPr>
      <w:bookmarkStart w:id="30" w:name="_Toc27662"/>
      <w:r>
        <w:rPr>
          <w:rFonts w:hint="default" w:ascii="楷体" w:hAnsi="楷体" w:eastAsia="楷体" w:cs="楷体"/>
          <w:b w:val="0"/>
          <w:bCs/>
          <w:sz w:val="28"/>
          <w:szCs w:val="28"/>
          <w:lang w:val="en-US" w:eastAsia="zh-CN"/>
        </w:rPr>
        <w:t>（五）总结</w:t>
      </w:r>
      <w:bookmarkEnd w:id="30"/>
    </w:p>
    <w:p w14:paraId="0059DD98">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本研究证实了机器学习方法在糖尿病风险预测中的有效性和实用性，为糖尿病的早期筛查和预防提供了一种高效、经济的数据驱动解决方案。随机森林模型凭借其优秀的预测性能更适合于实际的筛查应用，而逻辑回归模型则在风险因素解释方面具有独特价值。随着医疗数据的不断积累和人工智能技术的持续发展，基于机器学习的疾病预测模型将在精准医疗和公共卫生领域发挥越来越重要的作用。</w:t>
      </w:r>
    </w:p>
    <w:p w14:paraId="3871553F">
      <w:pPr>
        <w:spacing w:line="480" w:lineRule="exact"/>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未来研究应着重于提升模型的临床适用性和可解释性，推动人工智能技术与传统医疗实践的深度融合，最终为实现糖尿病的有效防控和健康中国战略目标提供技术支撑。</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方正小标宋简体">
    <w:altName w:val="方正舒体"/>
    <w:panose1 w:val="00000000000000000000"/>
    <w:charset w:val="86"/>
    <w:family w:val="auto"/>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方正小标宋_GBK">
    <w:altName w:val="微软雅黑"/>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2454DB">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73AA4B">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5873AA4B">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607746"/>
    <w:multiLevelType w:val="singleLevel"/>
    <w:tmpl w:val="A6607746"/>
    <w:lvl w:ilvl="0" w:tentative="0">
      <w:start w:val="1"/>
      <w:numFmt w:val="chineseCounting"/>
      <w:suff w:val="nothing"/>
      <w:lvlText w:val="（%1）"/>
      <w:lvlJc w:val="left"/>
      <w:rPr>
        <w:rFonts w:hint="eastAsia"/>
      </w:rPr>
    </w:lvl>
  </w:abstractNum>
  <w:abstractNum w:abstractNumId="1">
    <w:nsid w:val="E93355D7"/>
    <w:multiLevelType w:val="singleLevel"/>
    <w:tmpl w:val="E93355D7"/>
    <w:lvl w:ilvl="0" w:tentative="0">
      <w:start w:val="2"/>
      <w:numFmt w:val="chineseCounting"/>
      <w:suff w:val="nothing"/>
      <w:lvlText w:val="（%1）"/>
      <w:lvlJc w:val="left"/>
      <w:rPr>
        <w:rFonts w:hint="eastAsia"/>
      </w:rPr>
    </w:lvl>
  </w:abstractNum>
  <w:abstractNum w:abstractNumId="2">
    <w:nsid w:val="377E209D"/>
    <w:multiLevelType w:val="singleLevel"/>
    <w:tmpl w:val="377E209D"/>
    <w:lvl w:ilvl="0" w:tentative="0">
      <w:start w:val="1"/>
      <w:numFmt w:val="decimal"/>
      <w:suff w:val="space"/>
      <w:lvlText w:val="%1."/>
      <w:lvlJc w:val="left"/>
    </w:lvl>
  </w:abstractNum>
  <w:abstractNum w:abstractNumId="3">
    <w:nsid w:val="391D732D"/>
    <w:multiLevelType w:val="singleLevel"/>
    <w:tmpl w:val="391D732D"/>
    <w:lvl w:ilvl="0" w:tentative="0">
      <w:start w:val="3"/>
      <w:numFmt w:val="chineseCounting"/>
      <w:suff w:val="nothing"/>
      <w:lvlText w:val="%1、"/>
      <w:lvlJc w:val="left"/>
      <w:rPr>
        <w:rFonts w:hint="eastAsia"/>
      </w:rPr>
    </w:lvl>
  </w:abstractNum>
  <w:abstractNum w:abstractNumId="4">
    <w:nsid w:val="5EE72A9B"/>
    <w:multiLevelType w:val="singleLevel"/>
    <w:tmpl w:val="5EE72A9B"/>
    <w:lvl w:ilvl="0" w:tentative="0">
      <w:start w:val="1"/>
      <w:numFmt w:val="decimal"/>
      <w:lvlText w:val="%1."/>
      <w:lvlJc w:val="left"/>
      <w:pPr>
        <w:tabs>
          <w:tab w:val="left" w:pos="312"/>
        </w:tabs>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1BA"/>
    <w:rsid w:val="0DE32E03"/>
    <w:rsid w:val="0E0B2921"/>
    <w:rsid w:val="1C293339"/>
    <w:rsid w:val="1E4363C8"/>
    <w:rsid w:val="1F3C7DAD"/>
    <w:rsid w:val="21C94D6E"/>
    <w:rsid w:val="26F63EF9"/>
    <w:rsid w:val="2E8323AB"/>
    <w:rsid w:val="310F670F"/>
    <w:rsid w:val="397A17A6"/>
    <w:rsid w:val="41F07711"/>
    <w:rsid w:val="435C6678"/>
    <w:rsid w:val="45F30D68"/>
    <w:rsid w:val="4CE9477C"/>
    <w:rsid w:val="4F6126ED"/>
    <w:rsid w:val="50CC248F"/>
    <w:rsid w:val="542660FC"/>
    <w:rsid w:val="5AEB6667"/>
    <w:rsid w:val="5D745C9C"/>
    <w:rsid w:val="5E6A6859"/>
    <w:rsid w:val="5F553F98"/>
    <w:rsid w:val="662B4BDF"/>
    <w:rsid w:val="70383246"/>
    <w:rsid w:val="715C6366"/>
    <w:rsid w:val="73235BC5"/>
    <w:rsid w:val="77AD0C6F"/>
    <w:rsid w:val="77DB0F7F"/>
    <w:rsid w:val="7C535147"/>
    <w:rsid w:val="7E216187"/>
    <w:rsid w:val="7E2C6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4">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5">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customStyle="1" w:styleId="2">
    <w:name w:val="公文正文"/>
    <w:basedOn w:val="1"/>
    <w:autoRedefine/>
    <w:qFormat/>
    <w:uiPriority w:val="0"/>
    <w:pPr>
      <w:spacing w:line="240" w:lineRule="atLeast"/>
      <w:ind w:firstLine="480" w:firstLineChars="200"/>
    </w:pPr>
    <w:rPr>
      <w:rFonts w:ascii="Cambria Math" w:hAnsi="Cambria Math" w:eastAsia="仿宋_GB2312" w:cs="黑体"/>
      <w:i/>
      <w:color w:val="191A24"/>
      <w:kern w:val="0"/>
      <w:sz w:val="24"/>
      <w:szCs w:val="24"/>
    </w:rPr>
  </w:style>
  <w:style w:type="paragraph" w:styleId="6">
    <w:name w:val="caption"/>
    <w:basedOn w:val="1"/>
    <w:next w:val="1"/>
    <w:unhideWhenUsed/>
    <w:qFormat/>
    <w:uiPriority w:val="0"/>
    <w:rPr>
      <w:rFonts w:ascii="Arial" w:hAnsi="Arial" w:eastAsia="黑体"/>
      <w:sz w:val="20"/>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rPr>
      <w:sz w:val="24"/>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Emphasis"/>
    <w:basedOn w:val="14"/>
    <w:qFormat/>
    <w:uiPriority w:val="0"/>
    <w:rPr>
      <w:i/>
    </w:rPr>
  </w:style>
  <w:style w:type="character" w:styleId="17">
    <w:name w:val="Hyperlink"/>
    <w:basedOn w:val="1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png"/><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5530</Words>
  <Characters>7718</Characters>
  <Lines>0</Lines>
  <Paragraphs>0</Paragraphs>
  <TotalTime>15</TotalTime>
  <ScaleCrop>false</ScaleCrop>
  <LinksUpToDate>false</LinksUpToDate>
  <CharactersWithSpaces>8184</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2025-10-12T08:47:00Z</dcterms:created>
  <dc:creator>86156</dc:creator>
  <cp:lastModifiedBy>45°</cp:lastModifiedBy>
  <dcterms:modified xsi:type="dcterms:W3CDTF">2025-10-25T08:13:47Z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KSOTemplateDocerSaveRecord">
    <vt:lpwstr>eyJoZGlkIjoiMzE1N2MzOTRhNjc0OTc4ZjY0NWNkNTA3ZDIyOTE3OGMiLCJ1c2VySWQiOiIxNDYyODA2Mzg5In0=</vt:lpwstr>
  </property>
  <property fmtid="{D5CDD505-2E9C-101B-9397-08002B2CF9AE}" pid="4" name="ICV">
    <vt:lpwstr>8912E69F034944639BDCF39D0A93F48B_12</vt:lpwstr>
  </property>
</Properties>
</file>