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A2DC" w14:textId="77777777" w:rsidR="00D52576" w:rsidRDefault="00D52576"/>
    <w:p w14:paraId="1AA4A8A5" w14:textId="77777777" w:rsidR="00D52576" w:rsidRDefault="00D52576"/>
    <w:p w14:paraId="0B2CA477" w14:textId="77777777" w:rsidR="00D52576" w:rsidRDefault="00000000">
      <w:pPr>
        <w:rPr>
          <w:b/>
          <w:bCs/>
        </w:rPr>
      </w:pPr>
      <w:r>
        <w:rPr>
          <w:b/>
          <w:bCs/>
        </w:rPr>
        <w:t>专题六：机动飞行条件下声爆传播与抑制</w:t>
      </w:r>
      <w:r>
        <w:rPr>
          <w:rFonts w:hint="eastAsia"/>
          <w:b/>
          <w:bCs/>
        </w:rPr>
        <w:t>（林毅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董丽嘉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何润楷）</w:t>
      </w:r>
      <w:r>
        <w:rPr>
          <w:b/>
          <w:bCs/>
        </w:rPr>
        <w:br/>
      </w:r>
      <w:r>
        <w:t>针对超声速客机转弯、爬升、下降、加减速等机动飞行状态，研究非定常机动对近场激波</w:t>
      </w:r>
      <w:r>
        <w:t>/</w:t>
      </w:r>
      <w:r>
        <w:t>膨胀波系和远场声爆传播的影响机理，揭示机动引起的声爆聚焦、焦散和地面暴露区动态变化规律，发展</w:t>
      </w:r>
      <w:r>
        <w:rPr>
          <w:color w:val="0000FF"/>
        </w:rPr>
        <w:t>机动飞行条件下低声爆轨迹优化与实时抑制</w:t>
      </w:r>
      <w:r>
        <w:t>方法，为</w:t>
      </w:r>
      <w:r>
        <w:rPr>
          <w:color w:val="0000FF"/>
        </w:rPr>
        <w:t>全飞行剖面</w:t>
      </w:r>
      <w:r>
        <w:t>声爆控制提供理论与技术支撑。</w:t>
      </w:r>
    </w:p>
    <w:p w14:paraId="0A25A90D" w14:textId="77777777" w:rsidR="00D52576" w:rsidRDefault="0000000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关键科学问题</w:t>
      </w:r>
      <w:r>
        <w:rPr>
          <w:rFonts w:hint="eastAsia"/>
          <w:b/>
          <w:bCs/>
          <w:color w:val="0000FF"/>
        </w:rPr>
        <w:t>1</w:t>
      </w:r>
      <w:r>
        <w:rPr>
          <w:rFonts w:hint="eastAsia"/>
          <w:b/>
          <w:bCs/>
          <w:color w:val="0000FF"/>
        </w:rPr>
        <w:t>：三维聚焦声爆的</w:t>
      </w:r>
      <w:r>
        <w:rPr>
          <w:rFonts w:hint="eastAsia"/>
          <w:b/>
          <w:bCs/>
          <w:color w:val="0000FF"/>
        </w:rPr>
        <w:t>XXX</w:t>
      </w:r>
      <w:r>
        <w:rPr>
          <w:rFonts w:hint="eastAsia"/>
          <w:b/>
          <w:bCs/>
          <w:color w:val="0000FF"/>
        </w:rPr>
        <w:t>生成机理</w:t>
      </w:r>
    </w:p>
    <w:p w14:paraId="413D3984" w14:textId="77777777" w:rsidR="00D52576" w:rsidRDefault="0000000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关键科学问题</w:t>
      </w:r>
      <w:r>
        <w:rPr>
          <w:rFonts w:hint="eastAsia"/>
          <w:b/>
          <w:bCs/>
          <w:color w:val="0000FF"/>
        </w:rPr>
        <w:t>2</w:t>
      </w:r>
      <w:r>
        <w:rPr>
          <w:rFonts w:hint="eastAsia"/>
          <w:b/>
          <w:bCs/>
          <w:color w:val="0000FF"/>
        </w:rPr>
        <w:t>：</w:t>
      </w:r>
      <w:r>
        <w:rPr>
          <w:color w:val="0000FF"/>
        </w:rPr>
        <w:t>非定常机动对近场波系和远场声爆的影响</w:t>
      </w:r>
      <w:r>
        <w:rPr>
          <w:rFonts w:hint="eastAsia"/>
          <w:color w:val="0000FF"/>
        </w:rPr>
        <w:t>机制</w:t>
      </w:r>
    </w:p>
    <w:p w14:paraId="4F4BCC87" w14:textId="77777777" w:rsidR="00D52576" w:rsidRDefault="0000000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研究内容</w:t>
      </w:r>
    </w:p>
    <w:p w14:paraId="7E1CA246" w14:textId="77777777" w:rsidR="00D52576" w:rsidRDefault="00000000">
      <w:pPr>
        <w:numPr>
          <w:ilvl w:val="0"/>
          <w:numId w:val="3"/>
        </w:numPr>
        <w:rPr>
          <w:color w:val="0000FF"/>
        </w:rPr>
      </w:pPr>
      <w:r>
        <w:rPr>
          <w:rFonts w:hint="eastAsia"/>
          <w:color w:val="0000FF"/>
        </w:rPr>
        <w:t>（机动飞行条件下近场声爆信号生成及）焦散计算方法研究</w:t>
      </w:r>
    </w:p>
    <w:p w14:paraId="592B6476" w14:textId="77777777" w:rsidR="00D52576" w:rsidRDefault="00000000">
      <w:pPr>
        <w:numPr>
          <w:ilvl w:val="0"/>
          <w:numId w:val="3"/>
        </w:numPr>
        <w:rPr>
          <w:color w:val="0000FF"/>
        </w:rPr>
      </w:pPr>
      <w:r>
        <w:rPr>
          <w:rFonts w:hint="eastAsia"/>
          <w:color w:val="0000FF"/>
        </w:rPr>
        <w:t>广义</w:t>
      </w:r>
      <w:r>
        <w:rPr>
          <w:rFonts w:hint="eastAsia"/>
          <w:color w:val="0000FF"/>
        </w:rPr>
        <w:t>Tricomi</w:t>
      </w:r>
      <w:r>
        <w:rPr>
          <w:rFonts w:hint="eastAsia"/>
          <w:color w:val="0000FF"/>
        </w:rPr>
        <w:t>方程及数值求解方法</w:t>
      </w:r>
    </w:p>
    <w:p w14:paraId="70A8709E" w14:textId="77777777" w:rsidR="00D52576" w:rsidRDefault="00000000">
      <w:pPr>
        <w:numPr>
          <w:ilvl w:val="0"/>
          <w:numId w:val="3"/>
        </w:numPr>
        <w:rPr>
          <w:color w:val="0000FF"/>
        </w:rPr>
      </w:pPr>
      <w:r>
        <w:rPr>
          <w:color w:val="0000FF"/>
        </w:rPr>
        <w:t>声爆聚焦、焦散和地面暴露区动态变化规律</w:t>
      </w:r>
      <w:r>
        <w:rPr>
          <w:rFonts w:hint="eastAsia"/>
          <w:color w:val="0000FF"/>
        </w:rPr>
        <w:t>研究</w:t>
      </w:r>
    </w:p>
    <w:p w14:paraId="52E8CF0A" w14:textId="77777777" w:rsidR="00D52576" w:rsidRDefault="00000000">
      <w:pPr>
        <w:numPr>
          <w:ilvl w:val="0"/>
          <w:numId w:val="3"/>
        </w:numPr>
        <w:rPr>
          <w:color w:val="0000FF"/>
        </w:rPr>
      </w:pPr>
      <w:r>
        <w:rPr>
          <w:color w:val="0000FF"/>
        </w:rPr>
        <w:t>机动飞行条件下低声爆轨迹优化与实时抑制</w:t>
      </w:r>
      <w:r>
        <w:rPr>
          <w:rFonts w:hint="eastAsia"/>
          <w:color w:val="0000FF"/>
        </w:rPr>
        <w:t>方法</w:t>
      </w:r>
    </w:p>
    <w:p w14:paraId="4CBF4170" w14:textId="77777777" w:rsidR="00D52576" w:rsidRDefault="00D52576">
      <w:pPr>
        <w:rPr>
          <w:b/>
          <w:bCs/>
          <w:color w:val="0000FF"/>
        </w:rPr>
      </w:pPr>
    </w:p>
    <w:p w14:paraId="08679D30" w14:textId="77777777" w:rsidR="00D52576" w:rsidRDefault="00D52576">
      <w:pPr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</w:rPr>
      </w:pPr>
    </w:p>
    <w:p w14:paraId="3145AC2D" w14:textId="6A319912" w:rsidR="00D52576" w:rsidRDefault="00000000">
      <w:pPr>
        <w:spacing w:line="360" w:lineRule="auto"/>
        <w:jc w:val="center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超声速飞机xxx方向基金指南论证报告</w:t>
      </w:r>
    </w:p>
    <w:p w14:paraId="6CE0654B" w14:textId="77777777" w:rsidR="00D52576" w:rsidRDefault="00000000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研究目标</w:t>
      </w:r>
    </w:p>
    <w:p w14:paraId="0BCF2080" w14:textId="77777777" w:rsidR="00D52576" w:rsidRDefault="00000000">
      <w:pPr>
        <w:spacing w:line="360" w:lineRule="auto"/>
        <w:ind w:firstLine="48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 xml:space="preserve">从实现超声速民机成功研制和运营的角度，确定本方向研究工作的研究目标，作为本方向拟研究内容的关键立意。   </w:t>
      </w:r>
    </w:p>
    <w:p w14:paraId="7746BEBD" w14:textId="77777777" w:rsidR="00D52576" w:rsidRDefault="00D52576">
      <w:pPr>
        <w:spacing w:line="360" w:lineRule="auto"/>
        <w:ind w:firstLine="480"/>
        <w:rPr>
          <w:rFonts w:ascii="仿宋_GB2312" w:eastAsia="仿宋_GB2312" w:hAnsi="仿宋_GB2312" w:cs="仿宋_GB2312"/>
          <w:sz w:val="24"/>
        </w:rPr>
      </w:pPr>
    </w:p>
    <w:p w14:paraId="299F1FA0" w14:textId="77777777" w:rsidR="00D52576" w:rsidRDefault="00000000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研究背景和意义</w:t>
      </w:r>
    </w:p>
    <w:p w14:paraId="6BF37CB4" w14:textId="77777777" w:rsidR="00D52576" w:rsidRDefault="00000000">
      <w:pPr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说明本方向的研究背景。包括当前面临的主要难题，国内外已经开展的工作情况。</w:t>
      </w:r>
    </w:p>
    <w:p w14:paraId="0936E262" w14:textId="77777777" w:rsidR="00D52576" w:rsidRDefault="00000000">
      <w:pPr>
        <w:spacing w:line="360" w:lineRule="auto"/>
        <w:ind w:firstLine="48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说明本方向研究的研究意义，突出目标导向、问题导向、应用导向。</w:t>
      </w:r>
    </w:p>
    <w:p w14:paraId="12CDE60A" w14:textId="77777777" w:rsidR="00D52576" w:rsidRDefault="00D52576">
      <w:pPr>
        <w:spacing w:line="360" w:lineRule="auto"/>
        <w:ind w:firstLine="480"/>
        <w:rPr>
          <w:rFonts w:ascii="仿宋_GB2312" w:eastAsia="仿宋_GB2312" w:hAnsi="仿宋_GB2312" w:cs="仿宋_GB2312"/>
          <w:sz w:val="24"/>
        </w:rPr>
      </w:pPr>
    </w:p>
    <w:p w14:paraId="5F0AF4FC" w14:textId="77777777" w:rsidR="00D52576" w:rsidRDefault="00000000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可行性分析</w:t>
      </w:r>
    </w:p>
    <w:p w14:paraId="601C54D3" w14:textId="77777777" w:rsidR="00D52576" w:rsidRDefault="00000000">
      <w:pPr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/>
          <w:sz w:val="24"/>
        </w:rPr>
        <w:t>从研究基础、技术途径、条件保障三方面论证本方向研究目标的可达性，说明国内外已有的理论积累与前期成果、拟采取技术路线的成熟度、以及试验设施、计算资源、数据和团队等支撑条件。同时识别主要风险并提出应对预案。</w:t>
      </w:r>
    </w:p>
    <w:p w14:paraId="249D8E4E" w14:textId="77777777" w:rsidR="00D52576" w:rsidRDefault="00D52576">
      <w:pPr>
        <w:spacing w:line="360" w:lineRule="auto"/>
        <w:rPr>
          <w:rFonts w:ascii="仿宋_GB2312" w:eastAsia="仿宋_GB2312" w:hAnsi="仿宋_GB2312" w:cs="仿宋_GB2312"/>
          <w:sz w:val="24"/>
        </w:rPr>
      </w:pPr>
    </w:p>
    <w:p w14:paraId="49963BDD" w14:textId="77777777" w:rsidR="00D52576" w:rsidRDefault="00000000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关键科学问题</w:t>
      </w:r>
    </w:p>
    <w:p w14:paraId="33580F66" w14:textId="77777777" w:rsidR="00D52576" w:rsidRDefault="00000000">
      <w:pPr>
        <w:spacing w:line="360" w:lineRule="auto"/>
        <w:ind w:firstLine="48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针对本方向的研究目标，凝练关键科学问题，作为拟研究内容的源头。</w:t>
      </w:r>
    </w:p>
    <w:p w14:paraId="0D5FD140" w14:textId="77777777" w:rsidR="00D52576" w:rsidRDefault="00D52576">
      <w:pPr>
        <w:spacing w:line="360" w:lineRule="auto"/>
        <w:ind w:firstLine="480"/>
        <w:rPr>
          <w:rFonts w:ascii="仿宋_GB2312" w:eastAsia="仿宋_GB2312" w:hAnsi="仿宋_GB2312" w:cs="仿宋_GB2312"/>
          <w:sz w:val="24"/>
        </w:rPr>
      </w:pPr>
    </w:p>
    <w:p w14:paraId="66333AD5" w14:textId="77777777" w:rsidR="00D52576" w:rsidRDefault="00000000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lastRenderedPageBreak/>
        <w:t>研究内容</w:t>
      </w:r>
    </w:p>
    <w:p w14:paraId="7A2E95A2" w14:textId="77777777" w:rsidR="00D52576" w:rsidRDefault="00000000">
      <w:pPr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列出本方向拟形成的指南，并说明指南与本方向研究目标、关键科学问题的关系，以及本方向各指南之间的关系。</w:t>
      </w:r>
    </w:p>
    <w:p w14:paraId="51AAB9A7" w14:textId="77777777" w:rsidR="00D52576" w:rsidRDefault="00D52576">
      <w:pPr>
        <w:spacing w:line="360" w:lineRule="auto"/>
        <w:rPr>
          <w:rFonts w:ascii="仿宋_GB2312" w:eastAsia="仿宋_GB2312" w:hAnsi="仿宋_GB2312" w:cs="仿宋_GB2312"/>
          <w:sz w:val="24"/>
        </w:rPr>
      </w:pPr>
    </w:p>
    <w:p w14:paraId="498359B9" w14:textId="77777777" w:rsidR="00D52576" w:rsidRDefault="00000000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指标及交付物</w:t>
      </w:r>
    </w:p>
    <w:p w14:paraId="51225D1C" w14:textId="77777777" w:rsidR="00D52576" w:rsidRDefault="00000000">
      <w:pPr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/>
          <w:sz w:val="24"/>
        </w:rPr>
        <w:t>按指南分别提出可量化、可检验的考核指标，明确精度要求、适用边界、可信度水平及验证途径。交付物按理论方法、软件工具、试验与验证数据、设计准则或规范建议等分类列出，并明确向型号研制传递的应用路径。</w:t>
      </w:r>
    </w:p>
    <w:p w14:paraId="437FC4A6" w14:textId="77777777" w:rsidR="00D52576" w:rsidRDefault="00D52576">
      <w:pPr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</w:rPr>
      </w:pPr>
    </w:p>
    <w:p w14:paraId="30576C47" w14:textId="77777777" w:rsidR="00D52576" w:rsidRDefault="00D52576">
      <w:pPr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</w:rPr>
      </w:pPr>
    </w:p>
    <w:p w14:paraId="15EC66BD" w14:textId="77777777" w:rsidR="00D52576" w:rsidRDefault="00D52576">
      <w:pPr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</w:rPr>
      </w:pPr>
    </w:p>
    <w:p w14:paraId="414E4DB1" w14:textId="77777777" w:rsidR="00D52576" w:rsidRDefault="00D52576">
      <w:pPr>
        <w:rPr>
          <w:b/>
          <w:bCs/>
        </w:rPr>
      </w:pPr>
    </w:p>
    <w:sectPr w:rsidR="00D525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E2741"/>
    <w:multiLevelType w:val="singleLevel"/>
    <w:tmpl w:val="812E27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72513BD"/>
    <w:multiLevelType w:val="singleLevel"/>
    <w:tmpl w:val="972513B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E386C994"/>
    <w:multiLevelType w:val="singleLevel"/>
    <w:tmpl w:val="E386C9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FBB480B6"/>
    <w:multiLevelType w:val="singleLevel"/>
    <w:tmpl w:val="FBB480B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18703586">
    <w:abstractNumId w:val="3"/>
  </w:num>
  <w:num w:numId="2" w16cid:durableId="2010911453">
    <w:abstractNumId w:val="0"/>
  </w:num>
  <w:num w:numId="3" w16cid:durableId="2110350294">
    <w:abstractNumId w:val="2"/>
  </w:num>
  <w:num w:numId="4" w16cid:durableId="1815373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BAA"/>
    <w:rsid w:val="00000865"/>
    <w:rsid w:val="00275959"/>
    <w:rsid w:val="0037616B"/>
    <w:rsid w:val="00514678"/>
    <w:rsid w:val="008B276C"/>
    <w:rsid w:val="00D4436A"/>
    <w:rsid w:val="00D52576"/>
    <w:rsid w:val="00DD5BAA"/>
    <w:rsid w:val="00E823EA"/>
    <w:rsid w:val="01F66A40"/>
    <w:rsid w:val="04071455"/>
    <w:rsid w:val="0D044784"/>
    <w:rsid w:val="0D201175"/>
    <w:rsid w:val="0E4544A4"/>
    <w:rsid w:val="11A93B4C"/>
    <w:rsid w:val="11B01067"/>
    <w:rsid w:val="11BE5D26"/>
    <w:rsid w:val="137D703E"/>
    <w:rsid w:val="17463BEB"/>
    <w:rsid w:val="18E35B95"/>
    <w:rsid w:val="1C5172BA"/>
    <w:rsid w:val="1E765BCC"/>
    <w:rsid w:val="1E806629"/>
    <w:rsid w:val="22EB3FC4"/>
    <w:rsid w:val="2835183D"/>
    <w:rsid w:val="29194841"/>
    <w:rsid w:val="297452A0"/>
    <w:rsid w:val="2B3A7DEF"/>
    <w:rsid w:val="2D6F75A0"/>
    <w:rsid w:val="2FA21EAE"/>
    <w:rsid w:val="2FDB57E5"/>
    <w:rsid w:val="31B6197F"/>
    <w:rsid w:val="333F7A14"/>
    <w:rsid w:val="358E6C52"/>
    <w:rsid w:val="35EE4665"/>
    <w:rsid w:val="38E16E25"/>
    <w:rsid w:val="3ED03C16"/>
    <w:rsid w:val="48D842C5"/>
    <w:rsid w:val="4D5A571F"/>
    <w:rsid w:val="4E6D76D3"/>
    <w:rsid w:val="4EDD2163"/>
    <w:rsid w:val="4F73098E"/>
    <w:rsid w:val="50740B35"/>
    <w:rsid w:val="513F7105"/>
    <w:rsid w:val="53E25D16"/>
    <w:rsid w:val="545C7FCE"/>
    <w:rsid w:val="565F0749"/>
    <w:rsid w:val="584F162A"/>
    <w:rsid w:val="595D477F"/>
    <w:rsid w:val="5BAB7F25"/>
    <w:rsid w:val="5D9407D9"/>
    <w:rsid w:val="5ED52822"/>
    <w:rsid w:val="5FCD1D80"/>
    <w:rsid w:val="5FFC6958"/>
    <w:rsid w:val="61905107"/>
    <w:rsid w:val="61D96DC2"/>
    <w:rsid w:val="625B180A"/>
    <w:rsid w:val="67571179"/>
    <w:rsid w:val="677B0314"/>
    <w:rsid w:val="67FB3202"/>
    <w:rsid w:val="6A3A2708"/>
    <w:rsid w:val="6C841A18"/>
    <w:rsid w:val="6CD81D64"/>
    <w:rsid w:val="71957834"/>
    <w:rsid w:val="722E2435"/>
    <w:rsid w:val="73AD7AA7"/>
    <w:rsid w:val="75F53987"/>
    <w:rsid w:val="799C17D3"/>
    <w:rsid w:val="7A0B19CB"/>
    <w:rsid w:val="7A7430CC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A6133"/>
  <w15:docId w15:val="{E46EFFF1-A6FB-400E-9218-F12BF363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390</Words>
  <Characters>391</Characters>
  <Application>Microsoft Office Word</Application>
  <DocSecurity>0</DocSecurity>
  <Lines>23</Lines>
  <Paragraphs>23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Hntliu</dc:creator>
  <cp:lastModifiedBy>AMDOA506</cp:lastModifiedBy>
  <cp:revision>2</cp:revision>
  <dcterms:created xsi:type="dcterms:W3CDTF">2026-09-04T09:30:00Z</dcterms:created>
  <dcterms:modified xsi:type="dcterms:W3CDTF">2026-09-04T09:30:00Z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eyJoZGlkIjoiYTMwZmE1NWEzOTFhMWRhMTk2MTNmZmEzMjczODI5MDkiLCJ1c2VySWQiOiIxNDkzNDc0NjA4In0=</vt:lpwstr>
  </property>
  <property fmtid="{D5CDD505-2E9C-101B-9397-08002B2CF9AE}" pid="4" name="ICV">
    <vt:lpwstr>DA41FEFC1DC749B98DA4E1B68032E191_13</vt:lpwstr>
  </property>
</Properties>
</file>