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Núcleo integral</w:t>
      </w:r>
    </w:p>
    <w:p>
      <w:r>
        <w:t>Versão2 —12/10/2026. Referência visual: Adilson Oliveira /7dsolv. Cotas e circuitos são propostas desta entrega.</w:t>
      </w:r>
    </w:p>
    <w:p>
      <w:r>
        <w:drawing>
          <wp:inline xmlns:a="http://schemas.openxmlformats.org/drawingml/2006/main" xmlns:pic="http://schemas.openxmlformats.org/drawingml/2006/picture">
            <wp:extent cx="5212080" cy="4343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a_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Versão 2 — 12 de outubro de 2026. Referência visual: Núcleo de Campo Toroidal Quântico, Adilson Oliveira / 7dsolv. Esta entrega define um protótipo de bancada inspirado na imagem; cotas, circuitos e materiais são propostas novas de engenharia.</w:t>
      </w:r>
    </w:p>
    <w:p>
      <w:pPr>
        <w:pStyle w:val="Heading1"/>
      </w:pPr>
      <w:r>
        <w:t>1. O conjunto desenvolvido</w:t>
      </w:r>
    </w:p>
    <w:p>
      <w:r>
        <w:t>A versão integral representa os anéis superior e inferior, seus enrolamentos, carcaças, tirantes, coluna central transparente, receptor de energia, sensores, suporte de controle e um toroide auxiliar. A montagem tem peças identificadas e desmontáveis no visualizador. Os arquivos mecânicos incluem OBJ/MTL, fonte paramétrica OpenSCAD, STL das peças e desenhos cotados.</w:t>
      </w:r>
    </w:p>
    <w:p>
      <w:r>
        <w:t>Os cálculos resolvem duas fontes senoidais independentes, seus circuitos RLC e uma bobina receptora com carga resistiva. O campo vetorial tridimensional usa as cinquenta espiras distribuídas de cada bobina principal. O toroide auxiliar tem quarenta e oito voltas poloidais, com cálculo do campo de espiras discretas. O controle PI possui um ensaio RL em corrente contínua separado.</w:t>
      </w:r>
    </w:p>
    <w:p>
      <w:r>
        <w:t>O desenho integral permite investigar cada função identificada no pôster. Funções de vácuo quântico, informação quântica, propulsão e curvatura não têm dinâmica/material/observável suficientes nos arquivos enviados. Elas ficam registradas como hipóteses que ainda precisam de definição, sem saídas numéricas inventadas. Nenhum ensaio físico foi realizado nesta entrega.</w:t>
      </w:r>
    </w:p>
    <w:p>
      <w:pPr>
        <w:pStyle w:val="Heading1"/>
      </w:pPr>
      <w:r>
        <w:t>2. Medidas e materiais de referência</w:t>
      </w:r>
    </w:p>
    <w:p>
      <w:r>
        <w:t>Unidades mecânicas: milímetros. A origem z=0 é a face inferior da base, não o ponto médio das bobinas. O plano central do campo/receptor é z=125.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Conjunto</w:t>
            </w:r>
          </w:p>
        </w:tc>
        <w:tc>
          <w:tcPr>
            <w:tcW w:type="dxa" w:w="4320"/>
          </w:tcPr>
          <w:p>
            <w:r>
              <w:t>Medidas e escolha de projeto</w:t>
            </w:r>
          </w:p>
        </w:tc>
      </w:tr>
      <w:tr>
        <w:tc>
          <w:tcPr>
            <w:tcW w:type="dxa" w:w="4320"/>
          </w:tcPr>
          <w:p>
            <w:r>
              <w:t>Base isolante</w:t>
            </w:r>
          </w:p>
        </w:tc>
        <w:tc>
          <w:tcPr>
            <w:tcW w:type="dxa" w:w="4320"/>
          </w:tcPr>
          <w:p>
            <w:r>
              <w:t>360 × 360 × 12; posição dos fixadores nos desenhos cotados</w:t>
            </w:r>
          </w:p>
        </w:tc>
      </w:tr>
      <w:tr>
        <w:tc>
          <w:tcPr>
            <w:tcW w:type="dxa" w:w="4320"/>
          </w:tcPr>
          <w:p>
            <w:r>
              <w:t>Anéis estruturais</w:t>
            </w:r>
          </w:p>
        </w:tc>
        <w:tc>
          <w:tcPr>
            <w:tcW w:type="dxa" w:w="4320"/>
          </w:tcPr>
          <w:p>
            <w:r>
              <w:t>Ø externo 340; Ø interno 248; tampas com espessura 4; centros de conjunto z=65/185</w:t>
            </w:r>
          </w:p>
        </w:tc>
      </w:tr>
      <w:tr>
        <w:tc>
          <w:tcPr>
            <w:tcW w:type="dxa" w:w="4320"/>
          </w:tcPr>
          <w:p>
            <w:r>
              <w:t>Bobinas axiais</w:t>
            </w:r>
          </w:p>
        </w:tc>
        <w:tc>
          <w:tcPr>
            <w:tcW w:type="dxa" w:w="4320"/>
          </w:tcPr>
          <w:p>
            <w:r>
              <w:t>Raio médio 100; 50 espiras cada; centros z=65 e185; separação120</w:t>
            </w:r>
          </w:p>
        </w:tc>
      </w:tr>
      <w:tr>
        <w:tc>
          <w:tcPr>
            <w:tcW w:type="dxa" w:w="4320"/>
          </w:tcPr>
          <w:p>
            <w:r>
              <w:t>Carretéis principais</w:t>
            </w:r>
          </w:p>
        </w:tc>
        <w:tc>
          <w:tcPr>
            <w:tcW w:type="dxa" w:w="4320"/>
          </w:tcPr>
          <w:p>
            <w:r>
              <w:t>Ø220; altura15,4; vão axial11,4 para pacote11; manga Ø190,5/194,5</w:t>
            </w:r>
          </w:p>
        </w:tc>
      </w:tr>
      <w:tr>
        <w:tc>
          <w:tcPr>
            <w:tcW w:type="dxa" w:w="4320"/>
          </w:tcPr>
          <w:p>
            <w:r>
              <w:t>Fio principal</w:t>
            </w:r>
          </w:p>
        </w:tc>
        <w:tc>
          <w:tcPr>
            <w:tcW w:type="dxa" w:w="4320"/>
          </w:tcPr>
          <w:p>
            <w:r>
              <w:t>Cobre Ø1,0; diâmetro externo isolado ≤1,1; 5 camadas radiais ×10 voltas axiais</w:t>
            </w:r>
          </w:p>
        </w:tc>
      </w:tr>
      <w:tr>
        <w:tc>
          <w:tcPr>
            <w:tcW w:type="dxa" w:w="4320"/>
          </w:tcPr>
          <w:p>
            <w:r>
              <w:t>Pacote principal</w:t>
            </w:r>
          </w:p>
        </w:tc>
        <w:tc>
          <w:tcPr>
            <w:tcW w:type="dxa" w:w="4320"/>
          </w:tcPr>
          <w:p>
            <w:r>
              <w:t>Espessura radial5,5; axial11; raios de camada97,8/98,9/100/101,1/102,2</w:t>
            </w:r>
          </w:p>
        </w:tc>
      </w:tr>
      <w:tr>
        <w:tc>
          <w:tcPr>
            <w:tcW w:type="dxa" w:w="4320"/>
          </w:tcPr>
          <w:p>
            <w:r>
              <w:t>Coluna aberta de instrumentação</w:t>
            </w:r>
          </w:p>
        </w:tc>
        <w:tc>
          <w:tcPr>
            <w:tcW w:type="dxa" w:w="4320"/>
          </w:tcPr>
          <w:p>
            <w:r>
              <w:t>Tubo Ø54/50; comprimento198; de z22 a220; não é vaso de pressão</w:t>
            </w:r>
          </w:p>
        </w:tc>
      </w:tr>
      <w:tr>
        <w:tc>
          <w:tcPr>
            <w:tcW w:type="dxa" w:w="4320"/>
          </w:tcPr>
          <w:p>
            <w:r>
              <w:t>Receptor</w:t>
            </w:r>
          </w:p>
        </w:tc>
        <w:tc>
          <w:tcPr>
            <w:tcW w:type="dxa" w:w="4320"/>
          </w:tcPr>
          <w:p>
            <w:r>
              <w:t>Raio médio35; 20 espiras; centro z125; pacote4,4 radial ×5,5 axial; 4 camadas ×5 voltas</w:t>
            </w:r>
          </w:p>
        </w:tc>
      </w:tr>
      <w:tr>
        <w:tc>
          <w:tcPr>
            <w:tcW w:type="dxa" w:w="4320"/>
          </w:tcPr>
          <w:p>
            <w:r>
              <w:t>Toroide auxiliar</w:t>
            </w:r>
          </w:p>
        </w:tc>
        <w:tc>
          <w:tcPr>
            <w:tcW w:type="dxa" w:w="4320"/>
          </w:tcPr>
          <w:p>
            <w:r>
              <w:t>Raio maior135; raio menor do caminho do fio8; 48 voltas poloidais; plano z125</w:t>
            </w:r>
          </w:p>
        </w:tc>
      </w:tr>
      <w:tr>
        <w:tc>
          <w:tcPr>
            <w:tcW w:type="dxa" w:w="4320"/>
          </w:tcPr>
          <w:p>
            <w:r>
              <w:t>Forma do toroide</w:t>
            </w:r>
          </w:p>
        </w:tc>
        <w:tc>
          <w:tcPr>
            <w:tcW w:type="dxa" w:w="4320"/>
          </w:tcPr>
          <w:p>
            <w:r>
              <w:t>Raio menor6,5 + envoltório isolante0,95, até7,45; fio isolado1,1 com centro em8</w:t>
            </w:r>
          </w:p>
        </w:tc>
      </w:tr>
      <w:tr>
        <w:tc>
          <w:tcPr>
            <w:tcW w:type="dxa" w:w="4320"/>
          </w:tcPr>
          <w:p>
            <w:r>
              <w:t>Fixação externa</w:t>
            </w:r>
          </w:p>
        </w:tc>
        <w:tc>
          <w:tcPr>
            <w:tcW w:type="dxa" w:w="4320"/>
          </w:tcPr>
          <w:p>
            <w:r>
              <w:t>Quatro eixos em raio155; fixadores M5 e espaçadores isolantes; comprimentos no CAD revisado</w:t>
            </w:r>
          </w:p>
        </w:tc>
      </w:tr>
      <w:tr>
        <w:tc>
          <w:tcPr>
            <w:tcW w:type="dxa" w:w="4320"/>
          </w:tcPr>
          <w:p>
            <w:r>
              <w:t>Componentes instrumentais</w:t>
            </w:r>
          </w:p>
        </w:tc>
        <w:tc>
          <w:tcPr>
            <w:tcW w:type="dxa" w:w="4320"/>
          </w:tcPr>
          <w:p>
            <w:r>
              <w:t>Sondas térmicas, guia Hall e placa/caixa representativas; selecionar componentes comprados compatíveis</w:t>
            </w:r>
          </w:p>
        </w:tc>
      </w:tr>
    </w:tbl>
    <w:p>
      <w:r>
        <w:t>A separação120 não é a condição de Helmholtz para raio100. O campo central não possui automaticamente a uniformidade de um par separado pelo próprio raio. Não alterar a distância para obter concordância artificial com uma fórmula de Helmholtz.</w:t>
      </w:r>
    </w:p>
    <w:p>
      <w:r>
        <w:t>Os aros são inteiros. Ø340 exige fabricação compatível: CNC/corte de polímero ou impressora com área útil suficiente. O carretel Ø220, com brim, pede pelo menos226 de área útil. Não cortar as malhas em pedaços sem projetar juntas e rever rigidez/tolerâncias. A coluna transparente opera em ar comum, aberta e sem carga diferencial de pressão.</w:t>
      </w:r>
    </w:p>
    <w:p>
      <w:pPr>
        <w:pStyle w:val="Heading1"/>
      </w:pPr>
      <w:r>
        <w:t>3. Todas as partes da imagem e seus testes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Rótulo na imagem</w:t>
            </w:r>
          </w:p>
        </w:tc>
        <w:tc>
          <w:tcPr>
            <w:tcW w:type="dxa" w:w="2880"/>
          </w:tcPr>
          <w:p>
            <w:r>
              <w:t>Implementação desta versão</w:t>
            </w:r>
          </w:p>
        </w:tc>
        <w:tc>
          <w:tcPr>
            <w:tcW w:type="dxa" w:w="2880"/>
          </w:tcPr>
          <w:p>
            <w:r>
              <w:t>O que podemos verificar</w:t>
            </w:r>
          </w:p>
        </w:tc>
      </w:tr>
      <w:tr>
        <w:tc>
          <w:tcPr>
            <w:tcW w:type="dxa" w:w="2880"/>
          </w:tcPr>
          <w:p>
            <w:r>
              <w:t>Anel de Confinamento</w:t>
            </w:r>
          </w:p>
        </w:tc>
        <w:tc>
          <w:tcPr>
            <w:tcW w:type="dxa" w:w="2880"/>
          </w:tcPr>
          <w:p>
            <w:r>
              <w:t>Carcaça/suporte superior e carretel</w:t>
            </w:r>
          </w:p>
        </w:tc>
        <w:tc>
          <w:tcPr>
            <w:tcW w:type="dxa" w:w="2880"/>
          </w:tcPr>
          <w:p>
            <w:r>
              <w:t>Dimensões, fixação e posição; confinamento quântico ainda indefinido</w:t>
            </w:r>
          </w:p>
        </w:tc>
      </w:tr>
      <w:tr>
        <w:tc>
          <w:tcPr>
            <w:tcW w:type="dxa" w:w="2880"/>
          </w:tcPr>
          <w:p>
            <w:r>
              <w:t>Campo Magnético Superior</w:t>
            </w:r>
          </w:p>
        </w:tc>
        <w:tc>
          <w:tcPr>
            <w:tcW w:type="dxa" w:w="2880"/>
          </w:tcPr>
          <w:p>
            <w:r>
              <w:t>Bobina principal e fonteAC superior</w:t>
            </w:r>
          </w:p>
        </w:tc>
        <w:tc>
          <w:tcPr>
            <w:tcW w:type="dxa" w:w="2880"/>
          </w:tcPr>
          <w:p>
            <w:r>
              <w:t>Campo, corrente, fase, R/L e dissipação</w:t>
            </w:r>
          </w:p>
        </w:tc>
      </w:tr>
      <w:tr>
        <w:tc>
          <w:tcPr>
            <w:tcW w:type="dxa" w:w="2880"/>
          </w:tcPr>
          <w:p>
            <w:r>
              <w:t>Câmara de Interferência</w:t>
            </w:r>
          </w:p>
        </w:tc>
        <w:tc>
          <w:tcPr>
            <w:tcW w:type="dxa" w:w="2880"/>
          </w:tcPr>
          <w:p>
            <w:r>
              <w:t>Região central acessível à sonda</w:t>
            </w:r>
          </w:p>
        </w:tc>
        <w:tc>
          <w:tcPr>
            <w:tcW w:type="dxa" w:w="2880"/>
          </w:tcPr>
          <w:p>
            <w:r>
              <w:t>Superposição e cancelamento de campos clássicos</w:t>
            </w:r>
          </w:p>
        </w:tc>
      </w:tr>
      <w:tr>
        <w:tc>
          <w:tcPr>
            <w:tcW w:type="dxa" w:w="2880"/>
          </w:tcPr>
          <w:p>
            <w:r>
              <w:t>Núcleo de Vácuo Estável</w:t>
            </w:r>
          </w:p>
        </w:tc>
        <w:tc>
          <w:tcPr>
            <w:tcW w:type="dxa" w:w="2880"/>
          </w:tcPr>
          <w:p>
            <w:r>
              <w:t>Coluna transparente aberta ao ar</w:t>
            </w:r>
          </w:p>
        </w:tc>
        <w:tc>
          <w:tcPr>
            <w:tcW w:type="dxa" w:w="2880"/>
          </w:tcPr>
          <w:p>
            <w:r>
              <w:t>Geometria e posição; não há preparação de vácuo quântico</w:t>
            </w:r>
          </w:p>
        </w:tc>
      </w:tr>
      <w:tr>
        <w:tc>
          <w:tcPr>
            <w:tcW w:type="dxa" w:w="2880"/>
          </w:tcPr>
          <w:p>
            <w:r>
              <w:t>Rede de Campo Quântico</w:t>
            </w:r>
          </w:p>
        </w:tc>
        <w:tc>
          <w:tcPr>
            <w:tcW w:type="dxa" w:w="2880"/>
          </w:tcPr>
          <w:p>
            <w:r>
              <w:t>Toroide auxiliar de núcleo de ar</w:t>
            </w:r>
          </w:p>
        </w:tc>
        <w:tc>
          <w:tcPr>
            <w:tcW w:type="dxa" w:w="2880"/>
          </w:tcPr>
          <w:p>
            <w:r>
              <w:t>Campo azimutal, fuga e resposta de espiras discretas; rede quântica indefinida</w:t>
            </w:r>
          </w:p>
        </w:tc>
      </w:tr>
      <w:tr>
        <w:tc>
          <w:tcPr>
            <w:tcW w:type="dxa" w:w="2880"/>
          </w:tcPr>
          <w:p>
            <w:r>
              <w:t>Matriz de Conversão</w:t>
            </w:r>
          </w:p>
        </w:tc>
        <w:tc>
          <w:tcPr>
            <w:tcW w:type="dxa" w:w="2880"/>
          </w:tcPr>
          <w:p>
            <w:r>
              <w:t>Bobina receptora e resistor de carga</w:t>
            </w:r>
          </w:p>
        </w:tc>
        <w:tc>
          <w:tcPr>
            <w:tcW w:type="dxa" w:w="2880"/>
          </w:tcPr>
          <w:p>
            <w:r>
              <w:t>Energia transferida por indução, originada nas fontes</w:t>
            </w:r>
          </w:p>
        </w:tc>
      </w:tr>
      <w:tr>
        <w:tc>
          <w:tcPr>
            <w:tcW w:type="dxa" w:w="2880"/>
          </w:tcPr>
          <w:p>
            <w:r>
              <w:t>Campo Magnético Inferior</w:t>
            </w:r>
          </w:p>
        </w:tc>
        <w:tc>
          <w:tcPr>
            <w:tcW w:type="dxa" w:w="2880"/>
          </w:tcPr>
          <w:p>
            <w:r>
              <w:t>Bobina principal e fonteAC inferior</w:t>
            </w:r>
          </w:p>
        </w:tc>
        <w:tc>
          <w:tcPr>
            <w:tcW w:type="dxa" w:w="2880"/>
          </w:tcPr>
          <w:p>
            <w:r>
              <w:t>Campo, corrente, fase, R/L e dissipação</w:t>
            </w:r>
          </w:p>
        </w:tc>
      </w:tr>
      <w:tr>
        <w:tc>
          <w:tcPr>
            <w:tcW w:type="dxa" w:w="2880"/>
          </w:tcPr>
          <w:p>
            <w:r>
              <w:t>Anel de Estabilização</w:t>
            </w:r>
          </w:p>
        </w:tc>
        <w:tc>
          <w:tcPr>
            <w:tcW w:type="dxa" w:w="2880"/>
          </w:tcPr>
          <w:p>
            <w:r>
              <w:t>Suporte inferior + ensaio PI separado</w:t>
            </w:r>
          </w:p>
        </w:tc>
        <w:tc>
          <w:tcPr>
            <w:tcW w:type="dxa" w:w="2880"/>
          </w:tcPr>
          <w:p>
            <w:r>
              <w:t>Estabilidade mecânica e controle DC; coerência quântica indefinida</w:t>
            </w:r>
          </w:p>
        </w:tc>
      </w:tr>
    </w:tbl>
    <w:p>
      <w:r>
        <w:t>O registro pesquisa/modulos.json relaciona onze módulos às peças e aos observáveis. O protocolo cobre os quadros1–5 e7–13 do pôster; não aparece um quadro6 na imagem fornecida. As figuras de aplicações e escala são tratadas como propostas visuais, sem atribuir ao protótipo funções que não foram medidas.</w:t>
      </w:r>
    </w:p>
    <w:p>
      <w:pPr>
        <w:pStyle w:val="Heading1"/>
      </w:pPr>
      <w:r>
        <w:t>4. Alimentação e conexões</w:t>
      </w:r>
    </w:p>
    <w:p>
      <w:r>
        <w:t>Cada bobina principal possui uma porta senoidal própria: fonte → resistor10 Ω → capacitor de filme10µF → bobina → retorno. As duas fontes precisam ser sincronizadas, ter fase controlável, saída adequada à carga e proteção. Ponto inicial: 2 V RMS por fonte a1.400 Hz; faixa de estudo100–5.000 Hz, saída até5 V RMS por porta, limite0,5 A RMS. Capacitância/resistência reais devem ser medidas.</w:t>
      </w:r>
    </w:p>
    <w:p>
      <w:r>
        <w:t>O receptor fica entre as bobinas e alimenta uma carga100 Ω, nominal0,25 W. A matriz de indutância acopla os três circuitos; por isso a corrente e sua fase são calculadas, não impostas como se fossem idênticas à fase da fonte.</w:t>
      </w:r>
    </w:p>
    <w:p>
      <w:r>
        <w:t>Comprar resistores10 Ω/10 W não indutivos e capacitores de filme10µF não polarizados, nominal≥100VDC. Conferir no fabricante a classificação AC, corrente RMS e temperatura. Um capacitor marcado100VDC não fica automaticamente qualificado para qualquer frequência AC. O modelo verifica limites teóricos, não aquecimento do componente ou estabilidade do amplificador.</w:t>
      </w:r>
    </w:p>
    <w:p>
      <w:r>
        <w:t>Um gerador comum com saída50 Ω não garante as amplitudes sob esta carga. Usar equipamento externo com amplitude real medida e largura de banda adequada; o desenho da placa no CAD é representativo, sem layout eletrônico validado. Se uma porta absorver potência, a fonte precisa suportar isso: preservar o sinal de potência em todas as análises. Consultar a topologia antes de conectar terras do osciloscópio; utilizar sondas adequadas ao isolamento da saída.</w:t>
      </w:r>
    </w:p>
    <w:p>
      <w:r>
        <w:t>O toroide usa fonte de corrente senoidal própria, inicialmente desligada, com estudo até0,5 A RMS. Seu cálculo de potência de cobre é separado do balanço das fontes axiais. Em simetria ideal os acoplamentos aos circuitos axiais se anulam; terminais, assimetrias e parasitas do aparelho real precisam de medição.</w:t>
      </w:r>
    </w:p>
    <w:p>
      <w:r>
        <w:t>O ensaio PI é DC separado: contornar capacitores, desconectar o receptor, usar duas portas iguais e campo aditivo. Não executar essa mudança automática em equipamento físico sem adaptar as conexões. No laboratório virtual, os botões do ciclo configuram cenários e exibem esse teste separadamente.</w:t>
      </w:r>
    </w:p>
    <w:p>
      <w:pPr>
        <w:pStyle w:val="Heading1"/>
      </w:pPr>
      <w:r>
        <w:t>5. Modelo eletromagnético</w:t>
      </w:r>
    </w:p>
    <w:p>
      <w:r>
        <w:drawing>
          <wp:inline xmlns:a="http://schemas.openxmlformats.org/drawingml/2006/main" xmlns:pic="http://schemas.openxmlformats.org/drawingml/2006/picture">
            <wp:extent cx="5577840" cy="3300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_Integ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00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problema principal é ZI=V em fasores RMS, com duas ou três portas, dependendo da carga conectada. Na diagonal das fontes: Zii=Ri+j[ωLii−1/(ωCi)]. Fora da diagonal: Zij=jωMij. No receptor: Zrr=Rcobre+Rcarga+jωLrr. O solver usa eliminação de Gauss complexa com pivotamento.</w:t>
      </w:r>
    </w:p>
    <w:p>
      <w:r>
        <w:t>A autoindutância é aproximada pela fórmula de Wheeler multicamada, e deve ser calibrada por L medida. As mútuas principais usam Neumann somando as cinquenta espiras individuais de cada pacote. O receptor usa vinte espiras coincidentes no raio médio como aproximação declarada. Na referência, comparar sua mútua com o pacote real4×5 indica diferença de aproximadamente0,127%; isso não determina o erro total de L/circuito.</w:t>
      </w:r>
    </w:p>
    <w:p>
      <w:r>
        <w:t>Biot–Savart integra cada espira no espaço. O navegador usa uma matriz geométrica de indutâncias previamente calculada pelo Python para esta geometria e calcula campos/circuitos com os controles atuais. Alterar parâmetros do CAD exige recalcular a configuração e suas referências; editar um arquivo não sincroniza automaticamente todos os demais.</w:t>
      </w:r>
    </w:p>
    <w:p>
      <w:r>
        <w:t>As componentes de B são complexas. O módulo RMS vetorial é a raiz da soma dos quadrados dos módulos das três componentes. Com fases diferentes, o vetor pode descrever uma elipse; não assumir que existe um único pico comum. Os vetores3D mostrados representam o instante t=0, com fasores RMS convertidos ao sinal real. Comprimento das setas é uma escala gráfica limitada, não uma distância física de transporte.</w:t>
      </w:r>
    </w:p>
    <w:p>
      <w:r>
        <w:t>O toroide é calculado por48 voltas poloidais discretas. Sua indutância e tensão de alimentação são estimativas ideais de toroide fino: L≈μ0N²a²/(2R). Campo ideal médio Bφ≈μ0NI/(2πρ) é referência de comparação; o cálculo discreto revela não uniformidade. Não substituir esse enrolamento por voltas azimutais ao redor do eixo: estas produzem o campo axial das bobinas principais.</w:t>
      </w:r>
    </w:p>
    <w:p>
      <w:r>
        <w:t>Pontos dentro do envelope do fio são excluídos. Não se resolvem seção condutora finita, terminais, correntes induzidas em metal próximo, efeito de proximidade, ESR, capacitâncias parasitas, convecção ou deformação estrutural. A temperatura é entrada da resistividade, não saída de um solver térmico. As peças isolantes e fontes reais precisam ser ensaiadas.</w:t>
      </w:r>
    </w:p>
    <w:p>
      <w:pPr>
        <w:pStyle w:val="Heading1"/>
      </w:pPr>
      <w:r>
        <w:t>6. Resultado inicial calculado</w:t>
      </w:r>
    </w:p>
    <w:p>
      <w:r>
        <w:t>Geometria de referência; cobre20 °C; fontes iguais2 V RMS; fase0°; frequência1.400 Hz; receptor conectado a100 Ω; toroide desligado.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Grandeza</w:t>
            </w:r>
          </w:p>
        </w:tc>
        <w:tc>
          <w:tcPr>
            <w:tcW w:type="dxa" w:w="4320"/>
          </w:tcPr>
          <w:p>
            <w:r>
              <w:t>Previsão</w:t>
            </w:r>
          </w:p>
        </w:tc>
      </w:tr>
      <w:tr>
        <w:tc>
          <w:tcPr>
            <w:tcW w:type="dxa" w:w="4320"/>
          </w:tcPr>
          <w:p>
            <w:r>
              <w:t>Autoindutância de cada bobina principal</w:t>
            </w:r>
          </w:p>
        </w:tc>
        <w:tc>
          <w:tcPr>
            <w:tcW w:type="dxa" w:w="4320"/>
          </w:tcPr>
          <w:p>
            <w:r>
              <w:t>1,044299 mH, estimada</w:t>
            </w:r>
          </w:p>
        </w:tc>
      </w:tr>
      <w:tr>
        <w:tc>
          <w:tcPr>
            <w:tcW w:type="dxa" w:w="4320"/>
          </w:tcPr>
          <w:p>
            <w:r>
              <w:t>Indutância mútua principal</w:t>
            </w:r>
          </w:p>
        </w:tc>
        <w:tc>
          <w:tcPr>
            <w:tcW w:type="dxa" w:w="4320"/>
          </w:tcPr>
          <w:p>
            <w:r>
              <w:t>93,451372 µH, espiras distribuídas</w:t>
            </w:r>
          </w:p>
        </w:tc>
      </w:tr>
      <w:tr>
        <w:tc>
          <w:tcPr>
            <w:tcW w:type="dxa" w:w="4320"/>
          </w:tcPr>
          <w:p>
            <w:r>
              <w:t>Indutância do receptor</w:t>
            </w:r>
          </w:p>
        </w:tc>
        <w:tc>
          <w:tcPr>
            <w:tcW w:type="dxa" w:w="4320"/>
          </w:tcPr>
          <w:p>
            <w:r>
              <w:t>50,850316 µH, estimada</w:t>
            </w:r>
          </w:p>
        </w:tc>
      </w:tr>
      <w:tr>
        <w:tc>
          <w:tcPr>
            <w:tcW w:type="dxa" w:w="4320"/>
          </w:tcPr>
          <w:p>
            <w:r>
              <w:t>Mútua principal–receptor</w:t>
            </w:r>
          </w:p>
        </w:tc>
        <w:tc>
          <w:tcPr>
            <w:tcW w:type="dxa" w:w="4320"/>
          </w:tcPr>
          <w:p>
            <w:r>
              <w:t>15,048958 µH em cada lado, receptor equivalente</w:t>
            </w:r>
          </w:p>
        </w:tc>
      </w:tr>
      <w:tr>
        <w:tc>
          <w:tcPr>
            <w:tcW w:type="dxa" w:w="4320"/>
          </w:tcPr>
          <w:p>
            <w:r>
              <w:t>Resistência de cobre por bobina principal</w:t>
            </w:r>
          </w:p>
        </w:tc>
        <w:tc>
          <w:tcPr>
            <w:tcW w:type="dxa" w:w="4320"/>
          </w:tcPr>
          <w:p>
            <w:r>
              <w:t>0,698380 Ω, incluindo0,4m de terminais</w:t>
            </w:r>
          </w:p>
        </w:tc>
      </w:tr>
      <w:tr>
        <w:tc>
          <w:tcPr>
            <w:tcW w:type="dxa" w:w="4320"/>
          </w:tcPr>
          <w:p>
            <w:r>
              <w:t>Corrente principal, cada bobina</w:t>
            </w:r>
          </w:p>
        </w:tc>
        <w:tc>
          <w:tcPr>
            <w:tcW w:type="dxa" w:w="4320"/>
          </w:tcPr>
          <w:p>
            <w:r>
              <w:t>185,445692 mA RMS</w:t>
            </w:r>
          </w:p>
        </w:tc>
      </w:tr>
      <w:tr>
        <w:tc>
          <w:tcPr>
            <w:tcW w:type="dxa" w:w="4320"/>
          </w:tcPr>
          <w:p>
            <w:r>
              <w:t>Corrente do receptor</w:t>
            </w:r>
          </w:p>
        </w:tc>
        <w:tc>
          <w:tcPr>
            <w:tcW w:type="dxa" w:w="4320"/>
          </w:tcPr>
          <w:p>
            <w:r>
              <w:t>0,490455 mA RMS</w:t>
            </w:r>
          </w:p>
        </w:tc>
      </w:tr>
      <w:tr>
        <w:tc>
          <w:tcPr>
            <w:tcW w:type="dxa" w:w="4320"/>
          </w:tcPr>
          <w:p>
            <w:r>
              <w:t>Campo central</w:t>
            </w:r>
          </w:p>
        </w:tc>
        <w:tc>
          <w:tcPr>
            <w:tcW w:type="dxa" w:w="4320"/>
          </w:tcPr>
          <w:p>
            <w:r>
              <w:t>73,483675 µT RMS</w:t>
            </w:r>
          </w:p>
        </w:tc>
      </w:tr>
      <w:tr>
        <w:tc>
          <w:tcPr>
            <w:tcW w:type="dxa" w:w="4320"/>
          </w:tcPr>
          <w:p>
            <w:r>
              <w:t>Tensão na carga100 Ω</w:t>
            </w:r>
          </w:p>
        </w:tc>
        <w:tc>
          <w:tcPr>
            <w:tcW w:type="dxa" w:w="4320"/>
          </w:tcPr>
          <w:p>
            <w:r>
              <w:t>49,045546 mV RMS</w:t>
            </w:r>
          </w:p>
        </w:tc>
      </w:tr>
      <w:tr>
        <w:tc>
          <w:tcPr>
            <w:tcW w:type="dxa" w:w="4320"/>
          </w:tcPr>
          <w:p>
            <w:r>
              <w:t>Potência total das fontes</w:t>
            </w:r>
          </w:p>
        </w:tc>
        <w:tc>
          <w:tcPr>
            <w:tcW w:type="dxa" w:w="4320"/>
          </w:tcPr>
          <w:p>
            <w:r>
              <w:t>0,735861 W</w:t>
            </w:r>
          </w:p>
        </w:tc>
      </w:tr>
      <w:tr>
        <w:tc>
          <w:tcPr>
            <w:tcW w:type="dxa" w:w="4320"/>
          </w:tcPr>
          <w:p>
            <w:r>
              <w:t>Potência na carga</w:t>
            </w:r>
          </w:p>
        </w:tc>
        <w:tc>
          <w:tcPr>
            <w:tcW w:type="dxa" w:w="4320"/>
          </w:tcPr>
          <w:p>
            <w:r>
              <w:t>24,054656 µW</w:t>
            </w:r>
          </w:p>
        </w:tc>
      </w:tr>
      <w:tr>
        <w:tc>
          <w:tcPr>
            <w:tcW w:type="dxa" w:w="4320"/>
          </w:tcPr>
          <w:p>
            <w:r>
              <w:t>Eficiência de transferência entre fronteiras AC</w:t>
            </w:r>
          </w:p>
        </w:tc>
        <w:tc>
          <w:tcPr>
            <w:tcW w:type="dxa" w:w="4320"/>
          </w:tcPr>
          <w:p>
            <w:r>
              <w:t>0,0032689%</w:t>
            </w:r>
          </w:p>
        </w:tc>
      </w:tr>
      <w:tr>
        <w:tc>
          <w:tcPr>
            <w:tcW w:type="dxa" w:w="4320"/>
          </w:tcPr>
          <w:p>
            <w:r>
              <w:t>Ressonância simétrica sem receptor</w:t>
            </w:r>
          </w:p>
        </w:tc>
        <w:tc>
          <w:tcPr>
            <w:tcW w:type="dxa" w:w="4320"/>
          </w:tcPr>
          <w:p>
            <w:r>
              <w:t>1.492,095450 Hz</w:t>
            </w:r>
          </w:p>
        </w:tc>
      </w:tr>
      <w:tr>
        <w:tc>
          <w:tcPr>
            <w:tcW w:type="dxa" w:w="4320"/>
          </w:tcPr>
          <w:p>
            <w:r>
              <w:t>Ressonância antissimétrica sem receptor</w:t>
            </w:r>
          </w:p>
        </w:tc>
        <w:tc>
          <w:tcPr>
            <w:tcW w:type="dxa" w:w="4320"/>
          </w:tcPr>
          <w:p>
            <w:r>
              <w:t>1.632,167136 Hz</w:t>
            </w:r>
          </w:p>
        </w:tc>
      </w:tr>
      <w:tr>
        <w:tc>
          <w:tcPr>
            <w:tcW w:type="dxa" w:w="4320"/>
          </w:tcPr>
          <w:p>
            <w:r>
              <w:t>Resíduo numérico do balanço nominal</w:t>
            </w:r>
          </w:p>
        </w:tc>
        <w:tc>
          <w:tcPr>
            <w:tcW w:type="dxa" w:w="4320"/>
          </w:tcPr>
          <w:p>
            <w:r>
              <w:t>0 W, dentro da precisão numérica</w:t>
            </w:r>
          </w:p>
        </w:tc>
      </w:tr>
    </w:tbl>
    <w:p>
      <w:r>
        <w:t>O ganho líquido de energia não aparece neste modelo. Entrada ativa = perdas de cobre + perdas dos resistores + potência da carga. Não omitir perdas grandes para transformar uma transferência pequena em aparente geração. A eficiência reportada não inclui alimentação/consumo interno dos amplificadores, sensores e iluminação.</w:t>
      </w:r>
    </w:p>
    <w:p>
      <w:r>
        <w:t>O toroide apresenta indutância ideal0,686291 µH. Para0,15 A RMS, o campo na linha central da sua seção varia aproximadamente13,853 µT sob uma espira e7,943 µT entre espiras; a referência ideal média é10,667 µT. Essa variação espacial é um resultado testável e mostra por que a ilustração uniforme do campo não basta.</w:t>
      </w:r>
    </w:p>
    <w:p>
      <w:r>
        <w:t>No ensaio DC de controle, alvo0,15 A; aos200 ms acrescenta-se1 Ω; aos400 ms a corrente prevista retorna a aproximadamente0,149997773 A. O controle simula a tensão limitada a5 V, com lei PI e sem forçar artificialmente a corrente ao valor desejado. Não contém atraso/ruído reais do sensor nem controle da faseAC.</w:t>
      </w:r>
    </w:p>
    <w:p>
      <w:r>
        <w:t>Como escala de consistência, κuB nominal é aproximadamente4,46×10^-46 m^-2 usando apenas a densidade média de energia magnética local. Essa é ordem de termo fonte do tensor de Einstein; não é uma métrica calculada, nem o escalar de Ricci ou demonstração de curvatura manipulável. O tensor eletromagnético clássico tem traço nulo; em eletrovácuo comΛ=0, o escalarR é zero. A bancada não calcula uma geometria de wormhole.</w:t>
      </w:r>
    </w:p>
    <w:p>
      <w:pPr>
        <w:pStyle w:val="Heading1"/>
      </w:pPr>
      <w:r>
        <w:t>7. Montagem e fabricação</w:t>
      </w:r>
    </w:p>
    <w:p>
      <w:r>
        <w:t>1. Conferir os desenhos01/02, a BOM e os parâmetros do CAD. Cortar/furar a base e os aros em material isolante ou fabricar com processo dimensional adequado. Carretéis e formas exigem revisão do fatiador e das folgas reais.</w:t>
      </w:r>
    </w:p>
    <w:p>
      <w:r>
        <w:t>2. Preparar os carretéis principais e o receptor; conferir fio isolado≤1,1 mm. Contar50 voltas por bobina principal e20 no receptor, sem danificar o esmalte. Reservar pontas e fixação isolante. Não fabricar os envelopes de cobre como peças maciças.</w:t>
      </w:r>
    </w:p>
    <w:p>
      <w:r>
        <w:t>3. Preparar a forma toroidal e sua camada isolante de0,95 mm. Distribuir48 voltas poloidais regularmente. Suportes ficam entre espiras; não deslocar o fio para atravessar os pilares. Terminais e transições exigem acabamento próprio.</w:t>
      </w:r>
    </w:p>
    <w:p>
      <w:r>
        <w:t>4. Montar tirantes, espaçadores, tampas e pontes exatamente pela sequência revisada no guia CAD. Pontes integram o empilhamento e seus furos precisam ficar livres. Usar aperto leve; verificar as folgas com as peças reais.</w:t>
      </w:r>
    </w:p>
    <w:p>
      <w:r>
        <w:t>5. Instalar pedestal, coluna aberta, colares, receptor e guia da sonda. Nenhuma peça da coluna está qualificada para vácuo ou pressão. Posicionar sensores térmicos sem danificar o fio.</w:t>
      </w:r>
    </w:p>
    <w:p>
      <w:r>
        <w:t>6. Fazer as conexões dos circuitos externos segundo o esquema e marcar polaridades. Verificar continuidade, resistência, isolamento, L/M e capacitâncias reais antes de excitar.</w:t>
      </w:r>
    </w:p>
    <w:p>
      <w:r>
        <w:t>7. Começar com baixa amplitude; conferir senoides, fontes e temperatura. Limite inicial de parada45 °C nos suportes/enrolamento, ou limite inferior do fabricante. Só aumentar após observar as medições.</w:t>
      </w:r>
    </w:p>
    <w:p>
      <w:r>
        <w:t>O CAD não inclui um amplificador fabricado e testado. Placa, caixa, sensores e roscas representam componentes comprados a selecionar dentro das especificações. O conjunto não foi fatiado, impresso, montado ou submetido a análise estrutural/FEM. A verificação de malha e das folgas identificadas não certifica ausência de todas as colisões nem resistência mecânica.</w:t>
      </w:r>
    </w:p>
    <w:p>
      <w:pPr>
        <w:pStyle w:val="Heading1"/>
      </w:pPr>
      <w:r>
        <w:t>8. Verificar se funciona</w:t>
      </w:r>
    </w:p>
    <w:p>
      <w:r>
        <w:t>O protocolo pesquisa/PROTOCOLO_COMPLETO.md detalha P01–P10. Antes dos ensaios, registrar quais observáveis, faixas, incertezas e critérios de aceitação serão usados; não ajustar o modelo depois apenas para obter concordância.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Ensaio</w:t>
            </w:r>
          </w:p>
        </w:tc>
        <w:tc>
          <w:tcPr>
            <w:tcW w:type="dxa" w:w="4320"/>
          </w:tcPr>
          <w:p>
            <w:r>
              <w:t>Medição e controle</w:t>
            </w:r>
          </w:p>
        </w:tc>
      </w:tr>
      <w:tr>
        <w:tc>
          <w:tcPr>
            <w:tcW w:type="dxa" w:w="4320"/>
          </w:tcPr>
          <w:p>
            <w:r>
              <w:t>P01 — Mecânica</w:t>
            </w:r>
          </w:p>
        </w:tc>
        <w:tc>
          <w:tcPr>
            <w:tcW w:type="dxa" w:w="4320"/>
          </w:tcPr>
          <w:p>
            <w:r>
              <w:t>Cotas, coaxialidade, folgas, posição e repetibilidade de montagem</w:t>
            </w:r>
          </w:p>
        </w:tc>
      </w:tr>
      <w:tr>
        <w:tc>
          <w:tcPr>
            <w:tcW w:type="dxa" w:w="4320"/>
          </w:tcPr>
          <w:p>
            <w:r>
              <w:t>P02 — Componentes</w:t>
            </w:r>
          </w:p>
        </w:tc>
        <w:tc>
          <w:tcPr>
            <w:tcW w:type="dxa" w:w="4320"/>
          </w:tcPr>
          <w:p>
            <w:r>
              <w:t>Resistência, L/M, C/ESR e temperatura com os instrumentos reais</w:t>
            </w:r>
          </w:p>
        </w:tc>
      </w:tr>
      <w:tr>
        <w:tc>
          <w:tcPr>
            <w:tcW w:type="dxa" w:w="4320"/>
          </w:tcPr>
          <w:p>
            <w:r>
              <w:t>P03 — Campo estático</w:t>
            </w:r>
          </w:p>
        </w:tc>
        <w:tc>
          <w:tcPr>
            <w:tcW w:type="dxa" w:w="4320"/>
          </w:tcPr>
          <w:p>
            <w:r>
              <w:t>DC com capacitor contornado; correntes±I e fonte desligada para retirar fundo</w:t>
            </w:r>
          </w:p>
        </w:tc>
      </w:tr>
      <w:tr>
        <w:tc>
          <w:tcPr>
            <w:tcW w:type="dxa" w:w="4320"/>
          </w:tcPr>
          <w:p>
            <w:r>
              <w:t>P04 — CampoAC/fase</w:t>
            </w:r>
          </w:p>
        </w:tc>
        <w:tc>
          <w:tcPr>
            <w:tcW w:type="dxa" w:w="4320"/>
          </w:tcPr>
          <w:p>
            <w:r>
              <w:t>Mapas com cada porta, ambas, fases0/90/180°; sensor calibrado e componentes corretas</w:t>
            </w:r>
          </w:p>
        </w:tc>
      </w:tr>
      <w:tr>
        <w:tc>
          <w:tcPr>
            <w:tcW w:type="dxa" w:w="4320"/>
          </w:tcPr>
          <w:p>
            <w:r>
              <w:t>P05 — Ressonância/carga</w:t>
            </w:r>
          </w:p>
        </w:tc>
        <w:tc>
          <w:tcPr>
            <w:tcW w:type="dxa" w:w="4320"/>
          </w:tcPr>
          <w:p>
            <w:r>
              <w:t>Varredura, tensão terminal medida, receptor aberto e cargas medidas</w:t>
            </w:r>
          </w:p>
        </w:tc>
      </w:tr>
      <w:tr>
        <w:tc>
          <w:tcPr>
            <w:tcW w:type="dxa" w:w="4320"/>
          </w:tcPr>
          <w:p>
            <w:r>
              <w:t>P06 — Energia</w:t>
            </w:r>
          </w:p>
        </w:tc>
        <w:tc>
          <w:tcPr>
            <w:tcW w:type="dxa" w:w="4320"/>
          </w:tcPr>
          <w:p>
            <w:r>
              <w:t>Média[v(t)i(t)] simultânea nas duas portas e carga; preservar sinal e fase</w:t>
            </w:r>
          </w:p>
        </w:tc>
      </w:tr>
      <w:tr>
        <w:tc>
          <w:tcPr>
            <w:tcW w:type="dxa" w:w="4320"/>
          </w:tcPr>
          <w:p>
            <w:r>
              <w:t>P07 — Toroide</w:t>
            </w:r>
          </w:p>
        </w:tc>
        <w:tc>
          <w:tcPr>
            <w:tcW w:type="dxa" w:w="4320"/>
          </w:tcPr>
          <w:p>
            <w:r>
              <w:t>Teste separado, mapa interno sob/entre voltas, campo de fuga e possíveis parasitas</w:t>
            </w:r>
          </w:p>
        </w:tc>
      </w:tr>
      <w:tr>
        <w:tc>
          <w:tcPr>
            <w:tcW w:type="dxa" w:w="4320"/>
          </w:tcPr>
          <w:p>
            <w:r>
              <w:t>P08 — PI emDC</w:t>
            </w:r>
          </w:p>
        </w:tc>
        <w:tc>
          <w:tcPr>
            <w:tcW w:type="dxa" w:w="4320"/>
          </w:tcPr>
          <w:p>
            <w:r>
              <w:t>Capacitores contornados/receptor desconectado; medir degrau, overshoot, erro e limites</w:t>
            </w:r>
          </w:p>
        </w:tc>
      </w:tr>
      <w:tr>
        <w:tc>
          <w:tcPr>
            <w:tcW w:type="dxa" w:w="4320"/>
          </w:tcPr>
          <w:p>
            <w:r>
              <w:t>P09 — Contínuo/térmica</w:t>
            </w:r>
          </w:p>
        </w:tc>
        <w:tc>
          <w:tcPr>
            <w:tcW w:type="dxa" w:w="4320"/>
          </w:tcPr>
          <w:p>
            <w:r>
              <w:t>Registrar V/I/B/T ao longo do tempo; parar nos limites e conferir deriva</w:t>
            </w:r>
          </w:p>
        </w:tc>
      </w:tr>
      <w:tr>
        <w:tc>
          <w:tcPr>
            <w:tcW w:type="dxa" w:w="4320"/>
          </w:tcPr>
          <w:p>
            <w:r>
              <w:t>P10 — Repetição</w:t>
            </w:r>
          </w:p>
        </w:tc>
        <w:tc>
          <w:tcPr>
            <w:tcW w:type="dxa" w:w="4320"/>
          </w:tcPr>
          <w:p>
            <w:r>
              <w:t>Três séries independentes, remontagem, dados brutos, fotos e calibrações</w:t>
            </w:r>
          </w:p>
        </w:tc>
      </w:tr>
    </w:tbl>
    <w:p>
      <w:r>
        <w:t>O arquivo Modelo_Medicoes.csv vem vazio, sem linhas sintéticas apresentadas como experimento. O importador compara cada linha com frequência, duas tensões, fase, carga, estado do receptor e temperatura registrados. Ele usa toroide desligado, conforme a fronteira do ensaio de transferência. Diferenças absolutas são diagnóstico; não fornecem aprovação estatística automática.</w:t>
      </w:r>
    </w:p>
    <w:p>
      <w:r>
        <w:t>Investigar uma discrepância exige verificar ruído, offsets, posição, metal próximo, senoide, limites da fonte, L/C em frequência, deriva e erro de fase. Usar incerteza combinada e repetir os controles. Para uma alegação nova, o efeito precisa superar a incerteza completa, persistir com os controles e ser reproduzido independentemente.</w:t>
      </w:r>
    </w:p>
    <w:p>
      <w:pPr>
        <w:pStyle w:val="Heading1"/>
      </w:pPr>
      <w:r>
        <w:t>9. O que falta para as funções extraordinárias</w:t>
      </w:r>
    </w:p>
    <w:p>
      <w:r>
        <w:t>Cada alegação precisa de mecanismo e previsão próprios. A matriz com letras do pôster não define um circuito físico de informação. Escrever Einstein junto de uma equação de campo não fecha um problema de gravidade quântica. A métrica parece usar cinco coordenadas independentes, apesar de anunciar quatro dimensões; a dependência/independência deve ser esclarecida.</w:t>
      </w:r>
    </w:p>
    <w:p>
      <w:r>
        <w:t>O fator8πG/c⁴ é compatível com a convençãoSI usual, mas exige tensor fonte e condições de contorno. Um determinante positivo não prova estabilidade. Para dx/dt=Mx, decaimento exige partes reais negativas; uma matriz de energia positiva é outro objeto. O Atlas já distingue essas questões das verificações matemáticas nas páginas3/22/23/28.</w:t>
      </w:r>
    </w:p>
    <w:p>
      <w:r>
        <w:t>O inventário de lacunas lista, para energia do vácuo, curvatura, wormholes, propulsão, informação e coerência: variáveis, ação/dinâmica, parâmetros/unidades, mecanismo de preparo/leitura, escala prevista do efeito e experimentos discriminantes. A coluna em ar comum não implementa uma preparação de estado de vácuo quântico. Evacuar gás também não demonstra manipular esse estado.</w:t>
      </w:r>
    </w:p>
    <w:p>
      <w:r>
        <w:t>Essas funções não podem ser declaradas operacionais por acrescentar peças decorativas ao CAD. A versão integral entrega geometria, circuitos testáveis e a matriz de investigação completa; o fechamento da teoria e o ensaio físico permanecem necessários.</w:t>
      </w:r>
    </w:p>
    <w:p>
      <w:pPr>
        <w:pStyle w:val="Heading1"/>
      </w:pPr>
      <w:r>
        <w:t>10. Verificação digital e arquivos</w:t>
      </w:r>
    </w:p>
    <w:p>
      <w:r>
        <w:t>O motor foi verificado contra resultados analíticos, fluxo/mútuas, simetria, conservação, campo distribuído, campo toroidal, positividade da matriz, controle limitado e concordância Python/JavaScript. O registro atual contém58 verificações aprovadas. O navegador verifica carregamento3D, todas as peças, controles, cancelamento, receptor, toroide, ciclo, importação/exportação, telas menores e ausência de errosJavaScript. O registro final relata as contagens reais.</w:t>
      </w:r>
    </w:p>
    <w:p>
      <w:r>
        <w:t>Os STL são malhas fechadas, com orientação consistente e volume positivo. Há fonteSCAD, mas o executávelOpenSCAD não está instalado, então sua renderizaçãoCLI não foi feita. Não há STEP de sólidos nativos. Montagem física, impressão, eletrônica, rigidez, temperatura e efeitos extraordinários não são resultados desses testes digitais.</w:t>
      </w:r>
    </w:p>
    <w:p>
      <w:r>
        <w:t>Para reproduzir, na pasta da versão integral: py simulacao/modelo_integral.py --output simulacao/outputs; py simulacao/validar.py --browser. O teste de navegador requer Playwright eChrome; o laboratório pode ser aberto diretamente emChrome/Edge sem instalar bibliotecas ou servidor. A geometria fixa é carregada de scene.js; nenhuma informação é enviada a um servidor.</w:t>
      </w:r>
    </w:p>
    <w:p>
      <w:r>
        <w:t>O projeto anterior fica preservado em nucleo_toroidal. As configurações são diferentes: uma ligação série naV1, duas portas e receptor naV2. Não comparar seus números como se fossem o mesmo ensaio.</w:t>
      </w:r>
    </w:p>
    <w:p>
      <w:pPr>
        <w:pStyle w:val="Heading1"/>
      </w:pPr>
      <w:r>
        <w:t>Referências e rastreabilidade</w:t>
      </w:r>
    </w:p>
    <w:p>
      <w:r>
        <w:t>- Imagem fornecida: Núcleo de Campo Toroidal Quântico, Adilson Oliveira —7dsolv.</w:t>
      </w:r>
    </w:p>
    <w:p>
      <w:r>
        <w:t>- PDF fornecido: Atlas das Estruturas Fundamentais, edição1.0, páginas3/13/22/23/28. Seus37 testes relatados são outro conjunto; fontes não anexadas nem reexecutadas nesta entrega.</w:t>
      </w:r>
    </w:p>
    <w:p>
      <w:r>
        <w:t>- MIT, indutância/mútuas e energia: https://web.mit.edu/8.02-esg/Spring03/www/8.02ch32we.pdf</w:t>
      </w:r>
    </w:p>
    <w:p>
      <w:r>
        <w:t>- MIT, campo toroidal: https://web.mit.edu/8.02-esg/Spring03/www/8.02ch30we.pdf</w:t>
      </w:r>
    </w:p>
    <w:p>
      <w:r>
        <w:t>- NIST, incerteza: https://www.nist.gov/pml/nist-technical-note-1297</w:t>
      </w:r>
    </w:p>
    <w:p>
      <w:r>
        <w:t>- COMSOL, circuitos e bobinas acopladas: https://www.comsol.com/support/learning-center/article/modeling-a-coil-connected-to-an-electric-circuit-2621</w:t>
      </w:r>
    </w:p>
    <w:p>
      <w:r>
        <w:t>- Fontes primárias e lacunas teóricas adicionais constam no protocolo e em simulacao/METODOS.md.</w:t>
      </w:r>
    </w:p>
    <w:p>
      <w:r>
        <w:t>Todas as medidas desta bancada são propostas de engenharia. Os resultados são previsões numéricas identificadas, com limites explícitos e sem ensaio físico concluído.</w:t>
      </w:r>
    </w:p>
    <w:p>
      <w:r>
        <w:br w:type="page"/>
      </w:r>
    </w:p>
    <w:p>
      <w:pPr>
        <w:pStyle w:val="Heading1"/>
      </w:pPr>
      <w:r>
        <w:t>Lista integral de peças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Peça</w:t>
            </w:r>
          </w:p>
        </w:tc>
        <w:tc>
          <w:tcPr>
            <w:tcW w:type="dxa" w:w="2160"/>
          </w:tcPr>
          <w:p>
            <w:r>
              <w:t>Qtd.</w:t>
            </w:r>
          </w:p>
        </w:tc>
        <w:tc>
          <w:tcPr>
            <w:tcW w:type="dxa" w:w="2160"/>
          </w:tcPr>
          <w:p>
            <w:r>
              <w:t>Material/requisito</w:t>
            </w:r>
          </w:p>
        </w:tc>
      </w:tr>
      <w:tr>
        <w:tc>
          <w:tcPr>
            <w:tcW w:type="dxa" w:w="2160"/>
          </w:tcPr>
          <w:p>
            <w:r>
              <w:t>M01</w:t>
            </w:r>
          </w:p>
        </w:tc>
        <w:tc>
          <w:tcPr>
            <w:tcW w:type="dxa" w:w="2160"/>
          </w:tcPr>
          <w:p>
            <w:r>
              <w:t>Base 360 × 360 × 12 com 4 furos Ø5,5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Policarbonato/G10/PMMA isolante</w:t>
            </w:r>
          </w:p>
        </w:tc>
      </w:tr>
      <w:tr>
        <w:tc>
          <w:tcPr>
            <w:tcW w:type="dxa" w:w="2160"/>
          </w:tcPr>
          <w:p>
            <w:r>
              <w:t>M02</w:t>
            </w:r>
          </w:p>
        </w:tc>
        <w:tc>
          <w:tcPr>
            <w:tcW w:type="dxa" w:w="2160"/>
          </w:tcPr>
          <w:p>
            <w:r>
              <w:t>Tampa anular Ø340/248 × 4 com quatro furos Ø5,5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Polímero isolante PETG/PA</w:t>
            </w:r>
          </w:p>
        </w:tc>
      </w:tr>
      <w:tr>
        <w:tc>
          <w:tcPr>
            <w:tcW w:type="dxa" w:w="2160"/>
          </w:tcPr>
          <w:p>
            <w:r>
              <w:t>M03</w:t>
            </w:r>
          </w:p>
        </w:tc>
        <w:tc>
          <w:tcPr>
            <w:tcW w:type="dxa" w:w="2160"/>
          </w:tcPr>
          <w:p>
            <w:r>
              <w:t>Carretel principal Ø220 × 15,4; quatro furos Ø3,4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Polímero isolante PETG/PA</w:t>
            </w:r>
          </w:p>
        </w:tc>
      </w:tr>
      <w:tr>
        <w:tc>
          <w:tcPr>
            <w:tcW w:type="dxa" w:w="2160"/>
          </w:tcPr>
          <w:p>
            <w:r>
              <w:t>M04</w:t>
            </w:r>
          </w:p>
        </w:tc>
        <w:tc>
          <w:tcPr>
            <w:tcW w:type="dxa" w:w="2160"/>
          </w:tcPr>
          <w:p>
            <w:r>
              <w:t>Ponte radial 56 × 12 × 4,3; centros de furos 48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Polímero isolante PETG/PA</w:t>
            </w:r>
          </w:p>
        </w:tc>
      </w:tr>
      <w:tr>
        <w:tc>
          <w:tcPr>
            <w:tcW w:type="dxa" w:w="2160"/>
          </w:tcPr>
          <w:p>
            <w:r>
              <w:t>M05</w:t>
            </w:r>
          </w:p>
        </w:tc>
        <w:tc>
          <w:tcPr>
            <w:tcW w:type="dxa" w:w="2160"/>
          </w:tcPr>
          <w:p>
            <w:r>
              <w:t>Espaçador Ø10/5,5 × 37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Nylon/PA isolante</w:t>
            </w:r>
          </w:p>
        </w:tc>
      </w:tr>
      <w:tr>
        <w:tc>
          <w:tcPr>
            <w:tcW w:type="dxa" w:w="2160"/>
          </w:tcPr>
          <w:p>
            <w:r>
              <w:t>M06</w:t>
            </w:r>
          </w:p>
        </w:tc>
        <w:tc>
          <w:tcPr>
            <w:tcW w:type="dxa" w:w="2160"/>
          </w:tcPr>
          <w:p>
            <w:r>
              <w:t>Espaçador Ø10/5,5 × 15.4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Nylon/PA isolante</w:t>
            </w:r>
          </w:p>
        </w:tc>
      </w:tr>
      <w:tr>
        <w:tc>
          <w:tcPr>
            <w:tcW w:type="dxa" w:w="2160"/>
          </w:tcPr>
          <w:p>
            <w:r>
              <w:t>M07</w:t>
            </w:r>
          </w:p>
        </w:tc>
        <w:tc>
          <w:tcPr>
            <w:tcW w:type="dxa" w:w="2160"/>
          </w:tcPr>
          <w:p>
            <w:r>
              <w:t>Espaçador Ø10/5,5 × 88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Nylon/PA isolante</w:t>
            </w:r>
          </w:p>
        </w:tc>
      </w:tr>
      <w:tr>
        <w:tc>
          <w:tcPr>
            <w:tcW w:type="dxa" w:w="2160"/>
          </w:tcPr>
          <w:p>
            <w:r>
              <w:t>M08</w:t>
            </w:r>
          </w:p>
        </w:tc>
        <w:tc>
          <w:tcPr>
            <w:tcW w:type="dxa" w:w="2160"/>
          </w:tcPr>
          <w:p>
            <w:r>
              <w:t>Espaçador Ø10/5,5 × 17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Nylon/PA isolante</w:t>
            </w:r>
          </w:p>
        </w:tc>
      </w:tr>
      <w:tr>
        <w:tc>
          <w:tcPr>
            <w:tcW w:type="dxa" w:w="2160"/>
          </w:tcPr>
          <w:p>
            <w:r>
              <w:t>M09</w:t>
            </w:r>
          </w:p>
        </w:tc>
        <w:tc>
          <w:tcPr>
            <w:tcW w:type="dxa" w:w="2160"/>
          </w:tcPr>
          <w:p>
            <w:r>
              <w:t>Tubo aberto Ø54/50 × 198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PMMA/policarbonato transparente</w:t>
            </w:r>
          </w:p>
        </w:tc>
      </w:tr>
      <w:tr>
        <w:tc>
          <w:tcPr>
            <w:tcW w:type="dxa" w:w="2160"/>
          </w:tcPr>
          <w:p>
            <w:r>
              <w:t>M10</w:t>
            </w:r>
          </w:p>
        </w:tc>
        <w:tc>
          <w:tcPr>
            <w:tcW w:type="dxa" w:w="2160"/>
          </w:tcPr>
          <w:p>
            <w:r>
              <w:t>Colar Ø70/54,6 × 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Polímero isolante</w:t>
            </w:r>
          </w:p>
        </w:tc>
      </w:tr>
      <w:tr>
        <w:tc>
          <w:tcPr>
            <w:tcW w:type="dxa" w:w="2160"/>
          </w:tcPr>
          <w:p>
            <w:r>
              <w:t>M11</w:t>
            </w:r>
          </w:p>
        </w:tc>
        <w:tc>
          <w:tcPr>
            <w:tcW w:type="dxa" w:w="2160"/>
          </w:tcPr>
          <w:p>
            <w:r>
              <w:t>Pedestal Ø70/10 × 10 da coluna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Polímero isolante</w:t>
            </w:r>
          </w:p>
        </w:tc>
      </w:tr>
      <w:tr>
        <w:tc>
          <w:tcPr>
            <w:tcW w:type="dxa" w:w="2160"/>
          </w:tcPr>
          <w:p>
            <w:r>
              <w:t>M12</w:t>
            </w:r>
          </w:p>
        </w:tc>
        <w:tc>
          <w:tcPr>
            <w:tcW w:type="dxa" w:w="2160"/>
          </w:tcPr>
          <w:p>
            <w:r>
              <w:t>Carretel receptor Ø80/62 ×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Polímero isolante</w:t>
            </w:r>
          </w:p>
        </w:tc>
      </w:tr>
      <w:tr>
        <w:tc>
          <w:tcPr>
            <w:tcW w:type="dxa" w:w="2160"/>
          </w:tcPr>
          <w:p>
            <w:r>
              <w:t>M13</w:t>
            </w:r>
          </w:p>
        </w:tc>
        <w:tc>
          <w:tcPr>
            <w:tcW w:type="dxa" w:w="2160"/>
          </w:tcPr>
          <w:p>
            <w:r>
              <w:t>Colar do receptor Ø62/54,6 × 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Polímero isolante</w:t>
            </w:r>
          </w:p>
        </w:tc>
      </w:tr>
      <w:tr>
        <w:tc>
          <w:tcPr>
            <w:tcW w:type="dxa" w:w="2160"/>
          </w:tcPr>
          <w:p>
            <w:r>
              <w:t>M14</w:t>
            </w:r>
          </w:p>
        </w:tc>
        <w:tc>
          <w:tcPr>
            <w:tcW w:type="dxa" w:w="2160"/>
          </w:tcPr>
          <w:p>
            <w:r>
              <w:t>Forma toroidal Ø283/257 com seção Ø13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Polímero isolante</w:t>
            </w:r>
          </w:p>
        </w:tc>
      </w:tr>
      <w:tr>
        <w:tc>
          <w:tcPr>
            <w:tcW w:type="dxa" w:w="2160"/>
          </w:tcPr>
          <w:p>
            <w:r>
              <w:t>H01</w:t>
            </w:r>
          </w:p>
        </w:tc>
        <w:tc>
          <w:tcPr>
            <w:tcW w:type="dxa" w:w="2160"/>
          </w:tcPr>
          <w:p>
            <w:r>
              <w:t>Tirante nylon M5 × 231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Nylon isolante</w:t>
            </w:r>
          </w:p>
        </w:tc>
      </w:tr>
      <w:tr>
        <w:tc>
          <w:tcPr>
            <w:tcW w:type="dxa" w:w="2160"/>
          </w:tcPr>
          <w:p>
            <w:r>
              <w:t>H02</w:t>
            </w:r>
          </w:p>
        </w:tc>
        <w:tc>
          <w:tcPr>
            <w:tcW w:type="dxa" w:w="2160"/>
          </w:tcPr>
          <w:p>
            <w:r>
              <w:t>Porca M5 AF8 × 4 nominal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Nylon isolante</w:t>
            </w:r>
          </w:p>
        </w:tc>
      </w:tr>
      <w:tr>
        <w:tc>
          <w:tcPr>
            <w:tcW w:type="dxa" w:w="2160"/>
          </w:tcPr>
          <w:p>
            <w:r>
              <w:t>H03</w:t>
            </w:r>
          </w:p>
        </w:tc>
        <w:tc>
          <w:tcPr>
            <w:tcW w:type="dxa" w:w="2160"/>
          </w:tcPr>
          <w:p>
            <w:r>
              <w:t>Arruela M5 Ø10/5,5 × 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Nylon isolante</w:t>
            </w:r>
          </w:p>
        </w:tc>
      </w:tr>
      <w:tr>
        <w:tc>
          <w:tcPr>
            <w:tcW w:type="dxa" w:w="2160"/>
          </w:tcPr>
          <w:p>
            <w:r>
              <w:t>H04</w:t>
            </w:r>
          </w:p>
        </w:tc>
        <w:tc>
          <w:tcPr>
            <w:tcW w:type="dxa" w:w="2160"/>
          </w:tcPr>
          <w:p>
            <w:r>
              <w:t>Fixação carretel M3 × 31 nominal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Nylon isolante</w:t>
            </w:r>
          </w:p>
        </w:tc>
      </w:tr>
      <w:tr>
        <w:tc>
          <w:tcPr>
            <w:tcW w:type="dxa" w:w="2160"/>
          </w:tcPr>
          <w:p>
            <w:r>
              <w:t>H05</w:t>
            </w:r>
          </w:p>
        </w:tc>
        <w:tc>
          <w:tcPr>
            <w:tcW w:type="dxa" w:w="2160"/>
          </w:tcPr>
          <w:p>
            <w:r>
              <w:t>Par porca M3 e arruela Ø6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Nylon isolante</w:t>
            </w:r>
          </w:p>
        </w:tc>
      </w:tr>
      <w:tr>
        <w:tc>
          <w:tcPr>
            <w:tcW w:type="dxa" w:w="2160"/>
          </w:tcPr>
          <w:p>
            <w:r>
              <w:t>H06</w:t>
            </w:r>
          </w:p>
        </w:tc>
        <w:tc>
          <w:tcPr>
            <w:tcW w:type="dxa" w:w="2160"/>
          </w:tcPr>
          <w:p>
            <w:r>
              <w:t>Pés Ø16 × 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Borracha</w:t>
            </w:r>
          </w:p>
        </w:tc>
      </w:tr>
      <w:tr>
        <w:tc>
          <w:tcPr>
            <w:tcW w:type="dxa" w:w="2160"/>
          </w:tcPr>
          <w:p>
            <w:r>
              <w:t>H07</w:t>
            </w:r>
          </w:p>
        </w:tc>
        <w:tc>
          <w:tcPr>
            <w:tcW w:type="dxa" w:w="2160"/>
          </w:tcPr>
          <w:p>
            <w:r>
              <w:t>Pilar do toroide Ø8 × 36,55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Polímero isolante</w:t>
            </w:r>
          </w:p>
        </w:tc>
      </w:tr>
      <w:tr>
        <w:tc>
          <w:tcPr>
            <w:tcW w:type="dxa" w:w="2160"/>
          </w:tcPr>
          <w:p>
            <w:r>
              <w:t>H08</w:t>
            </w:r>
          </w:p>
        </w:tc>
        <w:tc>
          <w:tcPr>
            <w:tcW w:type="dxa" w:w="2160"/>
          </w:tcPr>
          <w:p>
            <w:r>
              <w:t>Cassete externo 20 × 10 × 24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Polímero isolante</w:t>
            </w:r>
          </w:p>
        </w:tc>
      </w:tr>
      <w:tr>
        <w:tc>
          <w:tcPr>
            <w:tcW w:type="dxa" w:w="2160"/>
          </w:tcPr>
          <w:p>
            <w:r>
              <w:t>H09</w:t>
            </w:r>
          </w:p>
        </w:tc>
        <w:tc>
          <w:tcPr>
            <w:tcW w:type="dxa" w:w="2160"/>
          </w:tcPr>
          <w:p>
            <w:r>
              <w:t>Haste axial Ø8 × 111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Polímero isolante</w:t>
            </w:r>
          </w:p>
        </w:tc>
      </w:tr>
      <w:tr>
        <w:tc>
          <w:tcPr>
            <w:tcW w:type="dxa" w:w="2160"/>
          </w:tcPr>
          <w:p>
            <w:r>
              <w:t>H10</w:t>
            </w:r>
          </w:p>
        </w:tc>
        <w:tc>
          <w:tcPr>
            <w:tcW w:type="dxa" w:w="2160"/>
          </w:tcPr>
          <w:p>
            <w:r>
              <w:t>Caixa ventilada externa 80 × 60 × 30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Polímero isolante</w:t>
            </w:r>
          </w:p>
        </w:tc>
      </w:tr>
      <w:tr>
        <w:tc>
          <w:tcPr>
            <w:tcW w:type="dxa" w:w="2160"/>
          </w:tcPr>
          <w:p>
            <w:r>
              <w:t>E01</w:t>
            </w:r>
          </w:p>
        </w:tc>
        <w:tc>
          <w:tcPr>
            <w:tcW w:type="dxa" w:w="2160"/>
          </w:tcPr>
          <w:p>
            <w:r>
              <w:t>Bobina principal 50 espiras R100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Cobre esmaltado Ø1,0 / externo1,1</w:t>
            </w:r>
          </w:p>
        </w:tc>
      </w:tr>
      <w:tr>
        <w:tc>
          <w:tcPr>
            <w:tcW w:type="dxa" w:w="2160"/>
          </w:tcPr>
          <w:p>
            <w:r>
              <w:t>E02</w:t>
            </w:r>
          </w:p>
        </w:tc>
        <w:tc>
          <w:tcPr>
            <w:tcW w:type="dxa" w:w="2160"/>
          </w:tcPr>
          <w:p>
            <w:r>
              <w:t>Receptor 20 espiras R35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Cobre esmaltado Ø1,0 / externo1,1</w:t>
            </w:r>
          </w:p>
        </w:tc>
      </w:tr>
      <w:tr>
        <w:tc>
          <w:tcPr>
            <w:tcW w:type="dxa" w:w="2160"/>
          </w:tcPr>
          <w:p>
            <w:r>
              <w:t>E03</w:t>
            </w:r>
          </w:p>
        </w:tc>
        <w:tc>
          <w:tcPr>
            <w:tcW w:type="dxa" w:w="2160"/>
          </w:tcPr>
          <w:p>
            <w:r>
              <w:t>Toroide 48 espiras R135/r8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Cobre esmaltado Ø1,0 / externo1,1</w:t>
            </w:r>
          </w:p>
        </w:tc>
      </w:tr>
      <w:tr>
        <w:tc>
          <w:tcPr>
            <w:tcW w:type="dxa" w:w="2160"/>
          </w:tcPr>
          <w:p>
            <w:r>
              <w:t>E04</w:t>
            </w:r>
          </w:p>
        </w:tc>
        <w:tc>
          <w:tcPr>
            <w:tcW w:type="dxa" w:w="2160"/>
          </w:tcPr>
          <w:p>
            <w:r>
              <w:t>Fonte, proteção, driver, sensor e carga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Eletrônica convencional</w:t>
            </w:r>
          </w:p>
        </w:tc>
      </w:tr>
      <w:tr>
        <w:tc>
          <w:tcPr>
            <w:tcW w:type="dxa" w:w="2160"/>
          </w:tcPr>
          <w:p>
            <w:r>
              <w:t>E05</w:t>
            </w:r>
          </w:p>
        </w:tc>
        <w:tc>
          <w:tcPr>
            <w:tcW w:type="dxa" w:w="2160"/>
          </w:tcPr>
          <w:p>
            <w:r>
              <w:t>Fita, verniz e abraçadeiras isolantes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Material compatível com fio e tubo</w:t>
            </w:r>
          </w:p>
        </w:tc>
      </w:tr>
      <w:tr>
        <w:tc>
          <w:tcPr>
            <w:tcW w:type="dxa" w:w="2160"/>
          </w:tcPr>
          <w:p>
            <w:r>
              <w:t>E06</w:t>
            </w:r>
          </w:p>
        </w:tc>
        <w:tc>
          <w:tcPr>
            <w:tcW w:type="dxa" w:w="2160"/>
          </w:tcPr>
          <w:p>
            <w:r>
              <w:t>Camada isolante toroide 0,95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Fita/enchimento isolante</w:t>
            </w:r>
          </w:p>
        </w:tc>
      </w:tr>
      <w:tr>
        <w:tc>
          <w:tcPr>
            <w:tcW w:type="dxa" w:w="2160"/>
          </w:tcPr>
          <w:p>
            <w:r>
              <w:t>D01</w:t>
            </w:r>
          </w:p>
        </w:tc>
        <w:tc>
          <w:tcPr>
            <w:tcW w:type="dxa" w:w="2160"/>
          </w:tcPr>
          <w:p>
            <w:r>
              <w:t>Capacitor filme não polarizado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 µF ±5%; nominal≥100 VDC</w:t>
            </w:r>
          </w:p>
        </w:tc>
      </w:tr>
      <w:tr>
        <w:tc>
          <w:tcPr>
            <w:tcW w:type="dxa" w:w="2160"/>
          </w:tcPr>
          <w:p>
            <w:r>
              <w:t>D02</w:t>
            </w:r>
          </w:p>
        </w:tc>
        <w:tc>
          <w:tcPr>
            <w:tcW w:type="dxa" w:w="2160"/>
          </w:tcPr>
          <w:p>
            <w:r>
              <w:t>Resistor não indutivo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 Ω / 10 W</w:t>
            </w:r>
          </w:p>
        </w:tc>
      </w:tr>
      <w:tr>
        <w:tc>
          <w:tcPr>
            <w:tcW w:type="dxa" w:w="2160"/>
          </w:tcPr>
          <w:p>
            <w:r>
              <w:t>D03</w:t>
            </w:r>
          </w:p>
        </w:tc>
        <w:tc>
          <w:tcPr>
            <w:tcW w:type="dxa" w:w="2160"/>
          </w:tcPr>
          <w:p>
            <w:r>
              <w:t>Carga receptora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 Ω / ≥0,25 W, não indutivo</w:t>
            </w:r>
          </w:p>
        </w:tc>
      </w:tr>
      <w:tr>
        <w:tc>
          <w:tcPr>
            <w:tcW w:type="dxa" w:w="2160"/>
          </w:tcPr>
          <w:p>
            <w:r>
              <w:t>D04</w:t>
            </w:r>
          </w:p>
        </w:tc>
        <w:tc>
          <w:tcPr>
            <w:tcW w:type="dxa" w:w="2160"/>
          </w:tcPr>
          <w:p>
            <w:r>
              <w:t>Fonte axial de dois canais sincronizados</w:t>
            </w:r>
          </w:p>
        </w:tc>
        <w:tc>
          <w:tcPr>
            <w:tcW w:type="dxa" w:w="2160"/>
          </w:tcPr>
          <w:p>
            <w:r>
              <w:t>1 conjunto</w:t>
            </w:r>
          </w:p>
        </w:tc>
        <w:tc>
          <w:tcPr>
            <w:tcW w:type="dxa" w:w="2160"/>
          </w:tcPr>
          <w:p>
            <w:r>
              <w:t>100–5000 Hz;0–5 V RMS por porta;limite0,5 A RMS</w:t>
            </w:r>
          </w:p>
        </w:tc>
      </w:tr>
      <w:tr>
        <w:tc>
          <w:tcPr>
            <w:tcW w:type="dxa" w:w="2160"/>
          </w:tcPr>
          <w:p>
            <w:r>
              <w:t>D05</w:t>
            </w:r>
          </w:p>
        </w:tc>
        <w:tc>
          <w:tcPr>
            <w:tcW w:type="dxa" w:w="2160"/>
          </w:tcPr>
          <w:p>
            <w:r>
              <w:t>Fonte toroidal independente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Senoidal limitada;0–0,5 A RMS; faixa100–5000 Hz</w:t>
            </w:r>
          </w:p>
        </w:tc>
      </w:tr>
      <w:tr>
        <w:tc>
          <w:tcPr>
            <w:tcW w:type="dxa" w:w="2160"/>
          </w:tcPr>
          <w:p>
            <w:r>
              <w:t>D06</w:t>
            </w:r>
          </w:p>
        </w:tc>
        <w:tc>
          <w:tcPr>
            <w:tcW w:type="dxa" w:w="2160"/>
          </w:tcPr>
          <w:p>
            <w:r>
              <w:t>Fonte DC para testes</w:t>
            </w:r>
          </w:p>
        </w:tc>
        <w:tc>
          <w:tcPr>
            <w:tcW w:type="dxa" w:w="2160"/>
          </w:tcPr>
          <w:p>
            <w:r>
              <w:t>1 conjunto</w:t>
            </w:r>
          </w:p>
        </w:tc>
        <w:tc>
          <w:tcPr>
            <w:tcW w:type="dxa" w:w="2160"/>
          </w:tcPr>
          <w:p>
            <w:r>
              <w:t>Isolada;saídas iguais,limitadas;0–5 V</w:t>
            </w:r>
          </w:p>
        </w:tc>
      </w:tr>
      <w:tr>
        <w:tc>
          <w:tcPr>
            <w:tcW w:type="dxa" w:w="2160"/>
          </w:tcPr>
          <w:p>
            <w:r>
              <w:t>D07</w:t>
            </w:r>
          </w:p>
        </w:tc>
        <w:tc>
          <w:tcPr>
            <w:tcW w:type="dxa" w:w="2160"/>
          </w:tcPr>
          <w:p>
            <w:r>
              <w:t>Cabos/conectores e proteção</w:t>
            </w:r>
          </w:p>
        </w:tc>
        <w:tc>
          <w:tcPr>
            <w:tcW w:type="dxa" w:w="2160"/>
          </w:tcPr>
          <w:p>
            <w:r>
              <w:t>1 conjunto</w:t>
            </w:r>
          </w:p>
        </w:tc>
        <w:tc>
          <w:tcPr>
            <w:tcW w:type="dxa" w:w="2160"/>
          </w:tcPr>
          <w:p>
            <w:r>
              <w:t>Compatíveis com correntes,tensões e topologia do ensaio</w:t>
            </w:r>
          </w:p>
        </w:tc>
      </w:tr>
      <w:tr>
        <w:tc>
          <w:tcPr>
            <w:tcW w:type="dxa" w:w="2160"/>
          </w:tcPr>
          <w:p>
            <w:r>
              <w:t>D08</w:t>
            </w:r>
          </w:p>
        </w:tc>
        <w:tc>
          <w:tcPr>
            <w:tcW w:type="dxa" w:w="2160"/>
          </w:tcPr>
          <w:p>
            <w:r>
              <w:t>Instrumentação V/I/B/T</w:t>
            </w:r>
          </w:p>
        </w:tc>
        <w:tc>
          <w:tcPr>
            <w:tcW w:type="dxa" w:w="2160"/>
          </w:tcPr>
          <w:p>
            <w:r>
              <w:t>1 conjunto</w:t>
            </w:r>
          </w:p>
        </w:tc>
        <w:tc>
          <w:tcPr>
            <w:tcW w:type="dxa" w:w="2160"/>
          </w:tcPr>
          <w:p>
            <w:r>
              <w:t>Conforme pesquisa/requisitos_instrumentos.csv</w:t>
            </w:r>
          </w:p>
        </w:tc>
      </w:tr>
      <w:tr>
        <w:tc>
          <w:tcPr>
            <w:tcW w:type="dxa" w:w="2160"/>
          </w:tcPr>
          <w:p>
            <w:r>
              <w:t>D09</w:t>
            </w:r>
          </w:p>
        </w:tc>
        <w:tc>
          <w:tcPr>
            <w:tcW w:type="dxa" w:w="2160"/>
          </w:tcPr>
          <w:p>
            <w:r>
              <w:t>Placa de controle PI</w:t>
            </w:r>
          </w:p>
        </w:tc>
        <w:tc>
          <w:tcPr>
            <w:tcW w:type="dxa" w:w="2160"/>
          </w:tcPr>
          <w:p>
            <w:r>
              <w:t>1 proposta</w:t>
            </w:r>
          </w:p>
        </w:tc>
        <w:tc>
          <w:tcPr>
            <w:tcW w:type="dxa" w:w="2160"/>
          </w:tcPr>
          <w:p>
            <w:r>
              <w:t>ADC/DAC e fontes/driver com desempenho caracterizado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Projeto e cálculos • 12/10/2026 • sem ensaio físico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7DSOLV / NÚCLEO INTEGRAL /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