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  <w:bidi w:val="1"/>
      </w:pPr>
      <w:r>
        <w:rPr>
          <w:rFonts w:ascii="Noto Naskh Arabic" w:hAnsi="Noto Naskh Arabic" w:cs="Noto Naskh Arabic" w:eastAsia="Noto Naskh Arabic"/>
          <w:b/>
          <w:color w:val="16324F"/>
          <w:sz w:val="52"/>
        </w:rPr>
        <w:t>الأصوات المسموعة داخل المنصة</w:t>
      </w:r>
    </w:p>
    <w:p>
      <w:pPr>
        <w:jc w:val="center"/>
        <w:bidi w:val="1"/>
      </w:pPr>
      <w:r>
        <w:rPr>
          <w:rFonts w:ascii="Noto Naskh Arabic" w:hAnsi="Noto Naskh Arabic" w:cs="Noto Naskh Arabic" w:eastAsia="Noto Naskh Arabic"/>
          <w:b/>
          <w:color w:val="167D8D"/>
          <w:sz w:val="32"/>
        </w:rPr>
        <w:t>قائمة التسجيلات التي يستمع لها الطالب</w:t>
      </w:r>
    </w:p>
    <w:p>
      <w:pPr>
        <w:spacing w:before="360"/>
        <w:jc w:val="center"/>
        <w:bidi w:val="1"/>
      </w:pPr>
      <w:r>
        <w:rPr>
          <w:rFonts w:ascii="Noto Naskh Arabic" w:hAnsi="Noto Naskh Arabic" w:cs="Noto Naskh Arabic" w:eastAsia="Noto Naskh Arabic"/>
          <w:b w:val="0"/>
          <w:color w:val="5A6673"/>
          <w:sz w:val="26"/>
        </w:rPr>
        <w:t>المرجع التنظيمي: تخطيط وتحليل هِمّة</w:t>
      </w:r>
    </w:p>
    <w:p>
      <w:pPr>
        <w:jc w:val="center"/>
        <w:bidi w:val="1"/>
      </w:pPr>
      <w:r>
        <w:rPr>
          <w:rFonts w:ascii="Noto Naskh Arabic" w:hAnsi="Noto Naskh Arabic" w:cs="Noto Naskh Arabic" w:eastAsia="Noto Naskh Arabic"/>
          <w:b w:val="0"/>
          <w:color w:val="5A6673"/>
          <w:sz w:val="22"/>
        </w:rPr>
        <w:t>الإصدار 1.0 — 27 يوليو 2026</w:t>
      </w:r>
    </w:p>
    <w:p>
      <w:r>
        <w:br w:type="page"/>
      </w:r>
    </w:p>
    <w:p>
      <w:pPr>
        <w:pStyle w:val="Heading1"/>
        <w:bidi w:val="1"/>
        <w:spacing w:before="200" w:after="100"/>
        <w:jc w:val="right"/>
      </w:pPr>
      <w:r>
        <w:t>1. ملخص الاعتماد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6324F"/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/>
                <w:color w:val="FFFFFF"/>
                <w:sz w:val="22"/>
              </w:rPr>
              <w:t>البند</w:t>
            </w:r>
          </w:p>
        </w:tc>
        <w:tc>
          <w:tcPr>
            <w:tcW w:type="dxa" w:w="5156"/>
            <w:shd w:fill="16324F"/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/>
                <w:color w:val="FFFFFF"/>
                <w:sz w:val="22"/>
              </w:rPr>
              <w:t>القيمة المعتمدة / الحالة</w:t>
            </w:r>
          </w:p>
        </w:tc>
      </w:tr>
      <w:tr>
        <w:tc>
          <w:tcPr>
            <w:tcW w:type="dxa" w:w="5156"/>
            <w:vAlign w:val="center"/>
            <w:shd w:fill="EAF4F6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/>
                <w:color w:val="16324F"/>
                <w:sz w:val="22"/>
              </w:rPr>
              <w:t>إجمالي الملفات الصوتية</w:t>
            </w:r>
          </w:p>
        </w:tc>
        <w:tc>
          <w:tcPr>
            <w:tcW w:type="dxa" w:w="5156"/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 w:val="0"/>
                <w:sz w:val="22"/>
              </w:rPr>
              <w:t>60 ملفًا فريدًا</w:t>
            </w:r>
          </w:p>
        </w:tc>
      </w:tr>
      <w:tr>
        <w:tc>
          <w:tcPr>
            <w:tcW w:type="dxa" w:w="5156"/>
            <w:vAlign w:val="center"/>
            <w:shd w:fill="EAF4F6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/>
                <w:color w:val="16324F"/>
                <w:sz w:val="22"/>
              </w:rPr>
              <w:t>التعليمات الثابتة</w:t>
            </w:r>
          </w:p>
        </w:tc>
        <w:tc>
          <w:tcPr>
            <w:tcW w:type="dxa" w:w="5156"/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 w:val="0"/>
                <w:sz w:val="22"/>
              </w:rPr>
              <w:t>10</w:t>
            </w:r>
          </w:p>
        </w:tc>
      </w:tr>
      <w:tr>
        <w:tc>
          <w:tcPr>
            <w:tcW w:type="dxa" w:w="5156"/>
            <w:vAlign w:val="center"/>
            <w:shd w:fill="EAF4F6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/>
                <w:color w:val="16324F"/>
                <w:sz w:val="22"/>
              </w:rPr>
              <w:t>عبارات التشجيع</w:t>
            </w:r>
          </w:p>
        </w:tc>
        <w:tc>
          <w:tcPr>
            <w:tcW w:type="dxa" w:w="5156"/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 w:val="0"/>
                <w:sz w:val="22"/>
              </w:rPr>
              <w:t>4</w:t>
            </w:r>
          </w:p>
        </w:tc>
      </w:tr>
      <w:tr>
        <w:tc>
          <w:tcPr>
            <w:tcW w:type="dxa" w:w="5156"/>
            <w:vAlign w:val="center"/>
            <w:shd w:fill="EAF4F6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/>
                <w:color w:val="16324F"/>
                <w:sz w:val="22"/>
              </w:rPr>
              <w:t>أصوات الحروف</w:t>
            </w:r>
          </w:p>
        </w:tc>
        <w:tc>
          <w:tcPr>
            <w:tcW w:type="dxa" w:w="5156"/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 w:val="0"/>
                <w:sz w:val="22"/>
              </w:rPr>
              <w:t>6</w:t>
            </w:r>
          </w:p>
        </w:tc>
      </w:tr>
      <w:tr>
        <w:tc>
          <w:tcPr>
            <w:tcW w:type="dxa" w:w="5156"/>
            <w:vAlign w:val="center"/>
            <w:shd w:fill="EAF4F6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/>
                <w:color w:val="16324F"/>
                <w:sz w:val="22"/>
              </w:rPr>
              <w:t>المقاطع والحركات</w:t>
            </w:r>
          </w:p>
        </w:tc>
        <w:tc>
          <w:tcPr>
            <w:tcW w:type="dxa" w:w="5156"/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 w:val="0"/>
                <w:sz w:val="22"/>
              </w:rPr>
              <w:t>12</w:t>
            </w:r>
          </w:p>
        </w:tc>
      </w:tr>
      <w:tr>
        <w:tc>
          <w:tcPr>
            <w:tcW w:type="dxa" w:w="5156"/>
            <w:vAlign w:val="center"/>
            <w:shd w:fill="EAF4F6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/>
                <w:color w:val="16324F"/>
                <w:sz w:val="22"/>
              </w:rPr>
              <w:t>الكلمات المسموعة</w:t>
            </w:r>
          </w:p>
        </w:tc>
        <w:tc>
          <w:tcPr>
            <w:tcW w:type="dxa" w:w="5156"/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 w:val="0"/>
                <w:sz w:val="22"/>
              </w:rPr>
              <w:t>28</w:t>
            </w:r>
          </w:p>
        </w:tc>
      </w:tr>
      <w:tr>
        <w:tc>
          <w:tcPr>
            <w:tcW w:type="dxa" w:w="5156"/>
            <w:vAlign w:val="center"/>
            <w:shd w:fill="EAF4F6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/>
                <w:color w:val="16324F"/>
                <w:sz w:val="22"/>
              </w:rPr>
              <w:t>صيغة الملف المقترحة</w:t>
            </w:r>
          </w:p>
        </w:tc>
        <w:tc>
          <w:tcPr>
            <w:tcW w:type="dxa" w:w="5156"/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 w:val="0"/>
                <w:sz w:val="22"/>
              </w:rPr>
              <w:t>MP3 أو M4A بجودة واضحة، مع نسخة WAV أصلية عند التسجيل إن أمكن</w:t>
            </w:r>
          </w:p>
        </w:tc>
      </w:tr>
      <w:tr>
        <w:tc>
          <w:tcPr>
            <w:tcW w:type="dxa" w:w="5156"/>
            <w:vAlign w:val="center"/>
            <w:shd w:fill="EAF4F6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/>
                <w:color w:val="16324F"/>
                <w:sz w:val="22"/>
              </w:rPr>
              <w:t>أسلوب الصوت</w:t>
            </w:r>
          </w:p>
        </w:tc>
        <w:tc>
          <w:tcPr>
            <w:tcW w:type="dxa" w:w="5156"/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 w:val="0"/>
                <w:sz w:val="22"/>
              </w:rPr>
              <w:t>صوت عربي فصيح واضح، سرعة مناسبة للطفل، دون موسيقى خلفية أو مؤثرات مزعجة</w:t>
            </w:r>
          </w:p>
        </w:tc>
      </w:tr>
    </w:tbl>
    <w:p/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تسجل العناصر التالية كل عنصر في ملف منفصل. يفضل استخدام اسم ملف رقمي ثابت حتى لا تتغير الروابط عند تحديث الصوت.</w:t>
      </w:r>
    </w:p>
    <w:p>
      <w:pPr>
        <w:pStyle w:val="Heading1"/>
        <w:bidi w:val="1"/>
        <w:spacing w:before="200" w:after="100"/>
        <w:jc w:val="right"/>
      </w:pPr>
      <w:r>
        <w:t>2. التعليمات الثابتة — 10 ملفات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01. استمع ثم اختر الحرف الصحيح.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02. استمع ثم اختر الكلمة الصحيحة.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03. اختر الصورة التي تبدأ بالصوت المطلوب.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04. اختر الحرف الأول في الكلمة.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05. اختر الحرف الأخير في الكلمة.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06. اضغط على الصور بحسب ترتيبها.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07. اضغط على الحروف لتكوين الكلمة.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08. اضغط على الكلمات بحسب ترتيب الجملة.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09. اضغط على زر التسجيل ثم اقرأ.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10. اختر الإجابة الصحيحة.</w:t>
      </w:r>
    </w:p>
    <w:p>
      <w:pPr>
        <w:pStyle w:val="Heading1"/>
        <w:bidi w:val="1"/>
        <w:spacing w:before="200" w:after="100"/>
        <w:jc w:val="right"/>
      </w:pPr>
      <w:r>
        <w:t>3. عبارات التشجيع — 4 ملفات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11. أحسنت.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12. إجابة صحيحة.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13. حاول مرة أخرى.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14. أكملت النشاط بنجاح.</w:t>
      </w:r>
    </w:p>
    <w:p>
      <w:pPr>
        <w:pStyle w:val="Heading1"/>
        <w:bidi w:val="1"/>
        <w:spacing w:before="200" w:after="100"/>
        <w:jc w:val="right"/>
      </w:pPr>
      <w:r>
        <w:t>4. أصوات الحروف — 6 ملفات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15. م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16. ب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17. س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18. ق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19. ر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20. ن</w:t>
      </w:r>
    </w:p>
    <w:p>
      <w:pPr>
        <w:pStyle w:val="Heading1"/>
        <w:bidi w:val="1"/>
        <w:spacing w:before="200" w:after="100"/>
        <w:jc w:val="right"/>
      </w:pPr>
      <w:r>
        <w:t>5. المقاطع والحركات — 12 ملفًا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21. بَ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22. بِ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23. بُ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24. مَا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25. مِ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26. سُ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27. رَ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28. قِ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29. بَا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30. فِي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31. نُو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32. لِي</w:t>
      </w:r>
    </w:p>
    <w:p>
      <w:pPr>
        <w:pStyle w:val="Heading1"/>
        <w:bidi w:val="1"/>
        <w:spacing w:before="200" w:after="100"/>
        <w:jc w:val="right"/>
      </w:pPr>
      <w:r>
        <w:t>6. الكلمات المسموعة — 28 ملفًا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33. موزة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34. كتاب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35. باب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36. قلم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37. سمك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38. سمكة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39. شمس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40. قمر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41. نخلة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42. كرة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43. ماء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44. بطة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45. سيارة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46. نجم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47. نور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48. مكتب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49. بحر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50. أرنب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51. بيت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52. طفل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53. وردة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54. سوق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55. فيل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56. قَلَمٌ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57. كِتَابًا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58. بَيْتٍ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59. طِفْلٌ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60. وَرْدَةً</w:t>
      </w:r>
    </w:p>
    <w:p>
      <w:pPr>
        <w:pStyle w:val="Heading1"/>
        <w:bidi w:val="1"/>
        <w:spacing w:before="200" w:after="100"/>
        <w:jc w:val="right"/>
      </w:pPr>
      <w:r>
        <w:t>7. مواصفات التسجيل والتسمية</w:t>
      </w:r>
    </w:p>
    <w:p>
      <w:pPr>
        <w:pStyle w:val="ListBullet"/>
        <w:bidi w:val="1"/>
        <w:spacing w:after="40"/>
        <w:ind w:left="170" w:right="170"/>
        <w:jc w:val="right"/>
      </w:pPr>
      <w:r>
        <w:rPr>
          <w:rFonts w:ascii="Noto Naskh Arabic" w:hAnsi="Noto Naskh Arabic" w:cs="Noto Naskh Arabic" w:eastAsia="Noto Naskh Arabic"/>
          <w:sz w:val="24"/>
        </w:rPr>
        <w:t>كل ملف يحتوي على النص المطلوب فقط، دون قول رقم السؤال أو شرح إضافي.</w:t>
      </w:r>
    </w:p>
    <w:p>
      <w:pPr>
        <w:pStyle w:val="ListBullet"/>
        <w:bidi w:val="1"/>
        <w:spacing w:after="40"/>
        <w:ind w:left="170" w:right="170"/>
        <w:jc w:val="right"/>
      </w:pPr>
      <w:r>
        <w:rPr>
          <w:rFonts w:ascii="Noto Naskh Arabic" w:hAnsi="Noto Naskh Arabic" w:cs="Noto Naskh Arabic" w:eastAsia="Noto Naskh Arabic"/>
          <w:sz w:val="24"/>
        </w:rPr>
        <w:t>يترك نصف ثانية صمت تقريبًا في بداية الملف ونهايته، ولا تترك فواصل طويلة داخل الكلمة.</w:t>
      </w:r>
    </w:p>
    <w:p>
      <w:pPr>
        <w:pStyle w:val="ListBullet"/>
        <w:bidi w:val="1"/>
        <w:spacing w:after="40"/>
        <w:ind w:left="170" w:right="170"/>
        <w:jc w:val="right"/>
      </w:pPr>
      <w:r>
        <w:rPr>
          <w:rFonts w:ascii="Noto Naskh Arabic" w:hAnsi="Noto Naskh Arabic" w:cs="Noto Naskh Arabic" w:eastAsia="Noto Naskh Arabic"/>
          <w:sz w:val="24"/>
        </w:rPr>
        <w:t>تسجل الكلمات بالتشكيل والنطق الفصيح المعتمد، خصوصًا التنوين والمد والشدة.</w:t>
      </w:r>
    </w:p>
    <w:p>
      <w:pPr>
        <w:pStyle w:val="ListBullet"/>
        <w:bidi w:val="1"/>
        <w:spacing w:after="40"/>
        <w:ind w:left="170" w:right="170"/>
        <w:jc w:val="right"/>
      </w:pPr>
      <w:r>
        <w:rPr>
          <w:rFonts w:ascii="Noto Naskh Arabic" w:hAnsi="Noto Naskh Arabic" w:cs="Noto Naskh Arabic" w:eastAsia="Noto Naskh Arabic"/>
          <w:sz w:val="24"/>
        </w:rPr>
        <w:t>التعليمات تسجل بنبرة ودودة ثابتة، والتشجيع بنبرة إيجابية غير مبالغ فيها.</w:t>
      </w:r>
    </w:p>
    <w:p>
      <w:pPr>
        <w:pStyle w:val="ListBullet"/>
        <w:bidi w:val="1"/>
        <w:spacing w:after="40"/>
        <w:ind w:left="170" w:right="170"/>
        <w:jc w:val="right"/>
      </w:pPr>
      <w:r>
        <w:rPr>
          <w:rFonts w:ascii="Noto Naskh Arabic" w:hAnsi="Noto Naskh Arabic" w:cs="Noto Naskh Arabic" w:eastAsia="Noto Naskh Arabic"/>
          <w:sz w:val="24"/>
        </w:rPr>
        <w:t>مثال أسماء الملفات: HEM-AUD-001.mp3 إلى HEM-AUD-060.mp3، مع جدول يربط الرقم بالنص.</w:t>
      </w:r>
    </w:p>
    <w:p>
      <w:pPr>
        <w:pStyle w:val="ListBullet"/>
        <w:bidi w:val="1"/>
        <w:spacing w:after="40"/>
        <w:ind w:left="170" w:right="170"/>
        <w:jc w:val="right"/>
      </w:pPr>
      <w:r>
        <w:rPr>
          <w:rFonts w:ascii="Noto Naskh Arabic" w:hAnsi="Noto Naskh Arabic" w:cs="Noto Naskh Arabic" w:eastAsia="Noto Naskh Arabic"/>
          <w:sz w:val="24"/>
        </w:rPr>
        <w:t>عند استبدال ملف يحتفظ بالرقم نفسه حتى لا تتغير برمجة النشاط.</w:t>
      </w:r>
    </w:p>
    <w:sectPr w:rsidR="00FC693F" w:rsidRPr="0006063C" w:rsidSect="00034616">
      <w:footerReference w:type="default" r:id="rId9"/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Noto Naskh Arabic" w:hAnsi="Noto Naskh Arabic" w:cs="Noto Naskh Arabic" w:eastAsia="Noto Naskh Arabic"/>
        <w:b w:val="0"/>
        <w:color w:val="5A6673"/>
        <w:sz w:val="18"/>
      </w:rPr>
      <w:t>تخطيط وتحليل هِمّة — ملف الأصوات المسموعة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Naskh Arabic" w:hAnsi="Noto Naskh Arabic" w:cs="Noto Naskh Arab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Naskh Arabic" w:hAnsi="Noto Naskh Arabic" w:cs="Noto Naskh Arabic"/>
      <w:b/>
      <w:bCs/>
      <w:color w:val="16324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Naskh Arabic" w:hAnsi="Noto Naskh Arabic" w:cs="Noto Naskh Arabic"/>
      <w:b/>
      <w:bCs/>
      <w:color w:val="167D8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Naskh Arabic" w:hAnsi="Noto Naskh Arabic" w:cs="Noto Naskh Arabic"/>
      <w:b/>
      <w:bCs/>
      <w:color w:val="16324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Naskh Arabic" w:hAnsi="Noto Naskh Arabic" w:cs="Noto Naskh Arabic"/>
      <w:b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