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500"/>
        <w:jc w:val="center"/>
        <w:bidi w:val="1"/>
      </w:pPr>
      <w:r>
        <w:rPr>
          <w:rFonts w:ascii="Noto Naskh Arabic" w:hAnsi="Noto Naskh Arabic" w:cs="Noto Naskh Arabic" w:eastAsia="Noto Naskh Arabic"/>
          <w:b/>
          <w:color w:val="16324F"/>
          <w:sz w:val="52"/>
        </w:rPr>
        <w:t>قائمة الصور والرسومات المطلوبة</w:t>
      </w:r>
    </w:p>
    <w:p>
      <w:pPr>
        <w:jc w:val="center"/>
        <w:bidi w:val="1"/>
      </w:pPr>
      <w:r>
        <w:rPr>
          <w:rFonts w:ascii="Noto Naskh Arabic" w:hAnsi="Noto Naskh Arabic" w:cs="Noto Naskh Arabic" w:eastAsia="Noto Naskh Arabic"/>
          <w:b/>
          <w:color w:val="167D8D"/>
          <w:sz w:val="32"/>
        </w:rPr>
        <w:t>الأصول البصرية لمنصة هِمّة</w:t>
      </w:r>
    </w:p>
    <w:p>
      <w:pPr>
        <w:spacing w:before="360"/>
        <w:jc w:val="center"/>
        <w:bidi w:val="1"/>
      </w:pPr>
      <w:r>
        <w:rPr>
          <w:rFonts w:ascii="Noto Naskh Arabic" w:hAnsi="Noto Naskh Arabic" w:cs="Noto Naskh Arabic" w:eastAsia="Noto Naskh Arabic"/>
          <w:b w:val="0"/>
          <w:color w:val="5A6673"/>
          <w:sz w:val="26"/>
        </w:rPr>
        <w:t>المرجع التنظيمي: تخطيط وتحليل هِمّة</w:t>
      </w:r>
    </w:p>
    <w:p>
      <w:pPr>
        <w:jc w:val="center"/>
        <w:bidi w:val="1"/>
      </w:pPr>
      <w:r>
        <w:rPr>
          <w:rFonts w:ascii="Noto Naskh Arabic" w:hAnsi="Noto Naskh Arabic" w:cs="Noto Naskh Arabic" w:eastAsia="Noto Naskh Arabic"/>
          <w:b w:val="0"/>
          <w:color w:val="5A6673"/>
          <w:sz w:val="22"/>
        </w:rPr>
        <w:t>الإصدار 1.0 — 27 يوليو 2026</w:t>
      </w:r>
    </w:p>
    <w:p>
      <w:r>
        <w:br w:type="page"/>
      </w:r>
    </w:p>
    <w:p>
      <w:pPr>
        <w:pStyle w:val="Heading1"/>
        <w:bidi w:val="1"/>
        <w:spacing w:before="200" w:after="100"/>
        <w:jc w:val="right"/>
      </w:pPr>
      <w:r>
        <w:t>1. ملخص الاعتماد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16324F"/>
            <w:vAlign w:val="center"/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 w:eastAsia="Noto Naskh Arabic"/>
                <w:b/>
                <w:color w:val="FFFFFF"/>
                <w:sz w:val="22"/>
              </w:rPr>
              <w:t>البند</w:t>
            </w:r>
          </w:p>
        </w:tc>
        <w:tc>
          <w:tcPr>
            <w:tcW w:type="dxa" w:w="5156"/>
            <w:shd w:fill="16324F"/>
            <w:vAlign w:val="center"/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 w:eastAsia="Noto Naskh Arabic"/>
                <w:b/>
                <w:color w:val="FFFFFF"/>
                <w:sz w:val="22"/>
              </w:rPr>
              <w:t>القيمة المعتمدة / الحالة</w:t>
            </w:r>
          </w:p>
        </w:tc>
      </w:tr>
      <w:tr>
        <w:tc>
          <w:tcPr>
            <w:tcW w:type="dxa" w:w="5156"/>
            <w:vAlign w:val="center"/>
            <w:shd w:fill="EAF4F6"/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 w:eastAsia="Noto Naskh Arabic"/>
                <w:b/>
                <w:color w:val="16324F"/>
                <w:sz w:val="22"/>
              </w:rPr>
              <w:t>إجمالي الصور والرسومات</w:t>
            </w:r>
          </w:p>
        </w:tc>
        <w:tc>
          <w:tcPr>
            <w:tcW w:type="dxa" w:w="5156"/>
            <w:vAlign w:val="center"/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 w:eastAsia="Noto Naskh Arabic"/>
                <w:b w:val="0"/>
                <w:sz w:val="22"/>
              </w:rPr>
              <w:t>76 أصلًا بصريًا</w:t>
            </w:r>
          </w:p>
        </w:tc>
      </w:tr>
      <w:tr>
        <w:tc>
          <w:tcPr>
            <w:tcW w:type="dxa" w:w="5156"/>
            <w:vAlign w:val="center"/>
            <w:shd w:fill="EAF4F6"/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 w:eastAsia="Noto Naskh Arabic"/>
                <w:b/>
                <w:color w:val="16324F"/>
                <w:sz w:val="22"/>
              </w:rPr>
              <w:t>صور المفردات</w:t>
            </w:r>
          </w:p>
        </w:tc>
        <w:tc>
          <w:tcPr>
            <w:tcW w:type="dxa" w:w="5156"/>
            <w:vAlign w:val="center"/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 w:eastAsia="Noto Naskh Arabic"/>
                <w:b w:val="0"/>
                <w:sz w:val="22"/>
              </w:rPr>
              <w:t>35</w:t>
            </w:r>
          </w:p>
        </w:tc>
      </w:tr>
      <w:tr>
        <w:tc>
          <w:tcPr>
            <w:tcW w:type="dxa" w:w="5156"/>
            <w:vAlign w:val="center"/>
            <w:shd w:fill="EAF4F6"/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 w:eastAsia="Noto Naskh Arabic"/>
                <w:b/>
                <w:color w:val="16324F"/>
                <w:sz w:val="22"/>
              </w:rPr>
              <w:t>صور شرح الجمل</w:t>
            </w:r>
          </w:p>
        </w:tc>
        <w:tc>
          <w:tcPr>
            <w:tcW w:type="dxa" w:w="5156"/>
            <w:vAlign w:val="center"/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 w:eastAsia="Noto Naskh Arabic"/>
                <w:b w:val="0"/>
                <w:sz w:val="22"/>
              </w:rPr>
              <w:t>10</w:t>
            </w:r>
          </w:p>
        </w:tc>
      </w:tr>
      <w:tr>
        <w:tc>
          <w:tcPr>
            <w:tcW w:type="dxa" w:w="5156"/>
            <w:vAlign w:val="center"/>
            <w:shd w:fill="EAF4F6"/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 w:eastAsia="Noto Naskh Arabic"/>
                <w:b/>
                <w:color w:val="16324F"/>
                <w:sz w:val="22"/>
              </w:rPr>
              <w:t>صور التسلسل</w:t>
            </w:r>
          </w:p>
        </w:tc>
        <w:tc>
          <w:tcPr>
            <w:tcW w:type="dxa" w:w="5156"/>
            <w:vAlign w:val="center"/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 w:eastAsia="Noto Naskh Arabic"/>
                <w:b w:val="0"/>
                <w:sz w:val="22"/>
              </w:rPr>
              <w:t>9</w:t>
            </w:r>
          </w:p>
        </w:tc>
      </w:tr>
      <w:tr>
        <w:tc>
          <w:tcPr>
            <w:tcW w:type="dxa" w:w="5156"/>
            <w:vAlign w:val="center"/>
            <w:shd w:fill="EAF4F6"/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 w:eastAsia="Noto Naskh Arabic"/>
                <w:b/>
                <w:color w:val="16324F"/>
                <w:sz w:val="22"/>
              </w:rPr>
              <w:t>صور النصوص والقصص</w:t>
            </w:r>
          </w:p>
        </w:tc>
        <w:tc>
          <w:tcPr>
            <w:tcW w:type="dxa" w:w="5156"/>
            <w:vAlign w:val="center"/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 w:eastAsia="Noto Naskh Arabic"/>
                <w:b w:val="0"/>
                <w:sz w:val="22"/>
              </w:rPr>
              <w:t>6</w:t>
            </w:r>
          </w:p>
        </w:tc>
      </w:tr>
      <w:tr>
        <w:tc>
          <w:tcPr>
            <w:tcW w:type="dxa" w:w="5156"/>
            <w:vAlign w:val="center"/>
            <w:shd w:fill="EAF4F6"/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 w:eastAsia="Noto Naskh Arabic"/>
                <w:b/>
                <w:color w:val="16324F"/>
                <w:sz w:val="22"/>
              </w:rPr>
              <w:t>وضعيات الشخصيات المرافقة</w:t>
            </w:r>
          </w:p>
        </w:tc>
        <w:tc>
          <w:tcPr>
            <w:tcW w:type="dxa" w:w="5156"/>
            <w:vAlign w:val="center"/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 w:eastAsia="Noto Naskh Arabic"/>
                <w:b w:val="0"/>
                <w:sz w:val="22"/>
              </w:rPr>
              <w:t>10</w:t>
            </w:r>
          </w:p>
        </w:tc>
      </w:tr>
      <w:tr>
        <w:tc>
          <w:tcPr>
            <w:tcW w:type="dxa" w:w="5156"/>
            <w:vAlign w:val="center"/>
            <w:shd w:fill="EAF4F6"/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 w:eastAsia="Noto Naskh Arabic"/>
                <w:b/>
                <w:color w:val="16324F"/>
                <w:sz w:val="22"/>
              </w:rPr>
              <w:t>الشارات والمكافآت</w:t>
            </w:r>
          </w:p>
        </w:tc>
        <w:tc>
          <w:tcPr>
            <w:tcW w:type="dxa" w:w="5156"/>
            <w:vAlign w:val="center"/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 w:eastAsia="Noto Naskh Arabic"/>
                <w:b w:val="0"/>
                <w:sz w:val="22"/>
              </w:rPr>
              <w:t>6</w:t>
            </w:r>
          </w:p>
        </w:tc>
      </w:tr>
      <w:tr>
        <w:tc>
          <w:tcPr>
            <w:tcW w:type="dxa" w:w="5156"/>
            <w:vAlign w:val="center"/>
            <w:shd w:fill="EAF4F6"/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 w:eastAsia="Noto Naskh Arabic"/>
                <w:b/>
                <w:color w:val="16324F"/>
                <w:sz w:val="22"/>
              </w:rPr>
              <w:t>الأسلوب</w:t>
            </w:r>
          </w:p>
        </w:tc>
        <w:tc>
          <w:tcPr>
            <w:tcW w:type="dxa" w:w="5156"/>
            <w:vAlign w:val="center"/>
          </w:tcPr>
          <w:p>
            <w:pPr>
              <w:bidi w:val="1"/>
              <w:jc w:val="right"/>
            </w:pPr>
            <w:r>
              <w:rPr>
                <w:rFonts w:ascii="Noto Naskh Arabic" w:hAnsi="Noto Naskh Arabic" w:cs="Noto Naskh Arabic" w:eastAsia="Noto Naskh Arabic"/>
                <w:b w:val="0"/>
                <w:sz w:val="22"/>
              </w:rPr>
              <w:t>رسوم كرتونية تعليمية موحدة، واضحة، بسيطة، ملائمة للأطفال، دون تفاصيل مشتتة</w:t>
            </w:r>
          </w:p>
        </w:tc>
      </w:tr>
    </w:tbl>
    <w:p/>
    <w:p>
      <w:pPr>
        <w:bidi w:val="1"/>
        <w:spacing w:after="80" w:line="276" w:lineRule="auto"/>
        <w:jc w:val="right"/>
      </w:pPr>
      <w:r>
        <w:rPr>
          <w:rFonts w:ascii="Noto Naskh Arabic" w:hAnsi="Noto Naskh Arabic" w:cs="Noto Naskh Arabic" w:eastAsia="Noto Naskh Arabic"/>
          <w:b w:val="0"/>
          <w:sz w:val="24"/>
        </w:rPr>
        <w:t>تستخدم الصور لتسهيل الفهم وجعل المنصة ممتعة، لكن الحروف والكلمات والجمل تبقى نصوصًا حقيقية قابلة للتكبير والتعديل. لا تحول النصوص إلى صور.</w:t>
      </w:r>
    </w:p>
    <w:p>
      <w:pPr>
        <w:pStyle w:val="Heading1"/>
        <w:bidi w:val="1"/>
        <w:spacing w:before="200" w:after="100"/>
        <w:jc w:val="right"/>
      </w:pPr>
      <w:r>
        <w:t>2. صور المفردات الأساسية — 35 صورة</w:t>
      </w:r>
    </w:p>
    <w:p>
      <w:pPr>
        <w:bidi w:val="1"/>
        <w:spacing w:after="80" w:line="276" w:lineRule="auto"/>
        <w:jc w:val="right"/>
      </w:pPr>
      <w:r>
        <w:rPr>
          <w:rFonts w:ascii="Noto Naskh Arabic" w:hAnsi="Noto Naskh Arabic" w:cs="Noto Naskh Arabic" w:eastAsia="Noto Naskh Arabic"/>
          <w:b w:val="0"/>
          <w:sz w:val="24"/>
        </w:rPr>
        <w:t>01. موزة</w:t>
      </w:r>
    </w:p>
    <w:p>
      <w:pPr>
        <w:bidi w:val="1"/>
        <w:spacing w:after="80" w:line="276" w:lineRule="auto"/>
        <w:jc w:val="right"/>
      </w:pPr>
      <w:r>
        <w:rPr>
          <w:rFonts w:ascii="Noto Naskh Arabic" w:hAnsi="Noto Naskh Arabic" w:cs="Noto Naskh Arabic" w:eastAsia="Noto Naskh Arabic"/>
          <w:b w:val="0"/>
          <w:sz w:val="24"/>
        </w:rPr>
        <w:t>02. كتاب</w:t>
      </w:r>
    </w:p>
    <w:p>
      <w:pPr>
        <w:bidi w:val="1"/>
        <w:spacing w:after="80" w:line="276" w:lineRule="auto"/>
        <w:jc w:val="right"/>
      </w:pPr>
      <w:r>
        <w:rPr>
          <w:rFonts w:ascii="Noto Naskh Arabic" w:hAnsi="Noto Naskh Arabic" w:cs="Noto Naskh Arabic" w:eastAsia="Noto Naskh Arabic"/>
          <w:b w:val="0"/>
          <w:sz w:val="24"/>
        </w:rPr>
        <w:t>03. باب</w:t>
      </w:r>
    </w:p>
    <w:p>
      <w:pPr>
        <w:bidi w:val="1"/>
        <w:spacing w:after="80" w:line="276" w:lineRule="auto"/>
        <w:jc w:val="right"/>
      </w:pPr>
      <w:r>
        <w:rPr>
          <w:rFonts w:ascii="Noto Naskh Arabic" w:hAnsi="Noto Naskh Arabic" w:cs="Noto Naskh Arabic" w:eastAsia="Noto Naskh Arabic"/>
          <w:b w:val="0"/>
          <w:sz w:val="24"/>
        </w:rPr>
        <w:t>04. قلم</w:t>
      </w:r>
    </w:p>
    <w:p>
      <w:pPr>
        <w:bidi w:val="1"/>
        <w:spacing w:after="80" w:line="276" w:lineRule="auto"/>
        <w:jc w:val="right"/>
      </w:pPr>
      <w:r>
        <w:rPr>
          <w:rFonts w:ascii="Noto Naskh Arabic" w:hAnsi="Noto Naskh Arabic" w:cs="Noto Naskh Arabic" w:eastAsia="Noto Naskh Arabic"/>
          <w:b w:val="0"/>
          <w:sz w:val="24"/>
        </w:rPr>
        <w:t>05. سمكة</w:t>
      </w:r>
    </w:p>
    <w:p>
      <w:pPr>
        <w:bidi w:val="1"/>
        <w:spacing w:after="80" w:line="276" w:lineRule="auto"/>
        <w:jc w:val="right"/>
      </w:pPr>
      <w:r>
        <w:rPr>
          <w:rFonts w:ascii="Noto Naskh Arabic" w:hAnsi="Noto Naskh Arabic" w:cs="Noto Naskh Arabic" w:eastAsia="Noto Naskh Arabic"/>
          <w:b w:val="0"/>
          <w:sz w:val="24"/>
        </w:rPr>
        <w:t>06. شمس</w:t>
      </w:r>
    </w:p>
    <w:p>
      <w:pPr>
        <w:bidi w:val="1"/>
        <w:spacing w:after="80" w:line="276" w:lineRule="auto"/>
        <w:jc w:val="right"/>
      </w:pPr>
      <w:r>
        <w:rPr>
          <w:rFonts w:ascii="Noto Naskh Arabic" w:hAnsi="Noto Naskh Arabic" w:cs="Noto Naskh Arabic" w:eastAsia="Noto Naskh Arabic"/>
          <w:b w:val="0"/>
          <w:sz w:val="24"/>
        </w:rPr>
        <w:t>07. قمر</w:t>
      </w:r>
    </w:p>
    <w:p>
      <w:pPr>
        <w:bidi w:val="1"/>
        <w:spacing w:after="80" w:line="276" w:lineRule="auto"/>
        <w:jc w:val="right"/>
      </w:pPr>
      <w:r>
        <w:rPr>
          <w:rFonts w:ascii="Noto Naskh Arabic" w:hAnsi="Noto Naskh Arabic" w:cs="Noto Naskh Arabic" w:eastAsia="Noto Naskh Arabic"/>
          <w:b w:val="0"/>
          <w:sz w:val="24"/>
        </w:rPr>
        <w:t>08. شجرة</w:t>
      </w:r>
    </w:p>
    <w:p>
      <w:pPr>
        <w:bidi w:val="1"/>
        <w:spacing w:after="80" w:line="276" w:lineRule="auto"/>
        <w:jc w:val="right"/>
      </w:pPr>
      <w:r>
        <w:rPr>
          <w:rFonts w:ascii="Noto Naskh Arabic" w:hAnsi="Noto Naskh Arabic" w:cs="Noto Naskh Arabic" w:eastAsia="Noto Naskh Arabic"/>
          <w:b w:val="0"/>
          <w:sz w:val="24"/>
        </w:rPr>
        <w:t>09. نخلة</w:t>
      </w:r>
    </w:p>
    <w:p>
      <w:pPr>
        <w:bidi w:val="1"/>
        <w:spacing w:after="80" w:line="276" w:lineRule="auto"/>
        <w:jc w:val="right"/>
      </w:pPr>
      <w:r>
        <w:rPr>
          <w:rFonts w:ascii="Noto Naskh Arabic" w:hAnsi="Noto Naskh Arabic" w:cs="Noto Naskh Arabic" w:eastAsia="Noto Naskh Arabic"/>
          <w:b w:val="0"/>
          <w:sz w:val="24"/>
        </w:rPr>
        <w:t>10. كرة</w:t>
      </w:r>
    </w:p>
    <w:p>
      <w:pPr>
        <w:bidi w:val="1"/>
        <w:spacing w:after="80" w:line="276" w:lineRule="auto"/>
        <w:jc w:val="right"/>
      </w:pPr>
      <w:r>
        <w:rPr>
          <w:rFonts w:ascii="Noto Naskh Arabic" w:hAnsi="Noto Naskh Arabic" w:cs="Noto Naskh Arabic" w:eastAsia="Noto Naskh Arabic"/>
          <w:b w:val="0"/>
          <w:sz w:val="24"/>
        </w:rPr>
        <w:t>11. كوب ماء</w:t>
      </w:r>
    </w:p>
    <w:p>
      <w:pPr>
        <w:bidi w:val="1"/>
        <w:spacing w:after="80" w:line="276" w:lineRule="auto"/>
        <w:jc w:val="right"/>
      </w:pPr>
      <w:r>
        <w:rPr>
          <w:rFonts w:ascii="Noto Naskh Arabic" w:hAnsi="Noto Naskh Arabic" w:cs="Noto Naskh Arabic" w:eastAsia="Noto Naskh Arabic"/>
          <w:b w:val="0"/>
          <w:sz w:val="24"/>
        </w:rPr>
        <w:t>12. بطة</w:t>
      </w:r>
    </w:p>
    <w:p>
      <w:pPr>
        <w:bidi w:val="1"/>
        <w:spacing w:after="80" w:line="276" w:lineRule="auto"/>
        <w:jc w:val="right"/>
      </w:pPr>
      <w:r>
        <w:rPr>
          <w:rFonts w:ascii="Noto Naskh Arabic" w:hAnsi="Noto Naskh Arabic" w:cs="Noto Naskh Arabic" w:eastAsia="Noto Naskh Arabic"/>
          <w:b w:val="0"/>
          <w:sz w:val="24"/>
        </w:rPr>
        <w:t>13. سيارة</w:t>
      </w:r>
    </w:p>
    <w:p>
      <w:pPr>
        <w:bidi w:val="1"/>
        <w:spacing w:after="80" w:line="276" w:lineRule="auto"/>
        <w:jc w:val="right"/>
      </w:pPr>
      <w:r>
        <w:rPr>
          <w:rFonts w:ascii="Noto Naskh Arabic" w:hAnsi="Noto Naskh Arabic" w:cs="Noto Naskh Arabic" w:eastAsia="Noto Naskh Arabic"/>
          <w:b w:val="0"/>
          <w:sz w:val="24"/>
        </w:rPr>
        <w:t>14. نجم</w:t>
      </w:r>
    </w:p>
    <w:p>
      <w:pPr>
        <w:bidi w:val="1"/>
        <w:spacing w:after="80" w:line="276" w:lineRule="auto"/>
        <w:jc w:val="right"/>
      </w:pPr>
      <w:r>
        <w:rPr>
          <w:rFonts w:ascii="Noto Naskh Arabic" w:hAnsi="Noto Naskh Arabic" w:cs="Noto Naskh Arabic" w:eastAsia="Noto Naskh Arabic"/>
          <w:b w:val="0"/>
          <w:sz w:val="24"/>
        </w:rPr>
        <w:t>15. مصباح أو ضوء للدلالة على نور</w:t>
      </w:r>
    </w:p>
    <w:p>
      <w:pPr>
        <w:bidi w:val="1"/>
        <w:spacing w:after="80" w:line="276" w:lineRule="auto"/>
        <w:jc w:val="right"/>
      </w:pPr>
      <w:r>
        <w:rPr>
          <w:rFonts w:ascii="Noto Naskh Arabic" w:hAnsi="Noto Naskh Arabic" w:cs="Noto Naskh Arabic" w:eastAsia="Noto Naskh Arabic"/>
          <w:b w:val="0"/>
          <w:sz w:val="24"/>
        </w:rPr>
        <w:t>16. قطة</w:t>
      </w:r>
    </w:p>
    <w:p>
      <w:pPr>
        <w:bidi w:val="1"/>
        <w:spacing w:after="80" w:line="276" w:lineRule="auto"/>
        <w:jc w:val="right"/>
      </w:pPr>
      <w:r>
        <w:rPr>
          <w:rFonts w:ascii="Noto Naskh Arabic" w:hAnsi="Noto Naskh Arabic" w:cs="Noto Naskh Arabic" w:eastAsia="Noto Naskh Arabic"/>
          <w:b w:val="0"/>
          <w:sz w:val="24"/>
        </w:rPr>
        <w:t>17. حقيبة</w:t>
      </w:r>
    </w:p>
    <w:p>
      <w:pPr>
        <w:bidi w:val="1"/>
        <w:spacing w:after="80" w:line="276" w:lineRule="auto"/>
        <w:jc w:val="right"/>
      </w:pPr>
      <w:r>
        <w:rPr>
          <w:rFonts w:ascii="Noto Naskh Arabic" w:hAnsi="Noto Naskh Arabic" w:cs="Noto Naskh Arabic" w:eastAsia="Noto Naskh Arabic"/>
          <w:b w:val="0"/>
          <w:sz w:val="24"/>
        </w:rPr>
        <w:t>18. مدرسة</w:t>
      </w:r>
    </w:p>
    <w:p>
      <w:pPr>
        <w:bidi w:val="1"/>
        <w:spacing w:after="80" w:line="276" w:lineRule="auto"/>
        <w:jc w:val="right"/>
      </w:pPr>
      <w:r>
        <w:rPr>
          <w:rFonts w:ascii="Noto Naskh Arabic" w:hAnsi="Noto Naskh Arabic" w:cs="Noto Naskh Arabic" w:eastAsia="Noto Naskh Arabic"/>
          <w:b w:val="0"/>
          <w:sz w:val="24"/>
        </w:rPr>
        <w:t>19. معلم</w:t>
      </w:r>
    </w:p>
    <w:p>
      <w:pPr>
        <w:bidi w:val="1"/>
        <w:spacing w:after="80" w:line="276" w:lineRule="auto"/>
        <w:jc w:val="right"/>
      </w:pPr>
      <w:r>
        <w:rPr>
          <w:rFonts w:ascii="Noto Naskh Arabic" w:hAnsi="Noto Naskh Arabic" w:cs="Noto Naskh Arabic" w:eastAsia="Noto Naskh Arabic"/>
          <w:b w:val="0"/>
          <w:sz w:val="24"/>
        </w:rPr>
        <w:t>20. عصفور</w:t>
      </w:r>
    </w:p>
    <w:p>
      <w:pPr>
        <w:bidi w:val="1"/>
        <w:spacing w:after="80" w:line="276" w:lineRule="auto"/>
        <w:jc w:val="right"/>
      </w:pPr>
      <w:r>
        <w:rPr>
          <w:rFonts w:ascii="Noto Naskh Arabic" w:hAnsi="Noto Naskh Arabic" w:cs="Noto Naskh Arabic" w:eastAsia="Noto Naskh Arabic"/>
          <w:b w:val="0"/>
          <w:sz w:val="24"/>
        </w:rPr>
        <w:t>21. حديقة</w:t>
      </w:r>
    </w:p>
    <w:p>
      <w:pPr>
        <w:bidi w:val="1"/>
        <w:spacing w:after="80" w:line="276" w:lineRule="auto"/>
        <w:jc w:val="right"/>
      </w:pPr>
      <w:r>
        <w:rPr>
          <w:rFonts w:ascii="Noto Naskh Arabic" w:hAnsi="Noto Naskh Arabic" w:cs="Noto Naskh Arabic" w:eastAsia="Noto Naskh Arabic"/>
          <w:b w:val="0"/>
          <w:sz w:val="24"/>
        </w:rPr>
        <w:t>22. مكتبة</w:t>
      </w:r>
    </w:p>
    <w:p>
      <w:pPr>
        <w:bidi w:val="1"/>
        <w:spacing w:after="80" w:line="276" w:lineRule="auto"/>
        <w:jc w:val="right"/>
      </w:pPr>
      <w:r>
        <w:rPr>
          <w:rFonts w:ascii="Noto Naskh Arabic" w:hAnsi="Noto Naskh Arabic" w:cs="Noto Naskh Arabic" w:eastAsia="Noto Naskh Arabic"/>
          <w:b w:val="0"/>
          <w:sz w:val="24"/>
        </w:rPr>
        <w:t>23. شاطئ</w:t>
      </w:r>
    </w:p>
    <w:p>
      <w:pPr>
        <w:bidi w:val="1"/>
        <w:spacing w:after="80" w:line="276" w:lineRule="auto"/>
        <w:jc w:val="right"/>
      </w:pPr>
      <w:r>
        <w:rPr>
          <w:rFonts w:ascii="Noto Naskh Arabic" w:hAnsi="Noto Naskh Arabic" w:cs="Noto Naskh Arabic" w:eastAsia="Noto Naskh Arabic"/>
          <w:b w:val="0"/>
          <w:sz w:val="24"/>
        </w:rPr>
        <w:t>24. بحر</w:t>
      </w:r>
    </w:p>
    <w:p>
      <w:pPr>
        <w:bidi w:val="1"/>
        <w:spacing w:after="80" w:line="276" w:lineRule="auto"/>
        <w:jc w:val="right"/>
      </w:pPr>
      <w:r>
        <w:rPr>
          <w:rFonts w:ascii="Noto Naskh Arabic" w:hAnsi="Noto Naskh Arabic" w:cs="Noto Naskh Arabic" w:eastAsia="Noto Naskh Arabic"/>
          <w:b w:val="0"/>
          <w:sz w:val="24"/>
        </w:rPr>
        <w:t>25. رمل</w:t>
      </w:r>
    </w:p>
    <w:p>
      <w:pPr>
        <w:bidi w:val="1"/>
        <w:spacing w:after="80" w:line="276" w:lineRule="auto"/>
        <w:jc w:val="right"/>
      </w:pPr>
      <w:r>
        <w:rPr>
          <w:rFonts w:ascii="Noto Naskh Arabic" w:hAnsi="Noto Naskh Arabic" w:cs="Noto Naskh Arabic" w:eastAsia="Noto Naskh Arabic"/>
          <w:b w:val="0"/>
          <w:sz w:val="24"/>
        </w:rPr>
        <w:t>26. أصداف</w:t>
      </w:r>
    </w:p>
    <w:p>
      <w:pPr>
        <w:bidi w:val="1"/>
        <w:spacing w:after="80" w:line="276" w:lineRule="auto"/>
        <w:jc w:val="right"/>
      </w:pPr>
      <w:r>
        <w:rPr>
          <w:rFonts w:ascii="Noto Naskh Arabic" w:hAnsi="Noto Naskh Arabic" w:cs="Noto Naskh Arabic" w:eastAsia="Noto Naskh Arabic"/>
          <w:b w:val="0"/>
          <w:sz w:val="24"/>
        </w:rPr>
        <w:t>27. سلة طعام</w:t>
      </w:r>
    </w:p>
    <w:p>
      <w:pPr>
        <w:bidi w:val="1"/>
        <w:spacing w:after="80" w:line="276" w:lineRule="auto"/>
        <w:jc w:val="right"/>
      </w:pPr>
      <w:r>
        <w:rPr>
          <w:rFonts w:ascii="Noto Naskh Arabic" w:hAnsi="Noto Naskh Arabic" w:cs="Noto Naskh Arabic" w:eastAsia="Noto Naskh Arabic"/>
          <w:b w:val="0"/>
          <w:sz w:val="24"/>
        </w:rPr>
        <w:t>28. زهرة</w:t>
      </w:r>
    </w:p>
    <w:p>
      <w:pPr>
        <w:bidi w:val="1"/>
        <w:spacing w:after="80" w:line="276" w:lineRule="auto"/>
        <w:jc w:val="right"/>
      </w:pPr>
      <w:r>
        <w:rPr>
          <w:rFonts w:ascii="Noto Naskh Arabic" w:hAnsi="Noto Naskh Arabic" w:cs="Noto Naskh Arabic" w:eastAsia="Noto Naskh Arabic"/>
          <w:b w:val="0"/>
          <w:sz w:val="24"/>
        </w:rPr>
        <w:t>29. بذرة</w:t>
      </w:r>
    </w:p>
    <w:p>
      <w:pPr>
        <w:bidi w:val="1"/>
        <w:spacing w:after="80" w:line="276" w:lineRule="auto"/>
        <w:jc w:val="right"/>
      </w:pPr>
      <w:r>
        <w:rPr>
          <w:rFonts w:ascii="Noto Naskh Arabic" w:hAnsi="Noto Naskh Arabic" w:cs="Noto Naskh Arabic" w:eastAsia="Noto Naskh Arabic"/>
          <w:b w:val="0"/>
          <w:sz w:val="24"/>
        </w:rPr>
        <w:t>30. أوراق</w:t>
      </w:r>
    </w:p>
    <w:p>
      <w:pPr>
        <w:bidi w:val="1"/>
        <w:spacing w:after="80" w:line="276" w:lineRule="auto"/>
        <w:jc w:val="right"/>
      </w:pPr>
      <w:r>
        <w:rPr>
          <w:rFonts w:ascii="Noto Naskh Arabic" w:hAnsi="Noto Naskh Arabic" w:cs="Noto Naskh Arabic" w:eastAsia="Noto Naskh Arabic"/>
          <w:b w:val="0"/>
          <w:sz w:val="24"/>
        </w:rPr>
        <w:t>31. سحاب</w:t>
      </w:r>
    </w:p>
    <w:p>
      <w:pPr>
        <w:bidi w:val="1"/>
        <w:spacing w:after="80" w:line="276" w:lineRule="auto"/>
        <w:jc w:val="right"/>
      </w:pPr>
      <w:r>
        <w:rPr>
          <w:rFonts w:ascii="Noto Naskh Arabic" w:hAnsi="Noto Naskh Arabic" w:cs="Noto Naskh Arabic" w:eastAsia="Noto Naskh Arabic"/>
          <w:b w:val="0"/>
          <w:sz w:val="24"/>
        </w:rPr>
        <w:t>32. وادٍ</w:t>
      </w:r>
    </w:p>
    <w:p>
      <w:pPr>
        <w:bidi w:val="1"/>
        <w:spacing w:after="80" w:line="276" w:lineRule="auto"/>
        <w:jc w:val="right"/>
      </w:pPr>
      <w:r>
        <w:rPr>
          <w:rFonts w:ascii="Noto Naskh Arabic" w:hAnsi="Noto Naskh Arabic" w:cs="Noto Naskh Arabic" w:eastAsia="Noto Naskh Arabic"/>
          <w:b w:val="0"/>
          <w:sz w:val="24"/>
        </w:rPr>
        <w:t>33. أسرة</w:t>
      </w:r>
    </w:p>
    <w:p>
      <w:pPr>
        <w:bidi w:val="1"/>
        <w:spacing w:after="80" w:line="276" w:lineRule="auto"/>
        <w:jc w:val="right"/>
      </w:pPr>
      <w:r>
        <w:rPr>
          <w:rFonts w:ascii="Noto Naskh Arabic" w:hAnsi="Noto Naskh Arabic" w:cs="Noto Naskh Arabic" w:eastAsia="Noto Naskh Arabic"/>
          <w:b w:val="0"/>
          <w:sz w:val="24"/>
        </w:rPr>
        <w:t>34. طفل</w:t>
      </w:r>
    </w:p>
    <w:p>
      <w:pPr>
        <w:bidi w:val="1"/>
        <w:spacing w:after="80" w:line="276" w:lineRule="auto"/>
        <w:jc w:val="right"/>
      </w:pPr>
      <w:r>
        <w:rPr>
          <w:rFonts w:ascii="Noto Naskh Arabic" w:hAnsi="Noto Naskh Arabic" w:cs="Noto Naskh Arabic" w:eastAsia="Noto Naskh Arabic"/>
          <w:b w:val="0"/>
          <w:sz w:val="24"/>
        </w:rPr>
        <w:t>35. طفلة</w:t>
      </w:r>
    </w:p>
    <w:p>
      <w:pPr>
        <w:pStyle w:val="Heading1"/>
        <w:bidi w:val="1"/>
        <w:spacing w:before="200" w:after="100"/>
        <w:jc w:val="right"/>
      </w:pPr>
      <w:r>
        <w:t>3. صور شرح الجمل — 10 صور</w:t>
      </w:r>
    </w:p>
    <w:p>
      <w:pPr>
        <w:bidi w:val="1"/>
        <w:spacing w:after="80" w:line="276" w:lineRule="auto"/>
        <w:jc w:val="right"/>
      </w:pPr>
      <w:r>
        <w:rPr>
          <w:rFonts w:ascii="Noto Naskh Arabic" w:hAnsi="Noto Naskh Arabic" w:cs="Noto Naskh Arabic" w:eastAsia="Noto Naskh Arabic"/>
          <w:b w:val="0"/>
          <w:sz w:val="24"/>
        </w:rPr>
        <w:t>36. سالم يقرأ كتابًا.</w:t>
      </w:r>
    </w:p>
    <w:p>
      <w:pPr>
        <w:bidi w:val="1"/>
        <w:spacing w:after="80" w:line="276" w:lineRule="auto"/>
        <w:jc w:val="right"/>
      </w:pPr>
      <w:r>
        <w:rPr>
          <w:rFonts w:ascii="Noto Naskh Arabic" w:hAnsi="Noto Naskh Arabic" w:cs="Noto Naskh Arabic" w:eastAsia="Noto Naskh Arabic"/>
          <w:b w:val="0"/>
          <w:sz w:val="24"/>
        </w:rPr>
        <w:t>37. مريم تشرب الحليب.</w:t>
      </w:r>
    </w:p>
    <w:p>
      <w:pPr>
        <w:bidi w:val="1"/>
        <w:spacing w:after="80" w:line="276" w:lineRule="auto"/>
        <w:jc w:val="right"/>
      </w:pPr>
      <w:r>
        <w:rPr>
          <w:rFonts w:ascii="Noto Naskh Arabic" w:hAnsi="Noto Naskh Arabic" w:cs="Noto Naskh Arabic" w:eastAsia="Noto Naskh Arabic"/>
          <w:b w:val="0"/>
          <w:sz w:val="24"/>
        </w:rPr>
        <w:t>38. العصفور فوق النخلة.</w:t>
      </w:r>
    </w:p>
    <w:p>
      <w:pPr>
        <w:bidi w:val="1"/>
        <w:spacing w:after="80" w:line="276" w:lineRule="auto"/>
        <w:jc w:val="right"/>
      </w:pPr>
      <w:r>
        <w:rPr>
          <w:rFonts w:ascii="Noto Naskh Arabic" w:hAnsi="Noto Naskh Arabic" w:cs="Noto Naskh Arabic" w:eastAsia="Noto Naskh Arabic"/>
          <w:b w:val="0"/>
          <w:sz w:val="24"/>
        </w:rPr>
        <w:t>39. هند تضع القلم في الحقيبة.</w:t>
      </w:r>
    </w:p>
    <w:p>
      <w:pPr>
        <w:bidi w:val="1"/>
        <w:spacing w:after="80" w:line="276" w:lineRule="auto"/>
        <w:jc w:val="right"/>
      </w:pPr>
      <w:r>
        <w:rPr>
          <w:rFonts w:ascii="Noto Naskh Arabic" w:hAnsi="Noto Naskh Arabic" w:cs="Noto Naskh Arabic" w:eastAsia="Noto Naskh Arabic"/>
          <w:b w:val="0"/>
          <w:sz w:val="24"/>
        </w:rPr>
        <w:t>40. ماجد يلعب بالكرة.</w:t>
      </w:r>
    </w:p>
    <w:p>
      <w:pPr>
        <w:bidi w:val="1"/>
        <w:spacing w:after="80" w:line="276" w:lineRule="auto"/>
        <w:jc w:val="right"/>
      </w:pPr>
      <w:r>
        <w:rPr>
          <w:rFonts w:ascii="Noto Naskh Arabic" w:hAnsi="Noto Naskh Arabic" w:cs="Noto Naskh Arabic" w:eastAsia="Noto Naskh Arabic"/>
          <w:b w:val="0"/>
          <w:sz w:val="24"/>
        </w:rPr>
        <w:t>41. سالم ذهب إلى المدرسة.</w:t>
      </w:r>
    </w:p>
    <w:p>
      <w:pPr>
        <w:bidi w:val="1"/>
        <w:spacing w:after="80" w:line="276" w:lineRule="auto"/>
        <w:jc w:val="right"/>
      </w:pPr>
      <w:r>
        <w:rPr>
          <w:rFonts w:ascii="Noto Naskh Arabic" w:hAnsi="Noto Naskh Arabic" w:cs="Noto Naskh Arabic" w:eastAsia="Noto Naskh Arabic"/>
          <w:b w:val="0"/>
          <w:sz w:val="24"/>
        </w:rPr>
        <w:t>42. مريم تجلس تحت الشجرة.</w:t>
      </w:r>
    </w:p>
    <w:p>
      <w:pPr>
        <w:bidi w:val="1"/>
        <w:spacing w:after="80" w:line="276" w:lineRule="auto"/>
        <w:jc w:val="right"/>
      </w:pPr>
      <w:r>
        <w:rPr>
          <w:rFonts w:ascii="Noto Naskh Arabic" w:hAnsi="Noto Naskh Arabic" w:cs="Noto Naskh Arabic" w:eastAsia="Noto Naskh Arabic"/>
          <w:b w:val="0"/>
          <w:sz w:val="24"/>
        </w:rPr>
        <w:t>43. خالد يقرأ كتابًا مفيدًا.</w:t>
      </w:r>
    </w:p>
    <w:p>
      <w:pPr>
        <w:bidi w:val="1"/>
        <w:spacing w:after="80" w:line="276" w:lineRule="auto"/>
        <w:jc w:val="right"/>
      </w:pPr>
      <w:r>
        <w:rPr>
          <w:rFonts w:ascii="Noto Naskh Arabic" w:hAnsi="Noto Naskh Arabic" w:cs="Noto Naskh Arabic" w:eastAsia="Noto Naskh Arabic"/>
          <w:b w:val="0"/>
          <w:sz w:val="24"/>
        </w:rPr>
        <w:t>44. الأطفال يلعبون في الساحة.</w:t>
      </w:r>
    </w:p>
    <w:p>
      <w:pPr>
        <w:bidi w:val="1"/>
        <w:spacing w:after="80" w:line="276" w:lineRule="auto"/>
        <w:jc w:val="right"/>
      </w:pPr>
      <w:r>
        <w:rPr>
          <w:rFonts w:ascii="Noto Naskh Arabic" w:hAnsi="Noto Naskh Arabic" w:cs="Noto Naskh Arabic" w:eastAsia="Noto Naskh Arabic"/>
          <w:b w:val="0"/>
          <w:sz w:val="24"/>
        </w:rPr>
        <w:t>45. الأسرة عادت إلى البيت.</w:t>
      </w:r>
    </w:p>
    <w:p>
      <w:pPr>
        <w:pStyle w:val="Heading1"/>
        <w:bidi w:val="1"/>
        <w:spacing w:before="200" w:after="100"/>
        <w:jc w:val="right"/>
      </w:pPr>
      <w:r>
        <w:t>4. صور التسلسل — 9 صور</w:t>
      </w:r>
    </w:p>
    <w:p>
      <w:pPr>
        <w:bidi w:val="1"/>
        <w:spacing w:after="80" w:line="276" w:lineRule="auto"/>
        <w:jc w:val="right"/>
      </w:pPr>
      <w:r>
        <w:rPr>
          <w:rFonts w:ascii="Noto Naskh Arabic" w:hAnsi="Noto Naskh Arabic" w:cs="Noto Naskh Arabic" w:eastAsia="Noto Naskh Arabic"/>
          <w:b w:val="0"/>
          <w:sz w:val="24"/>
        </w:rPr>
        <w:t>46. طفلة تزرع البذرة.</w:t>
      </w:r>
    </w:p>
    <w:p>
      <w:pPr>
        <w:bidi w:val="1"/>
        <w:spacing w:after="80" w:line="276" w:lineRule="auto"/>
        <w:jc w:val="right"/>
      </w:pPr>
      <w:r>
        <w:rPr>
          <w:rFonts w:ascii="Noto Naskh Arabic" w:hAnsi="Noto Naskh Arabic" w:cs="Noto Naskh Arabic" w:eastAsia="Noto Naskh Arabic"/>
          <w:b w:val="0"/>
          <w:sz w:val="24"/>
        </w:rPr>
        <w:t>47. طفلة تسقي البذرة.</w:t>
      </w:r>
    </w:p>
    <w:p>
      <w:pPr>
        <w:bidi w:val="1"/>
        <w:spacing w:after="80" w:line="276" w:lineRule="auto"/>
        <w:jc w:val="right"/>
      </w:pPr>
      <w:r>
        <w:rPr>
          <w:rFonts w:ascii="Noto Naskh Arabic" w:hAnsi="Noto Naskh Arabic" w:cs="Noto Naskh Arabic" w:eastAsia="Noto Naskh Arabic"/>
          <w:b w:val="0"/>
          <w:sz w:val="24"/>
        </w:rPr>
        <w:t>48. الزهرة بعد نموها.</w:t>
      </w:r>
    </w:p>
    <w:p>
      <w:pPr>
        <w:bidi w:val="1"/>
        <w:spacing w:after="80" w:line="276" w:lineRule="auto"/>
        <w:jc w:val="right"/>
      </w:pPr>
      <w:r>
        <w:rPr>
          <w:rFonts w:ascii="Noto Naskh Arabic" w:hAnsi="Noto Naskh Arabic" w:cs="Noto Naskh Arabic" w:eastAsia="Noto Naskh Arabic"/>
          <w:b w:val="0"/>
          <w:sz w:val="24"/>
        </w:rPr>
        <w:t>49. غسل التفاحة.</w:t>
      </w:r>
    </w:p>
    <w:p>
      <w:pPr>
        <w:bidi w:val="1"/>
        <w:spacing w:after="80" w:line="276" w:lineRule="auto"/>
        <w:jc w:val="right"/>
      </w:pPr>
      <w:r>
        <w:rPr>
          <w:rFonts w:ascii="Noto Naskh Arabic" w:hAnsi="Noto Naskh Arabic" w:cs="Noto Naskh Arabic" w:eastAsia="Noto Naskh Arabic"/>
          <w:b w:val="0"/>
          <w:sz w:val="24"/>
        </w:rPr>
        <w:t>50. تقطيع التفاحة.</w:t>
      </w:r>
    </w:p>
    <w:p>
      <w:pPr>
        <w:bidi w:val="1"/>
        <w:spacing w:after="80" w:line="276" w:lineRule="auto"/>
        <w:jc w:val="right"/>
      </w:pPr>
      <w:r>
        <w:rPr>
          <w:rFonts w:ascii="Noto Naskh Arabic" w:hAnsi="Noto Naskh Arabic" w:cs="Noto Naskh Arabic" w:eastAsia="Noto Naskh Arabic"/>
          <w:b w:val="0"/>
          <w:sz w:val="24"/>
        </w:rPr>
        <w:t>51. أكل التفاحة.</w:t>
      </w:r>
    </w:p>
    <w:p>
      <w:pPr>
        <w:bidi w:val="1"/>
        <w:spacing w:after="80" w:line="276" w:lineRule="auto"/>
        <w:jc w:val="right"/>
      </w:pPr>
      <w:r>
        <w:rPr>
          <w:rFonts w:ascii="Noto Naskh Arabic" w:hAnsi="Noto Naskh Arabic" w:cs="Noto Naskh Arabic" w:eastAsia="Noto Naskh Arabic"/>
          <w:b w:val="0"/>
          <w:sz w:val="24"/>
        </w:rPr>
        <w:t>52. طفل يخرج الكتاب من الحقيبة.</w:t>
      </w:r>
    </w:p>
    <w:p>
      <w:pPr>
        <w:bidi w:val="1"/>
        <w:spacing w:after="80" w:line="276" w:lineRule="auto"/>
        <w:jc w:val="right"/>
      </w:pPr>
      <w:r>
        <w:rPr>
          <w:rFonts w:ascii="Noto Naskh Arabic" w:hAnsi="Noto Naskh Arabic" w:cs="Noto Naskh Arabic" w:eastAsia="Noto Naskh Arabic"/>
          <w:b w:val="0"/>
          <w:sz w:val="24"/>
        </w:rPr>
        <w:t>53. طفل يقرأ الكتاب.</w:t>
      </w:r>
    </w:p>
    <w:p>
      <w:pPr>
        <w:bidi w:val="1"/>
        <w:spacing w:after="80" w:line="276" w:lineRule="auto"/>
        <w:jc w:val="right"/>
      </w:pPr>
      <w:r>
        <w:rPr>
          <w:rFonts w:ascii="Noto Naskh Arabic" w:hAnsi="Noto Naskh Arabic" w:cs="Noto Naskh Arabic" w:eastAsia="Noto Naskh Arabic"/>
          <w:b w:val="0"/>
          <w:sz w:val="24"/>
        </w:rPr>
        <w:t>54. طفل يعيد الكتاب إلى الحقيبة.</w:t>
      </w:r>
    </w:p>
    <w:p>
      <w:pPr>
        <w:pStyle w:val="Heading1"/>
        <w:bidi w:val="1"/>
        <w:spacing w:before="200" w:after="100"/>
        <w:jc w:val="right"/>
      </w:pPr>
      <w:r>
        <w:t>5. صور النصوص والقصص — 6 صور</w:t>
      </w:r>
    </w:p>
    <w:p>
      <w:pPr>
        <w:bidi w:val="1"/>
        <w:spacing w:after="80" w:line="276" w:lineRule="auto"/>
        <w:jc w:val="right"/>
      </w:pPr>
      <w:r>
        <w:rPr>
          <w:rFonts w:ascii="Noto Naskh Arabic" w:hAnsi="Noto Naskh Arabic" w:cs="Noto Naskh Arabic" w:eastAsia="Noto Naskh Arabic"/>
          <w:b w:val="0"/>
          <w:sz w:val="24"/>
        </w:rPr>
        <w:t>55. الاختبار القبلي: أسرة في الحديقة مع سالم وأخته والكرة وسلة الطعام.</w:t>
      </w:r>
    </w:p>
    <w:p>
      <w:pPr>
        <w:bidi w:val="1"/>
        <w:spacing w:after="80" w:line="276" w:lineRule="auto"/>
        <w:jc w:val="right"/>
      </w:pPr>
      <w:r>
        <w:rPr>
          <w:rFonts w:ascii="Noto Naskh Arabic" w:hAnsi="Noto Naskh Arabic" w:cs="Noto Naskh Arabic" w:eastAsia="Noto Naskh Arabic"/>
          <w:b w:val="0"/>
          <w:sz w:val="24"/>
        </w:rPr>
        <w:t>56. مريم والبذرة في حديقة المدرسة.</w:t>
      </w:r>
    </w:p>
    <w:p>
      <w:pPr>
        <w:bidi w:val="1"/>
        <w:spacing w:after="80" w:line="276" w:lineRule="auto"/>
        <w:jc w:val="right"/>
      </w:pPr>
      <w:r>
        <w:rPr>
          <w:rFonts w:ascii="Noto Naskh Arabic" w:hAnsi="Noto Naskh Arabic" w:cs="Noto Naskh Arabic" w:eastAsia="Noto Naskh Arabic"/>
          <w:b w:val="0"/>
          <w:sz w:val="24"/>
        </w:rPr>
        <w:t>57. خالد في مكتبة المدرسة مع كتاب الحيوانات وأمين المكتبة.</w:t>
      </w:r>
    </w:p>
    <w:p>
      <w:pPr>
        <w:bidi w:val="1"/>
        <w:spacing w:after="80" w:line="276" w:lineRule="auto"/>
        <w:jc w:val="right"/>
      </w:pPr>
      <w:r>
        <w:rPr>
          <w:rFonts w:ascii="Noto Naskh Arabic" w:hAnsi="Noto Naskh Arabic" w:cs="Noto Naskh Arabic" w:eastAsia="Noto Naskh Arabic"/>
          <w:b w:val="0"/>
          <w:sz w:val="24"/>
        </w:rPr>
        <w:t>58. رحلة الأسرة إلى الوادي مع النخيل والطيور وتنظيف المكان.</w:t>
      </w:r>
    </w:p>
    <w:p>
      <w:pPr>
        <w:bidi w:val="1"/>
        <w:spacing w:after="80" w:line="276" w:lineRule="auto"/>
        <w:jc w:val="right"/>
      </w:pPr>
      <w:r>
        <w:rPr>
          <w:rFonts w:ascii="Noto Naskh Arabic" w:hAnsi="Noto Naskh Arabic" w:cs="Noto Naskh Arabic" w:eastAsia="Noto Naskh Arabic"/>
          <w:b w:val="0"/>
          <w:sz w:val="24"/>
        </w:rPr>
        <w:t>59. الاختبار البعدي: ماجد ووالده في الشاطئ مع الدلو والمظلة وبيت الرمل والأصداف.</w:t>
      </w:r>
    </w:p>
    <w:p>
      <w:pPr>
        <w:bidi w:val="1"/>
        <w:spacing w:after="80" w:line="276" w:lineRule="auto"/>
        <w:jc w:val="right"/>
      </w:pPr>
      <w:r>
        <w:rPr>
          <w:rFonts w:ascii="Noto Naskh Arabic" w:hAnsi="Noto Naskh Arabic" w:cs="Noto Naskh Arabic" w:eastAsia="Noto Naskh Arabic"/>
          <w:b w:val="0"/>
          <w:sz w:val="24"/>
        </w:rPr>
        <w:t>60. نص التقوية: هند في الحديقة تسقي زهرة.</w:t>
      </w:r>
    </w:p>
    <w:p>
      <w:pPr>
        <w:pStyle w:val="Heading1"/>
        <w:bidi w:val="1"/>
        <w:spacing w:before="200" w:after="100"/>
        <w:jc w:val="right"/>
      </w:pPr>
      <w:r>
        <w:t>6. شخصيات الأطفال الكرتونية — 10 وضعيات</w:t>
      </w:r>
    </w:p>
    <w:p>
      <w:pPr>
        <w:bidi w:val="1"/>
        <w:spacing w:after="80" w:line="276" w:lineRule="auto"/>
        <w:jc w:val="right"/>
      </w:pPr>
      <w:r>
        <w:rPr>
          <w:rFonts w:ascii="Noto Naskh Arabic" w:hAnsi="Noto Naskh Arabic" w:cs="Noto Naskh Arabic" w:eastAsia="Noto Naskh Arabic"/>
          <w:b w:val="0"/>
          <w:sz w:val="24"/>
        </w:rPr>
        <w:t>61. ولد: ترحيب.</w:t>
      </w:r>
    </w:p>
    <w:p>
      <w:pPr>
        <w:bidi w:val="1"/>
        <w:spacing w:after="80" w:line="276" w:lineRule="auto"/>
        <w:jc w:val="right"/>
      </w:pPr>
      <w:r>
        <w:rPr>
          <w:rFonts w:ascii="Noto Naskh Arabic" w:hAnsi="Noto Naskh Arabic" w:cs="Noto Naskh Arabic" w:eastAsia="Noto Naskh Arabic"/>
          <w:b w:val="0"/>
          <w:sz w:val="24"/>
        </w:rPr>
        <w:t>62. ولد: شرح التعليمات.</w:t>
      </w:r>
    </w:p>
    <w:p>
      <w:pPr>
        <w:bidi w:val="1"/>
        <w:spacing w:after="80" w:line="276" w:lineRule="auto"/>
        <w:jc w:val="right"/>
      </w:pPr>
      <w:r>
        <w:rPr>
          <w:rFonts w:ascii="Noto Naskh Arabic" w:hAnsi="Noto Naskh Arabic" w:cs="Noto Naskh Arabic" w:eastAsia="Noto Naskh Arabic"/>
          <w:b w:val="0"/>
          <w:sz w:val="24"/>
        </w:rPr>
        <w:t>63. ولد: تشجيع.</w:t>
      </w:r>
    </w:p>
    <w:p>
      <w:pPr>
        <w:bidi w:val="1"/>
        <w:spacing w:after="80" w:line="276" w:lineRule="auto"/>
        <w:jc w:val="right"/>
      </w:pPr>
      <w:r>
        <w:rPr>
          <w:rFonts w:ascii="Noto Naskh Arabic" w:hAnsi="Noto Naskh Arabic" w:cs="Noto Naskh Arabic" w:eastAsia="Noto Naskh Arabic"/>
          <w:b w:val="0"/>
          <w:sz w:val="24"/>
        </w:rPr>
        <w:t>64. ولد: نجاح واحتفال هادئ.</w:t>
      </w:r>
    </w:p>
    <w:p>
      <w:pPr>
        <w:bidi w:val="1"/>
        <w:spacing w:after="80" w:line="276" w:lineRule="auto"/>
        <w:jc w:val="right"/>
      </w:pPr>
      <w:r>
        <w:rPr>
          <w:rFonts w:ascii="Noto Naskh Arabic" w:hAnsi="Noto Naskh Arabic" w:cs="Noto Naskh Arabic" w:eastAsia="Noto Naskh Arabic"/>
          <w:b w:val="0"/>
          <w:sz w:val="24"/>
        </w:rPr>
        <w:t>65. ولد: حاول مرة أخرى.</w:t>
      </w:r>
    </w:p>
    <w:p>
      <w:pPr>
        <w:bidi w:val="1"/>
        <w:spacing w:after="80" w:line="276" w:lineRule="auto"/>
        <w:jc w:val="right"/>
      </w:pPr>
      <w:r>
        <w:rPr>
          <w:rFonts w:ascii="Noto Naskh Arabic" w:hAnsi="Noto Naskh Arabic" w:cs="Noto Naskh Arabic" w:eastAsia="Noto Naskh Arabic"/>
          <w:b w:val="0"/>
          <w:sz w:val="24"/>
        </w:rPr>
        <w:t>66. بنت: ترحيب.</w:t>
      </w:r>
    </w:p>
    <w:p>
      <w:pPr>
        <w:bidi w:val="1"/>
        <w:spacing w:after="80" w:line="276" w:lineRule="auto"/>
        <w:jc w:val="right"/>
      </w:pPr>
      <w:r>
        <w:rPr>
          <w:rFonts w:ascii="Noto Naskh Arabic" w:hAnsi="Noto Naskh Arabic" w:cs="Noto Naskh Arabic" w:eastAsia="Noto Naskh Arabic"/>
          <w:b w:val="0"/>
          <w:sz w:val="24"/>
        </w:rPr>
        <w:t>67. بنت: شرح التعليمات.</w:t>
      </w:r>
    </w:p>
    <w:p>
      <w:pPr>
        <w:bidi w:val="1"/>
        <w:spacing w:after="80" w:line="276" w:lineRule="auto"/>
        <w:jc w:val="right"/>
      </w:pPr>
      <w:r>
        <w:rPr>
          <w:rFonts w:ascii="Noto Naskh Arabic" w:hAnsi="Noto Naskh Arabic" w:cs="Noto Naskh Arabic" w:eastAsia="Noto Naskh Arabic"/>
          <w:b w:val="0"/>
          <w:sz w:val="24"/>
        </w:rPr>
        <w:t>68. بنت: تشجيع.</w:t>
      </w:r>
    </w:p>
    <w:p>
      <w:pPr>
        <w:bidi w:val="1"/>
        <w:spacing w:after="80" w:line="276" w:lineRule="auto"/>
        <w:jc w:val="right"/>
      </w:pPr>
      <w:r>
        <w:rPr>
          <w:rFonts w:ascii="Noto Naskh Arabic" w:hAnsi="Noto Naskh Arabic" w:cs="Noto Naskh Arabic" w:eastAsia="Noto Naskh Arabic"/>
          <w:b w:val="0"/>
          <w:sz w:val="24"/>
        </w:rPr>
        <w:t>69. بنت: نجاح واحتفال هادئ.</w:t>
      </w:r>
    </w:p>
    <w:p>
      <w:pPr>
        <w:bidi w:val="1"/>
        <w:spacing w:after="80" w:line="276" w:lineRule="auto"/>
        <w:jc w:val="right"/>
      </w:pPr>
      <w:r>
        <w:rPr>
          <w:rFonts w:ascii="Noto Naskh Arabic" w:hAnsi="Noto Naskh Arabic" w:cs="Noto Naskh Arabic" w:eastAsia="Noto Naskh Arabic"/>
          <w:b w:val="0"/>
          <w:sz w:val="24"/>
        </w:rPr>
        <w:t>70. بنت: حاول مرة أخرى.</w:t>
      </w:r>
    </w:p>
    <w:p>
      <w:pPr>
        <w:pStyle w:val="Heading1"/>
        <w:bidi w:val="1"/>
        <w:spacing w:before="200" w:after="100"/>
        <w:jc w:val="right"/>
      </w:pPr>
      <w:r>
        <w:t>7. الشارات والمكافآت — 6 أصول</w:t>
      </w:r>
    </w:p>
    <w:p>
      <w:pPr>
        <w:bidi w:val="1"/>
        <w:spacing w:after="80" w:line="276" w:lineRule="auto"/>
        <w:jc w:val="right"/>
      </w:pPr>
      <w:r>
        <w:rPr>
          <w:rFonts w:ascii="Noto Naskh Arabic" w:hAnsi="Noto Naskh Arabic" w:cs="Noto Naskh Arabic" w:eastAsia="Noto Naskh Arabic"/>
          <w:b w:val="0"/>
          <w:sz w:val="24"/>
        </w:rPr>
        <w:t>71. نجمة واحدة.</w:t>
      </w:r>
    </w:p>
    <w:p>
      <w:pPr>
        <w:bidi w:val="1"/>
        <w:spacing w:after="80" w:line="276" w:lineRule="auto"/>
        <w:jc w:val="right"/>
      </w:pPr>
      <w:r>
        <w:rPr>
          <w:rFonts w:ascii="Noto Naskh Arabic" w:hAnsi="Noto Naskh Arabic" w:cs="Noto Naskh Arabic" w:eastAsia="Noto Naskh Arabic"/>
          <w:b w:val="0"/>
          <w:sz w:val="24"/>
        </w:rPr>
        <w:t>72. نجمتان.</w:t>
      </w:r>
    </w:p>
    <w:p>
      <w:pPr>
        <w:bidi w:val="1"/>
        <w:spacing w:after="80" w:line="276" w:lineRule="auto"/>
        <w:jc w:val="right"/>
      </w:pPr>
      <w:r>
        <w:rPr>
          <w:rFonts w:ascii="Noto Naskh Arabic" w:hAnsi="Noto Naskh Arabic" w:cs="Noto Naskh Arabic" w:eastAsia="Noto Naskh Arabic"/>
          <w:b w:val="0"/>
          <w:sz w:val="24"/>
        </w:rPr>
        <w:t>73. ثلاث نجوم.</w:t>
      </w:r>
    </w:p>
    <w:p>
      <w:pPr>
        <w:bidi w:val="1"/>
        <w:spacing w:after="80" w:line="276" w:lineRule="auto"/>
        <w:jc w:val="right"/>
      </w:pPr>
      <w:r>
        <w:rPr>
          <w:rFonts w:ascii="Noto Naskh Arabic" w:hAnsi="Noto Naskh Arabic" w:cs="Noto Naskh Arabic" w:eastAsia="Noto Naskh Arabic"/>
          <w:b w:val="0"/>
          <w:sz w:val="24"/>
        </w:rPr>
        <w:t>74. شارة مستكشف الحروف.</w:t>
      </w:r>
    </w:p>
    <w:p>
      <w:pPr>
        <w:bidi w:val="1"/>
        <w:spacing w:after="80" w:line="276" w:lineRule="auto"/>
        <w:jc w:val="right"/>
      </w:pPr>
      <w:r>
        <w:rPr>
          <w:rFonts w:ascii="Noto Naskh Arabic" w:hAnsi="Noto Naskh Arabic" w:cs="Noto Naskh Arabic" w:eastAsia="Noto Naskh Arabic"/>
          <w:b w:val="0"/>
          <w:sz w:val="24"/>
        </w:rPr>
        <w:t>75. شارة بطل الكلمات.</w:t>
      </w:r>
    </w:p>
    <w:p>
      <w:pPr>
        <w:bidi w:val="1"/>
        <w:spacing w:after="80" w:line="276" w:lineRule="auto"/>
        <w:jc w:val="right"/>
      </w:pPr>
      <w:r>
        <w:rPr>
          <w:rFonts w:ascii="Noto Naskh Arabic" w:hAnsi="Noto Naskh Arabic" w:cs="Noto Naskh Arabic" w:eastAsia="Noto Naskh Arabic"/>
          <w:b w:val="0"/>
          <w:sz w:val="24"/>
        </w:rPr>
        <w:t>76. شارة نجم الفهم.</w:t>
      </w:r>
    </w:p>
    <w:p>
      <w:pPr>
        <w:pStyle w:val="Heading1"/>
        <w:bidi w:val="1"/>
        <w:spacing w:before="200" w:after="100"/>
        <w:jc w:val="right"/>
      </w:pPr>
      <w:r>
        <w:t>8. مواصفات الإنتاج البصري</w:t>
      </w:r>
    </w:p>
    <w:p>
      <w:pPr>
        <w:pStyle w:val="ListBullet"/>
        <w:bidi w:val="1"/>
        <w:spacing w:after="40"/>
        <w:ind w:left="170" w:right="170"/>
        <w:jc w:val="right"/>
      </w:pPr>
      <w:r>
        <w:rPr>
          <w:rFonts w:ascii="Noto Naskh Arabic" w:hAnsi="Noto Naskh Arabic" w:cs="Noto Naskh Arabic" w:eastAsia="Noto Naskh Arabic"/>
          <w:sz w:val="24"/>
        </w:rPr>
        <w:t>اعتماد أسلوب رسم واحد لكل الصور والشخصيات حتى تبدو المنصة عالمًا متماسكًا.</w:t>
      </w:r>
    </w:p>
    <w:p>
      <w:pPr>
        <w:pStyle w:val="ListBullet"/>
        <w:bidi w:val="1"/>
        <w:spacing w:after="40"/>
        <w:ind w:left="170" w:right="170"/>
        <w:jc w:val="right"/>
      </w:pPr>
      <w:r>
        <w:rPr>
          <w:rFonts w:ascii="Noto Naskh Arabic" w:hAnsi="Noto Naskh Arabic" w:cs="Noto Naskh Arabic" w:eastAsia="Noto Naskh Arabic"/>
          <w:sz w:val="24"/>
        </w:rPr>
        <w:t>الشخصيات عربية الملامح بملابس يومية بسيطة ومحايدة، دون ربطها بزي منطقة محددة.</w:t>
      </w:r>
    </w:p>
    <w:p>
      <w:pPr>
        <w:pStyle w:val="ListBullet"/>
        <w:bidi w:val="1"/>
        <w:spacing w:after="40"/>
        <w:ind w:left="170" w:right="170"/>
        <w:jc w:val="right"/>
      </w:pPr>
      <w:r>
        <w:rPr>
          <w:rFonts w:ascii="Noto Naskh Arabic" w:hAnsi="Noto Naskh Arabic" w:cs="Noto Naskh Arabic" w:eastAsia="Noto Naskh Arabic"/>
          <w:sz w:val="24"/>
        </w:rPr>
        <w:t>الخلفيات هادئة وقليلة التفاصيل، والعنصر التعليمي هو الأكثر وضوحًا.</w:t>
      </w:r>
    </w:p>
    <w:p>
      <w:pPr>
        <w:pStyle w:val="ListBullet"/>
        <w:bidi w:val="1"/>
        <w:spacing w:after="40"/>
        <w:ind w:left="170" w:right="170"/>
        <w:jc w:val="right"/>
      </w:pPr>
      <w:r>
        <w:rPr>
          <w:rFonts w:ascii="Noto Naskh Arabic" w:hAnsi="Noto Naskh Arabic" w:cs="Noto Naskh Arabic" w:eastAsia="Noto Naskh Arabic"/>
          <w:sz w:val="24"/>
        </w:rPr>
        <w:t>صور المفردات تفضل بخلفية شفافة أو فاتحة موحدة، وبزاوية واضحة دون عناصر إضافية.</w:t>
      </w:r>
    </w:p>
    <w:p>
      <w:pPr>
        <w:pStyle w:val="ListBullet"/>
        <w:bidi w:val="1"/>
        <w:spacing w:after="40"/>
        <w:ind w:left="170" w:right="170"/>
        <w:jc w:val="right"/>
      </w:pPr>
      <w:r>
        <w:rPr>
          <w:rFonts w:ascii="Noto Naskh Arabic" w:hAnsi="Noto Naskh Arabic" w:cs="Noto Naskh Arabic" w:eastAsia="Noto Naskh Arabic"/>
          <w:sz w:val="24"/>
        </w:rPr>
        <w:t>صور الجمل والقصص تكون أفقية بنسبة تقريبية 16:9 أو 4:3 لتناسب شاشة الهاتف والويب.</w:t>
      </w:r>
    </w:p>
    <w:p>
      <w:pPr>
        <w:pStyle w:val="ListBullet"/>
        <w:bidi w:val="1"/>
        <w:spacing w:after="40"/>
        <w:ind w:left="170" w:right="170"/>
        <w:jc w:val="right"/>
      </w:pPr>
      <w:r>
        <w:rPr>
          <w:rFonts w:ascii="Noto Naskh Arabic" w:hAnsi="Noto Naskh Arabic" w:cs="Noto Naskh Arabic" w:eastAsia="Noto Naskh Arabic"/>
          <w:sz w:val="24"/>
        </w:rPr>
        <w:t>صور التسلسل الثلاث في كل قصة يجب أن تحافظ على الشخصية والملابس والمكان نفسه.</w:t>
      </w:r>
    </w:p>
    <w:p>
      <w:pPr>
        <w:pStyle w:val="ListBullet"/>
        <w:bidi w:val="1"/>
        <w:spacing w:after="40"/>
        <w:ind w:left="170" w:right="170"/>
        <w:jc w:val="right"/>
      </w:pPr>
      <w:r>
        <w:rPr>
          <w:rFonts w:ascii="Noto Naskh Arabic" w:hAnsi="Noto Naskh Arabic" w:cs="Noto Naskh Arabic" w:eastAsia="Noto Naskh Arabic"/>
          <w:sz w:val="24"/>
        </w:rPr>
        <w:t>تسلم الملفات بصيغة WebP أو PNG محسنة للويب، مع الاحتفاظ بالنسخة الأصلية عالية الدقة.</w:t>
      </w:r>
    </w:p>
    <w:p>
      <w:pPr>
        <w:pStyle w:val="ListBullet"/>
        <w:bidi w:val="1"/>
        <w:spacing w:after="40"/>
        <w:ind w:left="170" w:right="170"/>
        <w:jc w:val="right"/>
      </w:pPr>
      <w:r>
        <w:rPr>
          <w:rFonts w:ascii="Noto Naskh Arabic" w:hAnsi="Noto Naskh Arabic" w:cs="Noto Naskh Arabic" w:eastAsia="Noto Naskh Arabic"/>
          <w:sz w:val="24"/>
        </w:rPr>
        <w:t>لا يضاف نص عربي داخل الصورة؛ النص يكتب داخل واجهة الموقع لتجنب الأخطاء وسهولة التعديل.</w:t>
      </w:r>
    </w:p>
    <w:p>
      <w:pPr>
        <w:pStyle w:val="ListBullet"/>
        <w:bidi w:val="1"/>
        <w:spacing w:after="40"/>
        <w:ind w:left="170" w:right="170"/>
        <w:jc w:val="right"/>
      </w:pPr>
      <w:r>
        <w:rPr>
          <w:rFonts w:ascii="Noto Naskh Arabic" w:hAnsi="Noto Naskh Arabic" w:cs="Noto Naskh Arabic" w:eastAsia="Noto Naskh Arabic"/>
          <w:sz w:val="24"/>
        </w:rPr>
        <w:t>يجب تسمية الصور بمعرفات ثابتة، مثال HEM-IMG-001 إلى HEM-IMG-076.</w:t>
      </w:r>
    </w:p>
    <w:p>
      <w:pPr>
        <w:pStyle w:val="ListBullet"/>
        <w:bidi w:val="1"/>
        <w:spacing w:after="40"/>
        <w:ind w:left="170" w:right="170"/>
        <w:jc w:val="right"/>
      </w:pPr>
      <w:r>
        <w:rPr>
          <w:rFonts w:ascii="Noto Naskh Arabic" w:hAnsi="Noto Naskh Arabic" w:cs="Noto Naskh Arabic" w:eastAsia="Noto Naskh Arabic"/>
          <w:sz w:val="24"/>
        </w:rPr>
        <w:t>قبل إنتاج الصور كاملة يعتمد العميل عينة: شخصيتان، ثلاث مفردات، مشهد جملة، وصورة قصة.</w:t>
      </w:r>
    </w:p>
    <w:p>
      <w:pPr>
        <w:pStyle w:val="Heading1"/>
        <w:bidi w:val="1"/>
        <w:spacing w:before="200" w:after="100"/>
        <w:jc w:val="right"/>
      </w:pPr>
      <w:r>
        <w:t>9. توزيع الاستخدام داخل المنصة</w:t>
      </w:r>
    </w:p>
    <w:p>
      <w:pPr>
        <w:pStyle w:val="ListBullet"/>
        <w:bidi w:val="1"/>
        <w:spacing w:after="40"/>
        <w:ind w:left="170" w:right="170"/>
        <w:jc w:val="right"/>
      </w:pPr>
      <w:r>
        <w:rPr>
          <w:rFonts w:ascii="Noto Naskh Arabic" w:hAnsi="Noto Naskh Arabic" w:cs="Noto Naskh Arabic" w:eastAsia="Noto Naskh Arabic"/>
          <w:sz w:val="24"/>
        </w:rPr>
        <w:t>صور المفردات: الاختيارات، المطابقة، الصوت الأول، الكلمة والصورة، وبناء الكلمات.</w:t>
      </w:r>
    </w:p>
    <w:p>
      <w:pPr>
        <w:pStyle w:val="ListBullet"/>
        <w:bidi w:val="1"/>
        <w:spacing w:after="40"/>
        <w:ind w:left="170" w:right="170"/>
        <w:jc w:val="right"/>
      </w:pPr>
      <w:r>
        <w:rPr>
          <w:rFonts w:ascii="Noto Naskh Arabic" w:hAnsi="Noto Naskh Arabic" w:cs="Noto Naskh Arabic" w:eastAsia="Noto Naskh Arabic"/>
          <w:sz w:val="24"/>
        </w:rPr>
        <w:t>صور شرح الجمل: دعم فهم الجملة في الأنشطة وليس أثناء تسجيل القراءة إذا كانت الصورة ستكشف الإجابة.</w:t>
      </w:r>
    </w:p>
    <w:p>
      <w:pPr>
        <w:pStyle w:val="ListBullet"/>
        <w:bidi w:val="1"/>
        <w:spacing w:after="40"/>
        <w:ind w:left="170" w:right="170"/>
        <w:jc w:val="right"/>
      </w:pPr>
      <w:r>
        <w:rPr>
          <w:rFonts w:ascii="Noto Naskh Arabic" w:hAnsi="Noto Naskh Arabic" w:cs="Noto Naskh Arabic" w:eastAsia="Noto Naskh Arabic"/>
          <w:sz w:val="24"/>
        </w:rPr>
        <w:t>صور التسلسل: أنشطة الترتيب فقط، دون تسجيل قصة بعدها.</w:t>
      </w:r>
    </w:p>
    <w:p>
      <w:pPr>
        <w:pStyle w:val="ListBullet"/>
        <w:bidi w:val="1"/>
        <w:spacing w:after="40"/>
        <w:ind w:left="170" w:right="170"/>
        <w:jc w:val="right"/>
      </w:pPr>
      <w:r>
        <w:rPr>
          <w:rFonts w:ascii="Noto Naskh Arabic" w:hAnsi="Noto Naskh Arabic" w:cs="Noto Naskh Arabic" w:eastAsia="Noto Naskh Arabic"/>
          <w:sz w:val="24"/>
        </w:rPr>
        <w:t>صور القصص: غلاف بصري قبل النص أو بعده، ولا تستخدم بصورة تمنح إجابة مباشرة في الاختبار.</w:t>
      </w:r>
    </w:p>
    <w:p>
      <w:pPr>
        <w:pStyle w:val="ListBullet"/>
        <w:bidi w:val="1"/>
        <w:spacing w:after="40"/>
        <w:ind w:left="170" w:right="170"/>
        <w:jc w:val="right"/>
      </w:pPr>
      <w:r>
        <w:rPr>
          <w:rFonts w:ascii="Noto Naskh Arabic" w:hAnsi="Noto Naskh Arabic" w:cs="Noto Naskh Arabic" w:eastAsia="Noto Naskh Arabic"/>
          <w:sz w:val="24"/>
        </w:rPr>
        <w:t>الشخصيات المرافقة: الترحيب، التعليمات، الانتقال، التشجيع، والنتيجة؛ لا تشغل مساحة أكبر من المحتوى التعليمي.</w:t>
      </w:r>
    </w:p>
    <w:p>
      <w:pPr>
        <w:pStyle w:val="ListBullet"/>
        <w:bidi w:val="1"/>
        <w:spacing w:after="40"/>
        <w:ind w:left="170" w:right="170"/>
        <w:jc w:val="right"/>
      </w:pPr>
      <w:r>
        <w:rPr>
          <w:rFonts w:ascii="Noto Naskh Arabic" w:hAnsi="Noto Naskh Arabic" w:cs="Noto Naskh Arabic" w:eastAsia="Noto Naskh Arabic"/>
          <w:sz w:val="24"/>
        </w:rPr>
        <w:t>الشارات: شاشة النتيجة ومسار التقدم ولوحة الطالب.</w:t>
      </w:r>
    </w:p>
    <w:sectPr w:rsidR="00FC693F" w:rsidRPr="0006063C" w:rsidSect="00034616">
      <w:footerReference w:type="default" r:id="rId9"/>
      <w:pgSz w:w="12240" w:h="15840"/>
      <w:pgMar w:top="1020" w:right="964" w:bottom="102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 w:val="1"/>
      <w:jc w:val="center"/>
    </w:pPr>
    <w:r>
      <w:rPr>
        <w:rFonts w:ascii="Noto Naskh Arabic" w:hAnsi="Noto Naskh Arabic" w:cs="Noto Naskh Arabic" w:eastAsia="Noto Naskh Arabic"/>
        <w:b w:val="0"/>
        <w:color w:val="5A6673"/>
        <w:sz w:val="18"/>
      </w:rPr>
      <w:t>تخطيط وتحليل هِمّة — ملف الصور والرسومات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Naskh Arabic" w:hAnsi="Noto Naskh Arabic" w:cs="Noto Naskh Arabic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Naskh Arabic" w:hAnsi="Noto Naskh Arabic" w:cs="Noto Naskh Arabic"/>
      <w:b/>
      <w:bCs/>
      <w:color w:val="16324F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Naskh Arabic" w:hAnsi="Noto Naskh Arabic" w:cs="Noto Naskh Arabic"/>
      <w:b/>
      <w:bCs/>
      <w:color w:val="167D8D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Naskh Arabic" w:hAnsi="Noto Naskh Arabic" w:cs="Noto Naskh Arabic"/>
      <w:b/>
      <w:bCs/>
      <w:color w:val="16324F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Naskh Arabic" w:hAnsi="Noto Naskh Arabic" w:cs="Noto Naskh Arabic"/>
      <w:b/>
      <w:color w:val="16324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