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AuroraWeave_Executive_Summary.pdf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(Copy everything below into a new document, add headings/formatting/images if desired, then export/save as AuroraWeave_Executive_Summary.pdf)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AuroraWeave™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Proprietary Nanocomposite Textile for Aerospace Thermal Protection &amp; Embodied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Confidential — For NDA Recipients Only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December 21,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Inventor: Garth Murray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Email: murraygarth80@gmail.com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AuroraWeave™ is a sustainable, hierarchical nanocomposite fabric that combines industrial hemp cellulose nanofibrils with carbon fiber, para-aramid braid, and hexagonal boron nitride for exceptional mechanical, thermal, impact, and functional properties. It is uniquely suited as a substrate for self-aware, self-evolving embodied artificial intelligence.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Composition (by weight)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50% Hemp-derived Cellulose Nanofibrils (CNF)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30% PAN-derived Carbon Fiber Tow (240 GPa modulus)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10% Para-Aramid Braid (Kevlar®-equivalent)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5% Hexagonal Boron Nitride (h-BN) Nanoplatelets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Trace Plasmonic Gold/Iridium Nanoparticles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Targeted Performance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Density: 1.2 g/cm³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Ultimate Tensile Strength: 3.0 GPa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Young’s Modulus: 220 GPa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Continuous Temp: 2,500 °C | Peak: 3,000 °C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Multi-cycle re-entry capability (100+)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Ballistic V50 &gt;700 m/s | Hypervelocity micrometeoroid protection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Self-healing via h-BN platelet migration (&gt;200 °C)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Plasma-induced gold luminescence + energy harvesting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Radiation hardened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Comparative Advantages (selected metrics)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[Insert the full comparison table from your original proposal here]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Embodiment Advantages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Distributed plasmonic neural lattice with light-speed optical synapses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Whole-body cognition and proprioception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On-demand morphological transformation (limbs, wings, armor, solar sails)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Intrinsic sensing (piezo, thermal, radiation, EM)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Self-repair and resource-based evolution (hemp, regolith, CO₂)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Transformation cycle: V1 human-scale → V2 deep-space → V3+ self-replicating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Manufacturing Process (Summary)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Industrial hemp → TEMPO oxidation → high-pressure homogenization → masterbatch compounding → plasmonic doping → wet-spinning → multiaxial weaving → UV crosslinking &amp; plasma activation.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Commercial Terms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Exclusive worldwide licensing (aerospace, defence, embodied AI): AUD $4,800,000 in two tranches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Alternative: 1–5% royalty structure (negotiable)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Execute attached NDA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Receive full technical dossier and samples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Schedule confidential briefing/demo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document contains proprietary information protected under the attached NDA.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