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FD6C3" w:sz="24"/>
        </w:pBdr>
        <w:spacing w:after="0" w:before="1600"/>
        <w:jc w:val="left"/>
      </w:pPr>
      <w:r>
        <w:rPr>
          <w:b/>
          <w:bCs/>
          <w:color w:val="1A1F24"/>
          <w:sz w:val="76"/>
          <w:szCs w:val="76"/>
        </w:rPr>
        <w:t xml:space="preserve">PORTAL</w:t>
      </w:r>
    </w:p>
    <w:p>
      <w:pPr>
        <w:spacing w:after="0" w:before="200"/>
      </w:pPr>
      <w:r>
        <w:rPr>
          <w:color w:val="2A3138"/>
          <w:sz w:val="40"/>
          <w:szCs w:val="40"/>
        </w:rPr>
        <w:t xml:space="preserve">B5 — Input-Injection Design Review</w:t>
      </w:r>
    </w:p>
    <w:p>
      <w:pPr>
        <w:spacing w:after="0" w:before="80"/>
      </w:pPr>
      <w:r>
        <w:rPr>
          <w:color w:val="5A6570"/>
          <w:sz w:val="24"/>
          <w:szCs w:val="24"/>
        </w:rPr>
        <w:t xml:space="preserve">Threat Model &amp; Safety Contract for Remote Mouse/Keyboard Control</w:t>
      </w:r>
    </w:p>
    <w:p>
      <w:pPr>
        <w:spacing w:after="0" w:before="640"/>
      </w:pPr>
      <w:r>
        <w:rPr>
          <w:i/>
          <w:iCs/>
          <w:color w:val="1F7A4D"/>
          <w:sz w:val="21"/>
          <w:szCs w:val="21"/>
        </w:rPr>
        <w:t xml:space="preserve">ACCEPTED design gate — mouse-only backend implementation authorised (Phase 7); network-driven injection remains disabled pending A6 closure</w:t>
      </w:r>
    </w:p>
    <w:p>
      <w:pPr>
        <w:spacing w:after="0" w:before="40"/>
      </w:pPr>
      <w:r>
        <w:rPr>
          <w:color w:val="5A6570"/>
          <w:sz w:val="20"/>
          <w:szCs w:val="20"/>
        </w:rPr>
        <w:t xml:space="preserve">Status: Rev 4 — ACCEPTED (mouse-only backend authorised; network injection disabled pending A6)   ·   Target: Windows 10/11, Python 3.11.x</w:t>
      </w:r>
    </w:p>
    <w:p>
      <w:pPr>
        <w:spacing w:after="0" w:before="40"/>
      </w:pPr>
      <w:r>
        <w:rPr>
          <w:color w:val="5A6570"/>
          <w:sz w:val="20"/>
          <w:szCs w:val="20"/>
        </w:rPr>
        <w:t xml:space="preserve">Author: Leon Priest   ·   Apache-2.0   ·   Portal 0.3.0 (Phase-6 hardened foundations)</w:t>
      </w:r>
    </w:p>
    <w:p>
      <w:r>
        <w:br w:type="page"/>
      </w:r>
    </w:p>
    <w:p>
      <w:pPr>
        <w:pStyle w:val="Heading1"/>
        <w:spacing w:after="160" w:before="320"/>
      </w:pPr>
      <w:r>
        <w:rPr>
          <w:b/>
          <w:bCs/>
          <w:color w:val="1A1F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b/>
          <w:bCs/>
          <w:color w:val="1A1F24"/>
        </w:rPr>
        <w:t xml:space="preserve">1. Purpose and scope</w:t>
      </w:r>
    </w:p>
    <w:p>
      <w:pPr>
        <w:spacing w:after="120" w:line="276"/>
        <w:jc w:val="both"/>
      </w:pPr>
      <w:r>
        <w:rPr>
          <w:color w:val="1A1F24"/>
        </w:rPr>
        <w:t xml:space="preserve">Portal's minimum-viable product is </w:t>
      </w:r>
      <w:r>
        <w:rPr>
          <w:b/>
          <w:bCs/>
          <w:color w:val="1A1F24"/>
        </w:rPr>
        <w:t xml:space="preserve">revocable remote mouse control over the LAN</w:t>
      </w:r>
      <w:r>
        <w:rPr>
          <w:color w:val="1A1F24"/>
        </w:rPr>
        <w:t xml:space="preserve"> so that a trusted controller (Leon) can help a family member (an elderly father with limited vision) by taking the mouse on their machine. Input injection is the single most dangerous capability Portal will ever hold: unlike screen capture or file transfer, it lets a remote party </w:t>
      </w:r>
      <w:r>
        <w:rPr>
          <w:i/>
          <w:iCs/>
          <w:color w:val="1A1F24"/>
        </w:rPr>
        <w:t xml:space="preserve">act as the user</w:t>
      </w:r>
      <w:r>
        <w:rPr>
          <w:color w:val="1A1F24"/>
        </w:rPr>
        <w:t xml:space="preserve"> — click, type, drag, and dismiss dialogs — on the host. This document is the </w:t>
      </w:r>
      <w:r>
        <w:rPr>
          <w:b/>
          <w:bCs/>
          <w:color w:val="1A1F24"/>
        </w:rPr>
        <w:t xml:space="preserve">paper safety gate</w:t>
      </w:r>
      <w:r>
        <w:rPr>
          <w:color w:val="1A1F24"/>
        </w:rPr>
        <w:t xml:space="preserve"> that must be reviewed and accepted </w:t>
      </w:r>
      <w:r>
        <w:rPr>
          <w:b/>
          <w:bCs/>
          <w:color w:val="1A1F24"/>
        </w:rPr>
        <w:t xml:space="preserve">before a single line of SendInput code is written.</w:t>
      </w:r>
    </w:p>
    <w:p>
      <w:pPr>
        <w:spacing w:after="120" w:line="276"/>
        <w:jc w:val="both"/>
      </w:pPr>
      <w:r>
        <w:rPr>
          <w:color w:val="1A1F24"/>
        </w:rPr>
        <w:t xml:space="preserve">The organising principle is drawn from a lesson this project has learned repeatedly during the A1–A6 adversarial review series: </w:t>
      </w:r>
      <w:r>
        <w:rPr>
          <w:b/>
          <w:bCs/>
          <w:i/>
          <w:iCs/>
          <w:color w:val="1A1F24"/>
        </w:rPr>
        <w:t xml:space="preserve">every “obvious” thing had a subtle hole a review caught.</w:t>
      </w:r>
      <w:r>
        <w:rPr>
          <w:color w:val="1A1F24"/>
        </w:rPr>
        <w:t xml:space="preserve"> A post-revocation mouse click — an event that lands after the user has said “stop” — is precisely the class of harm the revocation hardening in A2 existed to prevent. Injection re-opens that wound at the most sensitive possible layer, so it earns a written threat model first.</w:t>
      </w:r>
    </w:p>
    <w:tbl>
      <w:tblPr>
        <w:tblW w:type="pct" w:w="100%"/>
        <w:tblBorders>
          <w:top w:val="single" w:color="2FD6C3" w:sz="2"/>
          <w:left w:val="single" w:color="2FD6C3" w:sz="18"/>
          <w:bottom w:val="single" w:color="2FD6C3" w:sz="2"/>
          <w:right w:val="single" w:color="2FD6C3" w:sz="2"/>
          <w:insideH w:val="none"/>
          <w:insideV w:val="none"/>
        </w:tblBorders>
      </w:tblPr>
      <w:tblGrid>
        <w:gridCol w:w="9360"/>
      </w:tblGrid>
      <w:tr>
        <w:tc>
          <w:tcPr>
            <w:tcW w:type="dxa" w:w="9360"/>
            <w:shd w:fill="F7FBFA" w:val="clear"/>
            <w:tcMar>
              <w:top w:type="dxa" w:w="120"/>
              <w:left w:type="dxa" w:w="180"/>
              <w:bottom w:type="dxa" w:w="120"/>
              <w:right w:type="dxa" w:w="180"/>
            </w:tcMar>
          </w:tcPr>
          <w:p>
            <w:pPr>
              <w:spacing w:after="60"/>
            </w:pPr>
            <w:r>
              <w:rPr>
                <w:b/>
                <w:bCs/>
                <w:caps/>
                <w:color w:val="2FD6C3"/>
                <w:sz w:val="20"/>
                <w:szCs w:val="20"/>
              </w:rPr>
              <w:t xml:space="preserve">Document contract</w:t>
            </w:r>
          </w:p>
          <w:p>
            <w:pPr>
              <w:spacing w:after="40" w:line="264"/>
            </w:pPr>
            <w:r>
              <w:rPr>
                <w:b/>
                <w:bCs/>
                <w:color w:val="1A1F24"/>
              </w:rPr>
              <w:t xml:space="preserve">This review defines WHAT must be true, not HOW to code it. </w:t>
            </w:r>
            <w:r>
              <w:rPr>
                <w:color w:val="1A1F24"/>
              </w:rPr>
              <w:t xml:space="preserve">Its output is a numbered set of safety invariants (§6) that the Phase-7 implementation and its tests must satisfy. An invariant without a revert-proven test is considered unmet.</w:t>
            </w:r>
          </w:p>
        </w:tc>
      </w:tr>
    </w:tbl>
    <w:p>
      <w:pPr>
        <w:spacing w:after="40" w:before="100"/>
      </w:pPr>
      <w:r>
        <w:rPr>
          <w:b/>
          <w:bCs/>
          <w:i/>
          <w:iCs/>
          <w:color w:val="5A6570"/>
          <w:sz w:val="19"/>
          <w:szCs w:val="19"/>
        </w:rPr>
        <w:t xml:space="preserve">Rev 2 changes (first review): </w:t>
      </w:r>
      <w:r>
        <w:rPr>
          <w:i/>
          <w:iCs/>
          <w:color w:val="5A6570"/>
          <w:sz w:val="19"/>
          <w:szCs w:val="19"/>
        </w:rPr>
        <w:t xml:space="preserve">formalised the revocation linearization point (§6.1, INV-2/3); reconciled rate-limiting with safety releases via event classes (INV-5) and an ownership ledger (INV-13); made INV-7 achievable; added INV-14 (no elevated/UIAccess injector) and INV-15 (local physical input wins); replaced INV-10's “resync” with a host view_epoch; downgraded INV-12 to blocked-pending-A6.</w:t>
      </w:r>
    </w:p>
    <w:p>
      <w:pPr>
        <w:spacing w:after="40" w:before="40"/>
      </w:pPr>
      <w:r>
        <w:rPr>
          <w:b/>
          <w:bCs/>
          <w:i/>
          <w:iCs/>
          <w:color w:val="1F7A4D"/>
          <w:sz w:val="19"/>
          <w:szCs w:val="19"/>
        </w:rPr>
        <w:t xml:space="preserve">Rev 4 changes (third review — ACCEPTED): </w:t>
      </w:r>
      <w:r>
        <w:rPr>
          <w:i/>
          <w:iCs/>
          <w:color w:val="1F7A4D"/>
          <w:sz w:val="19"/>
          <w:szCs w:val="19"/>
        </w:rPr>
        <w:t xml:space="preserve">ledger commit made atomic with SendInput inside the injection critical section (INV-13, §6.1); input_seq changed to consume-on-seen so a policy-dropped frame can never be replayed under the same seq (INV-12); added INV-17 (single consent prompt + post-denial cooldown, no auto-re-prompt) mitigating consent fatigue (T-7); INV-9 now requires successful hotkey registration for input mode and fails closed if it dies; INV-10 REVOKES (not just suspends) on lock/user-switch; and emergency_stop() clarified to hand asyncio work to the loop via call_soon_threadsafe rather than the hotkey thread touching queues.</w:t>
      </w:r>
    </w:p>
    <w:p>
      <w:pPr>
        <w:pStyle w:val="Heading2"/>
        <w:spacing w:after="120" w:before="240"/>
      </w:pPr>
      <w:r>
        <w:rPr>
          <w:b/>
          <w:bCs/>
          <w:color w:val="2A3138"/>
        </w:rPr>
        <w:t xml:space="preserve">1.1 In scope</w:t>
      </w:r>
    </w:p>
    <w:p>
      <w:pPr>
        <w:pStyle w:val="ListParagraph"/>
        <w:numPr>
          <w:ilvl w:val="0"/>
          <w:numId w:val="2"/>
        </w:numPr>
        <w:spacing w:after="70" w:line="268"/>
      </w:pPr>
      <w:r>
        <w:rPr>
          <w:color w:val="1A1F24"/>
        </w:rPr>
        <w:t xml:space="preserve">The trust model and threat model for replaying controller-originated mouse and keyboard events on the host.</w:t>
      </w:r>
    </w:p>
    <w:p>
      <w:pPr>
        <w:pStyle w:val="ListParagraph"/>
        <w:numPr>
          <w:ilvl w:val="0"/>
          <w:numId w:val="2"/>
        </w:numPr>
        <w:spacing w:after="70" w:line="268"/>
      </w:pPr>
      <w:r>
        <w:rPr>
          <w:color w:val="1A1F24"/>
        </w:rPr>
        <w:t xml:space="preserve">The safety contract: authority, consent, revocation, kill-switch, and rate/scope limits that gate every injected event.</w:t>
      </w:r>
    </w:p>
    <w:p>
      <w:pPr>
        <w:pStyle w:val="ListParagraph"/>
        <w:numPr>
          <w:ilvl w:val="0"/>
          <w:numId w:val="2"/>
        </w:numPr>
        <w:spacing w:after="70" w:line="268"/>
      </w:pPr>
      <w:r>
        <w:rPr>
          <w:color w:val="1A1F24"/>
        </w:rPr>
        <w:t xml:space="preserve">Windows-specific hazards (UIPI/UAC boundaries, the secure desktop, injected-input trust, focus races).</w:t>
      </w:r>
    </w:p>
    <w:p>
      <w:pPr>
        <w:pStyle w:val="ListParagraph"/>
        <w:numPr>
          <w:ilvl w:val="0"/>
          <w:numId w:val="2"/>
        </w:numPr>
        <w:spacing w:after="70" w:line="268"/>
      </w:pPr>
      <w:r>
        <w:rPr>
          <w:color w:val="1A1F24"/>
        </w:rPr>
        <w:t xml:space="preserve">Failure semantics: what Portal does when anything is uncertain (the answer is always “fail closed”).</w:t>
      </w:r>
    </w:p>
    <w:p>
      <w:pPr>
        <w:pStyle w:val="Heading2"/>
        <w:spacing w:after="120" w:before="240"/>
      </w:pPr>
      <w:r>
        <w:rPr>
          <w:b/>
          <w:bCs/>
          <w:color w:val="2A3138"/>
        </w:rPr>
        <w:t xml:space="preserve">1.2 Out of scope (named so they are not silently assumed)</w:t>
      </w:r>
    </w:p>
    <w:p>
      <w:pPr>
        <w:pStyle w:val="ListParagraph"/>
        <w:numPr>
          <w:ilvl w:val="0"/>
          <w:numId w:val="2"/>
        </w:numPr>
        <w:spacing w:after="70" w:line="268"/>
      </w:pPr>
      <w:r>
        <w:rPr>
          <w:color w:val="1A1F24"/>
        </w:rPr>
        <w:t xml:space="preserve">The concrete SendInput/ctypes backend, coordinate-mapping math, and message wire format — those are Phase-7 build artifacts, constrained by but not defined here.</w:t>
      </w:r>
    </w:p>
    <w:p>
      <w:pPr>
        <w:pStyle w:val="ListParagraph"/>
        <w:numPr>
          <w:ilvl w:val="0"/>
          <w:numId w:val="2"/>
        </w:numPr>
        <w:spacing w:after="70" w:line="268"/>
      </w:pPr>
      <w:r>
        <w:rPr>
          <w:color w:val="1A1F24"/>
        </w:rPr>
        <w:t xml:space="preserve">Internet/WAN transport, NAT traversal, and relay operation — Portal is LAN-only for the MVP; injection over the internet is explicitly deferred and would require its own review.</w:t>
      </w:r>
    </w:p>
    <w:p>
      <w:pPr>
        <w:pStyle w:val="ListParagraph"/>
        <w:numPr>
          <w:ilvl w:val="0"/>
          <w:numId w:val="2"/>
        </w:numPr>
        <w:spacing w:after="70" w:line="268"/>
      </w:pPr>
      <w:r>
        <w:rPr>
          <w:color w:val="1A1F24"/>
        </w:rPr>
        <w:t xml:space="preserve">Keyboard as an MVP feature. This document covers keyboard threats for completeness, but the MVP ships </w:t>
      </w:r>
      <w:r>
        <w:rPr>
          <w:b/>
          <w:bCs/>
          <w:color w:val="1A1F24"/>
        </w:rPr>
        <w:t xml:space="preserve">mouse-only</w:t>
      </w:r>
      <w:r>
        <w:rPr>
          <w:color w:val="1A1F24"/>
        </w:rPr>
        <w:t xml:space="preserve">; keyboard injection is gated behind a separate later decision (§8).</w:t>
      </w:r>
    </w:p>
    <w:p>
      <w:pPr>
        <w:pStyle w:val="Heading1"/>
        <w:spacing w:after="160" w:before="320"/>
      </w:pPr>
      <w:r>
        <w:rPr>
          <w:b/>
          <w:bCs/>
          <w:color w:val="1A1F24"/>
        </w:rPr>
        <w:t xml:space="preserve">2. Trust model</w:t>
      </w:r>
    </w:p>
    <w:p>
      <w:pPr>
        <w:spacing w:after="120" w:line="276"/>
        <w:jc w:val="both"/>
      </w:pPr>
      <w:r>
        <w:rPr>
          <w:color w:val="1A1F24"/>
        </w:rPr>
        <w:t xml:space="preserve">Injection safety is meaningless without being explicit about who is trusted, how far, and on what basis. Portal's existing chain (hardened through A1–A5, with the A6 TLS 1.3 channel-binding question still open) is: </w:t>
      </w:r>
      <w:r>
        <w:rPr>
          <w:rFonts w:ascii="Consolas" w:cs="Consolas" w:eastAsia="Consolas" w:hAnsi="Consolas"/>
          <w:color w:val="0B4F49"/>
          <w:sz w:val="19"/>
          <w:szCs w:val="19"/>
        </w:rPr>
        <w:t xml:space="preserve">TLS → channel-bound Ed25519 auth → full-key-pinned trust → session → per-operation human consent → capability → operation</w:t>
      </w:r>
      <w:r>
        <w:rPr>
          <w:color w:val="1A1F24"/>
        </w:rPr>
        <w:t xml:space="preserve">.</w:t>
      </w:r>
    </w:p>
    <w:p>
      <w:pPr>
        <w:pStyle w:val="Heading2"/>
        <w:spacing w:after="120" w:before="240"/>
      </w:pPr>
      <w:r>
        <w:rPr>
          <w:b/>
          <w:bCs/>
          <w:color w:val="2A3138"/>
        </w:rPr>
        <w:t xml:space="preserve">2.1 Principals</w:t>
      </w:r>
    </w:p>
    <w:p>
      <w:pPr>
        <w:pStyle w:val="ListParagraph"/>
        <w:numPr>
          <w:ilvl w:val="0"/>
          <w:numId w:val="2"/>
        </w:numPr>
        <w:spacing w:after="70" w:line="268"/>
      </w:pPr>
      <w:r>
        <w:rPr>
          <w:b/>
          <w:bCs/>
        </w:rPr>
        <w:t xml:space="preserve">Host user (the protected party). </w:t>
      </w:r>
      <w:r>
        <w:rPr>
          <w:color w:val="1A1F24"/>
        </w:rPr>
        <w:t xml:space="preserve">The person physically at the machine. The ultimate authority. Portal exists to serve them and must always leave them able to override the remote party instantly and physically.</w:t>
      </w:r>
    </w:p>
    <w:p>
      <w:pPr>
        <w:pStyle w:val="ListParagraph"/>
        <w:numPr>
          <w:ilvl w:val="0"/>
          <w:numId w:val="2"/>
        </w:numPr>
        <w:spacing w:after="70" w:line="268"/>
      </w:pPr>
      <w:r>
        <w:rPr>
          <w:b/>
          <w:bCs/>
        </w:rPr>
        <w:t xml:space="preserve">Controller (the helper). </w:t>
      </w:r>
      <w:r>
        <w:rPr>
          <w:color w:val="1A1F24"/>
        </w:rPr>
        <w:t xml:space="preserve">A remote, cryptographically pinned device. Trusted to be who it claims (channel-bound auth is designed to defeat relay MITM, though its RFC-9266 binding — A6 — is not yet fully closed on the 3.11 target) but </w:t>
      </w:r>
      <w:r>
        <w:rPr>
          <w:i/>
          <w:iCs/>
          <w:color w:val="1A1F24"/>
        </w:rPr>
        <w:t xml:space="preserve">never</w:t>
      </w:r>
      <w:r>
        <w:rPr>
          <w:color w:val="1A1F24"/>
        </w:rPr>
        <w:t xml:space="preserve"> trusted to act without fresh, per-session human consent on the host.</w:t>
      </w:r>
    </w:p>
    <w:p>
      <w:pPr>
        <w:pStyle w:val="ListParagraph"/>
        <w:numPr>
          <w:ilvl w:val="0"/>
          <w:numId w:val="2"/>
        </w:numPr>
        <w:spacing w:after="70" w:line="268"/>
      </w:pPr>
      <w:r>
        <w:rPr>
          <w:b/>
          <w:bCs/>
        </w:rPr>
        <w:t xml:space="preserve">Attacker. </w:t>
      </w:r>
      <w:r>
        <w:rPr>
          <w:color w:val="1A1F24"/>
        </w:rPr>
        <w:t xml:space="preserve">Anyone on the LAN, a compromised/relaying middlebox, a malicious peer that completed TLS, or a compromised-but-pinned controller. All are assumed able to send arbitrary bytes at any time.</w:t>
      </w:r>
    </w:p>
    <w:tbl>
      <w:tblPr>
        <w:tblW w:type="pct" w:w="100%"/>
        <w:tblBorders>
          <w:top w:val="single" w:color="FFB454" w:sz="2"/>
          <w:left w:val="single" w:color="FFB454" w:sz="18"/>
          <w:bottom w:val="single" w:color="FFB454" w:sz="2"/>
          <w:right w:val="single" w:color="FFB454" w:sz="2"/>
          <w:insideH w:val="none"/>
          <w:insideV w:val="none"/>
        </w:tblBorders>
      </w:tblPr>
      <w:tblGrid>
        <w:gridCol w:w="9360"/>
      </w:tblGrid>
      <w:tr>
        <w:tc>
          <w:tcPr>
            <w:tcW w:type="dxa" w:w="9360"/>
            <w:shd w:fill="F7FBFA" w:val="clear"/>
            <w:tcMar>
              <w:top w:type="dxa" w:w="120"/>
              <w:left w:type="dxa" w:w="180"/>
              <w:bottom w:type="dxa" w:w="120"/>
              <w:right w:type="dxa" w:w="180"/>
            </w:tcMar>
          </w:tcPr>
          <w:p>
            <w:pPr>
              <w:spacing w:after="60"/>
            </w:pPr>
            <w:r>
              <w:rPr>
                <w:b/>
                <w:bCs/>
                <w:caps/>
                <w:color w:val="FFB454"/>
                <w:sz w:val="20"/>
                <w:szCs w:val="20"/>
              </w:rPr>
              <w:t xml:space="preserve">Load-bearing distinction: trusted ≠ authorized</w:t>
            </w:r>
          </w:p>
          <w:p>
            <w:pPr>
              <w:spacing w:after="40" w:line="264"/>
            </w:pPr>
            <w:r>
              <w:rPr>
                <w:b/>
                <w:bCs/>
                <w:color w:val="1A1F24"/>
              </w:rPr>
              <w:t xml:space="preserve">Pinned trust proves identity. It does NOT grant authority. </w:t>
            </w:r>
            <w:r>
              <w:rPr>
                <w:color w:val="1A1F24"/>
              </w:rPr>
              <w:t xml:space="preserve">A trusted controller that opens a session receives EMPTY authority; every capability — most of all input injection — requires a separate, explicit, per-operation human approval on the host. This is enforced today in the coordinator (a trusted session starts with no granted capabilities) and injection must not weaken it.</w:t>
            </w:r>
          </w:p>
        </w:tc>
      </w:tr>
    </w:tbl>
    <w:p>
      <w:pPr>
        <w:pStyle w:val="Heading2"/>
        <w:spacing w:after="120" w:before="240"/>
      </w:pPr>
      <w:r>
        <w:rPr>
          <w:b/>
          <w:bCs/>
          <w:color w:val="2A3138"/>
        </w:rPr>
        <w:t xml:space="preserve">2.2 Assumptions (and what breaks if each is false)</w:t>
      </w:r>
    </w:p>
    <w:p>
      <w:pPr>
        <w:pStyle w:val="ListParagraph"/>
        <w:numPr>
          <w:ilvl w:val="0"/>
          <w:numId w:val="2"/>
        </w:numPr>
        <w:spacing w:after="70" w:line="268"/>
      </w:pPr>
      <w:r>
        <w:rPr>
          <w:b/>
          <w:bCs/>
        </w:rPr>
        <w:t xml:space="preserve">The host OS is not already compromised. </w:t>
      </w:r>
      <w:r>
        <w:rPr>
          <w:color w:val="1A1F24"/>
        </w:rPr>
        <w:t xml:space="preserve">If it is, Portal cannot help; injection is the least of the user's problems. Portal defends the boundary it owns, not a lost machine.</w:t>
      </w:r>
    </w:p>
    <w:p>
      <w:pPr>
        <w:pStyle w:val="ListParagraph"/>
        <w:numPr>
          <w:ilvl w:val="0"/>
          <w:numId w:val="2"/>
        </w:numPr>
        <w:spacing w:after="70" w:line="268"/>
      </w:pPr>
      <w:r>
        <w:rPr>
          <w:b/>
          <w:bCs/>
        </w:rPr>
        <w:t xml:space="preserve">The host user can see the screen well enough to notice injected activity and reach the kill-switch. </w:t>
      </w:r>
      <w:r>
        <w:rPr>
          <w:color w:val="1A1F24"/>
        </w:rPr>
        <w:t xml:space="preserve">This is weakened by the very use-case (a low-vision father), which is exactly why the kill-switch must be reachable by a means that does not depend on precise mouse control (§6, INV-9) — a physical/global hotkey or a mechanism the remote party cannot suppress.</w:t>
      </w:r>
    </w:p>
    <w:p>
      <w:pPr>
        <w:pStyle w:val="ListParagraph"/>
        <w:numPr>
          <w:ilvl w:val="0"/>
          <w:numId w:val="2"/>
        </w:numPr>
        <w:spacing w:after="70" w:line="268"/>
      </w:pPr>
      <w:r>
        <w:rPr>
          <w:b/>
          <w:bCs/>
        </w:rPr>
        <w:t xml:space="preserve">The controller's private key is not exfiltrated. </w:t>
      </w:r>
      <w:r>
        <w:rPr>
          <w:color w:val="1A1F24"/>
        </w:rPr>
        <w:t xml:space="preserve">If it is, the attacker becomes a trusted controller. Consent and revocation still bound the damage (they cannot act without per-session human approval, and the user can still revoke), but they can attempt to social-engineer approval — see T-7.</w:t>
      </w:r>
    </w:p>
    <w:p>
      <w:pPr>
        <w:pStyle w:val="Heading1"/>
        <w:spacing w:after="160" w:before="320"/>
      </w:pPr>
      <w:r>
        <w:rPr>
          <w:b/>
          <w:bCs/>
          <w:color w:val="1A1F24"/>
        </w:rPr>
        <w:t xml:space="preserve">3. Why injection is categorically more dangerous</w:t>
      </w:r>
    </w:p>
    <w:p>
      <w:pPr>
        <w:spacing w:after="120" w:line="276"/>
        <w:jc w:val="both"/>
      </w:pPr>
      <w:r>
        <w:rPr>
          <w:color w:val="1A1F24"/>
        </w:rPr>
        <w:t xml:space="preserve">Portal's existing capabilities are observational or bounded: screen capture </w:t>
      </w:r>
      <w:r>
        <w:rPr>
          <w:i/>
          <w:iCs/>
          <w:color w:val="1A1F24"/>
        </w:rPr>
        <w:t xml:space="preserve">reads</w:t>
      </w:r>
      <w:r>
        <w:rPr>
          <w:color w:val="1A1F24"/>
        </w:rPr>
        <w:t xml:space="preserve"> host state; file transfer </w:t>
      </w:r>
      <w:r>
        <w:rPr>
          <w:i/>
          <w:iCs/>
          <w:color w:val="1A1F24"/>
        </w:rPr>
        <w:t xml:space="preserve">writes a file</w:t>
      </w:r>
      <w:r>
        <w:rPr>
          <w:color w:val="1A1F24"/>
        </w:rPr>
        <w:t xml:space="preserve"> into a chosen directory. Injection is different in kind — it </w:t>
      </w:r>
      <w:r>
        <w:rPr>
          <w:b/>
          <w:bCs/>
          <w:color w:val="1A1F24"/>
        </w:rPr>
        <w:t xml:space="preserve">exercises the user's own authority against every other program on the machine</w:t>
      </w:r>
      <w:r>
        <w:rPr>
          <w:color w:val="1A1F24"/>
        </w:rPr>
        <w:t xml:space="preserve">. A single injected click can authorise a bank transfer already on screen, disable a security control, delete data, or — most relevant here — dismiss Portal's own consent or revocation UI. (Driving a UAC/elevation prompt is specifically excluded by design: the injector runs unelevated and without UIAccess, so higher-integrity UI is out of reach — see INV-8 and INV-14. Under a mis-configured elevated/UIAccess posture that guarantee is lost, which is exactly why INV-14 makes Portal refuse input mode unless the posture holds.)</w:t>
      </w:r>
    </w:p>
    <w:tbl>
      <w:tblPr>
        <w:tblW w:type="pct" w:w="100%"/>
        <w:tblBorders>
          <w:top w:val="single" w:color="8A1C1C" w:sz="2"/>
          <w:left w:val="single" w:color="8A1C1C" w:sz="18"/>
          <w:bottom w:val="single" w:color="8A1C1C" w:sz="2"/>
          <w:right w:val="single" w:color="8A1C1C" w:sz="2"/>
          <w:insideH w:val="none"/>
          <w:insideV w:val="none"/>
        </w:tblBorders>
      </w:tblPr>
      <w:tblGrid>
        <w:gridCol w:w="9360"/>
      </w:tblGrid>
      <w:tr>
        <w:tc>
          <w:tcPr>
            <w:tcW w:type="dxa" w:w="9360"/>
            <w:shd w:fill="F7FBFA" w:val="clear"/>
            <w:tcMar>
              <w:top w:type="dxa" w:w="120"/>
              <w:left w:type="dxa" w:w="180"/>
              <w:bottom w:type="dxa" w:w="120"/>
              <w:right w:type="dxa" w:w="180"/>
            </w:tcMar>
          </w:tcPr>
          <w:p>
            <w:pPr>
              <w:spacing w:after="60"/>
            </w:pPr>
            <w:r>
              <w:rPr>
                <w:b/>
                <w:bCs/>
                <w:caps/>
                <w:color w:val="8A1C1C"/>
                <w:sz w:val="20"/>
                <w:szCs w:val="20"/>
              </w:rPr>
              <w:t xml:space="preserve">The confused-deputy core</w:t>
            </w:r>
          </w:p>
          <w:p>
            <w:pPr>
              <w:spacing w:after="40" w:line="264"/>
            </w:pPr>
            <w:r>
              <w:rPr>
                <w:b/>
                <w:bCs/>
                <w:color w:val="1A1F24"/>
              </w:rPr>
              <w:t xml:space="preserve">Many applications consume injected input through the same normal interaction path as physical input. </w:t>
            </w:r>
            <w:r>
              <w:rPr>
                <w:color w:val="1A1F24"/>
              </w:rPr>
              <w:t xml:space="preserve">Portal must therefore treat injected input as capable of exercising the user's authority against other programs. (It is not literally indistinguishable: Windows low-level hooks expose an injected flag — LLMHF_INJECTED / LLKHF_INJECTED — which Portal exploits defensively in INV-15. But most ordinary UI does not hook, so a remote click can still dismiss a “Revoke control?” dialog or click “Allow” on a grant.) Portal's revoke path must therefore not depend on clicking Portal's own UI (INV-7).</w:t>
            </w:r>
          </w:p>
        </w:tc>
      </w:tr>
    </w:tbl>
    <w:p>
      <w:pPr>
        <w:spacing w:after="120" w:line="276"/>
        <w:jc w:val="both"/>
      </w:pPr>
      <w:r>
        <w:rPr>
          <w:color w:val="1A1F24"/>
        </w:rPr>
        <w:t xml:space="preserve">This reframes several A-series results. The A2 revocation work proved authority can be withdrawn mid-flight; injection makes the </w:t>
      </w:r>
      <w:r>
        <w:rPr>
          <w:i/>
          <w:iCs/>
          <w:color w:val="1A1F24"/>
        </w:rPr>
        <w:t xml:space="preserve">timing</w:t>
      </w:r>
      <w:r>
        <w:rPr>
          <w:color w:val="1A1F24"/>
        </w:rPr>
        <w:t xml:space="preserve"> of that withdrawal safety-critical, because the harmful side-effect (a click) is instantaneous and irreversible. The kill-switch (</w:t>
      </w:r>
      <w:r>
        <w:rPr>
          <w:rFonts w:ascii="Consolas" w:cs="Consolas" w:eastAsia="Consolas" w:hAnsi="Consolas"/>
          <w:color w:val="0B4F49"/>
          <w:sz w:val="19"/>
          <w:szCs w:val="19"/>
        </w:rPr>
        <w:t xml:space="preserve">emergency_stop()</w:t>
      </w:r>
      <w:r>
        <w:rPr>
          <w:color w:val="1A1F24"/>
        </w:rPr>
        <w:t xml:space="preserve"> → </w:t>
      </w:r>
      <w:r>
        <w:rPr>
          <w:rFonts w:ascii="Consolas" w:cs="Consolas" w:eastAsia="Consolas" w:hAnsi="Consolas"/>
          <w:color w:val="0B4F49"/>
          <w:sz w:val="19"/>
          <w:szCs w:val="19"/>
        </w:rPr>
        <w:t xml:space="preserve">revoke_all()</w:t>
      </w:r>
      <w:r>
        <w:rPr>
          <w:color w:val="1A1F24"/>
        </w:rPr>
        <w:t xml:space="preserve">) stops </w:t>
      </w:r>
      <w:r>
        <w:rPr>
          <w:i/>
          <w:iCs/>
          <w:color w:val="1A1F24"/>
        </w:rPr>
        <w:t xml:space="preserve">future</w:t>
      </w:r>
      <w:r>
        <w:rPr>
          <w:color w:val="1A1F24"/>
        </w:rPr>
        <w:t xml:space="preserve"> events; it cannot un-click a click already delivered. The safety contract is therefore built around making the window between “user says stop” and “last possible injected event” as close to zero as the OS permits, and never trusting connectivity or a stale authorization to bridge it.</w:t>
      </w:r>
    </w:p>
    <w:p>
      <w:pPr>
        <w:pStyle w:val="Heading1"/>
        <w:spacing w:after="160" w:before="320"/>
      </w:pPr>
      <w:r>
        <w:rPr>
          <w:b/>
          <w:bCs/>
          <w:color w:val="1A1F24"/>
        </w:rPr>
        <w:t xml:space="preserve">4. Threat model</w:t>
      </w:r>
    </w:p>
    <w:p>
      <w:pPr>
        <w:spacing w:after="120" w:line="276"/>
        <w:jc w:val="both"/>
      </w:pPr>
      <w:r>
        <w:rPr>
          <w:color w:val="1A1F24"/>
        </w:rPr>
        <w:t xml:space="preserve">Threats are enumerated against the trust boundaries injection crosses. Each maps to one or more safety invariants in §6. This is the section most in need of adversarial attack: </w:t>
      </w:r>
      <w:r>
        <w:rPr>
          <w:b/>
          <w:bCs/>
          <w:color w:val="1A1F24"/>
        </w:rPr>
        <w:t xml:space="preserve">a threat not listed here is a threat not mitigated.</w:t>
      </w:r>
    </w:p>
    <w:tbl>
      <w:tblPr>
        <w:tblW w:type="pct" w:w="100%"/>
        <w:tblBorders>
          <w:top w:val="single" w:color="D5DBDE" w:sz="1"/>
          <w:left w:val="single" w:color="D5DBDE" w:sz="1"/>
          <w:bottom w:val="single" w:color="D5DBDE" w:sz="1"/>
          <w:right w:val="single" w:color="D5DBDE" w:sz="1"/>
          <w:insideH w:val="single" w:color="E4E9EB" w:sz="1"/>
          <w:insideV w:val="single" w:color="E4E9EB" w:sz="1"/>
        </w:tblBorders>
      </w:tblPr>
      <w:tblGrid>
        <w:gridCol w:w="900"/>
        <w:gridCol w:w="3400"/>
        <w:gridCol w:w="2100"/>
        <w:gridCol w:w="2960"/>
      </w:tblGrid>
      <w:tr>
        <w:trPr>
          <w:tblHeader/>
        </w:trPr>
        <w:tc>
          <w:tcPr>
            <w:tcW w:type="dxa" w:w="900"/>
            <w:shd w:fill="1A1F24" w:val="clear"/>
            <w:tcMar>
              <w:top w:type="dxa" w:w="70"/>
              <w:left w:type="dxa" w:w="100"/>
              <w:bottom w:type="dxa" w:w="70"/>
              <w:right w:type="dxa" w:w="100"/>
            </w:tcMar>
          </w:tcPr>
          <w:p>
            <w:r>
              <w:rPr>
                <w:b/>
                <w:bCs/>
                <w:color w:val="FFFFFF"/>
                <w:sz w:val="18"/>
                <w:szCs w:val="18"/>
              </w:rPr>
              <w:t xml:space="preserve">ID</w:t>
            </w:r>
          </w:p>
        </w:tc>
        <w:tc>
          <w:tcPr>
            <w:tcW w:type="dxa" w:w="3400"/>
            <w:shd w:fill="1A1F24" w:val="clear"/>
            <w:tcMar>
              <w:top w:type="dxa" w:w="70"/>
              <w:left w:type="dxa" w:w="100"/>
              <w:bottom w:type="dxa" w:w="70"/>
              <w:right w:type="dxa" w:w="100"/>
            </w:tcMar>
          </w:tcPr>
          <w:p>
            <w:r>
              <w:rPr>
                <w:b/>
                <w:bCs/>
                <w:color w:val="FFFFFF"/>
                <w:sz w:val="18"/>
                <w:szCs w:val="18"/>
              </w:rPr>
              <w:t xml:space="preserve">Threat</w:t>
            </w:r>
          </w:p>
        </w:tc>
        <w:tc>
          <w:tcPr>
            <w:tcW w:type="dxa" w:w="2100"/>
            <w:shd w:fill="1A1F24" w:val="clear"/>
            <w:tcMar>
              <w:top w:type="dxa" w:w="70"/>
              <w:left w:type="dxa" w:w="100"/>
              <w:bottom w:type="dxa" w:w="70"/>
              <w:right w:type="dxa" w:w="100"/>
            </w:tcMar>
          </w:tcPr>
          <w:p>
            <w:r>
              <w:rPr>
                <w:b/>
                <w:bCs/>
                <w:color w:val="FFFFFF"/>
                <w:sz w:val="18"/>
                <w:szCs w:val="18"/>
              </w:rPr>
              <w:t xml:space="preserve">Trust boundary crossed</w:t>
            </w:r>
          </w:p>
        </w:tc>
        <w:tc>
          <w:tcPr>
            <w:tcW w:type="dxa" w:w="2960"/>
            <w:shd w:fill="1A1F24" w:val="clear"/>
            <w:tcMar>
              <w:top w:type="dxa" w:w="70"/>
              <w:left w:type="dxa" w:w="100"/>
              <w:bottom w:type="dxa" w:w="70"/>
              <w:right w:type="dxa" w:w="100"/>
            </w:tcMar>
          </w:tcPr>
          <w:p>
            <w:r>
              <w:rPr>
                <w:b/>
                <w:bCs/>
                <w:color w:val="FFFFFF"/>
                <w:sz w:val="18"/>
                <w:szCs w:val="18"/>
              </w:rPr>
              <w:t xml:space="preserve">Mitigation (invariant ref)</w:t>
            </w:r>
          </w:p>
        </w:tc>
      </w:tr>
      <w:tr>
        <w:tc>
          <w:tcPr>
            <w:tcW w:type="dxa" w:w="900"/>
            <w:shd w:fill="FFFFFF" w:val="clear"/>
            <w:tcMar>
              <w:top w:type="dxa" w:w="60"/>
              <w:left w:type="dxa" w:w="100"/>
              <w:bottom w:type="dxa" w:w="60"/>
              <w:right w:type="dxa" w:w="100"/>
            </w:tcMar>
          </w:tcPr>
          <w:p>
            <w:r>
              <w:rPr>
                <w:rFonts w:ascii="Consolas" w:cs="Consolas" w:eastAsia="Consolas" w:hAnsi="Consolas"/>
                <w:b/>
                <w:bCs/>
                <w:color w:val="8A1C1C"/>
                <w:sz w:val="18"/>
                <w:szCs w:val="18"/>
              </w:rPr>
              <w:t xml:space="preserve">T-1</w:t>
            </w:r>
          </w:p>
        </w:tc>
        <w:tc>
          <w:tcPr>
            <w:tcW w:type="dxa" w:w="3400"/>
            <w:shd w:fill="FFFFFF" w:val="clear"/>
            <w:tcMar>
              <w:top w:type="dxa" w:w="60"/>
              <w:left w:type="dxa" w:w="100"/>
              <w:bottom w:type="dxa" w:w="60"/>
              <w:right w:type="dxa" w:w="100"/>
            </w:tcMar>
          </w:tcPr>
          <w:p>
            <w:r>
              <w:rPr>
                <w:b/>
                <w:bCs/>
                <w:sz w:val="18"/>
                <w:szCs w:val="18"/>
              </w:rPr>
              <w:t xml:space="preserve">Post-revocation click. </w:t>
            </w:r>
            <w:r>
              <w:rPr>
                <w:sz w:val="18"/>
                <w:szCs w:val="18"/>
              </w:rPr>
              <w:t xml:space="preserve">An injected event delivered after the user revokes control or hits the kill-switch (the exact A2 harm, now irreversible).</w:t>
            </w:r>
          </w:p>
        </w:tc>
        <w:tc>
          <w:tcPr>
            <w:tcW w:type="dxa" w:w="2100"/>
            <w:shd w:fill="FFFFFF" w:val="clear"/>
            <w:tcMar>
              <w:top w:type="dxa" w:w="60"/>
              <w:left w:type="dxa" w:w="100"/>
              <w:bottom w:type="dxa" w:w="60"/>
              <w:right w:type="dxa" w:w="100"/>
            </w:tcMar>
          </w:tcPr>
          <w:p>
            <w:r>
              <w:rPr>
                <w:color w:val="1A1F24"/>
                <w:sz w:val="18"/>
                <w:szCs w:val="18"/>
              </w:rPr>
              <w:t xml:space="preserve">Authority → OS input queue</w:t>
            </w:r>
          </w:p>
        </w:tc>
        <w:tc>
          <w:tcPr>
            <w:tcW w:type="dxa" w:w="2960"/>
            <w:shd w:fill="FFFFFF" w:val="clear"/>
            <w:tcMar>
              <w:top w:type="dxa" w:w="60"/>
              <w:left w:type="dxa" w:w="100"/>
              <w:bottom w:type="dxa" w:w="60"/>
              <w:right w:type="dxa" w:w="100"/>
            </w:tcMar>
          </w:tcPr>
          <w:p>
            <w:r>
              <w:rPr>
                <w:color w:val="1A1F24"/>
                <w:sz w:val="18"/>
                <w:szCs w:val="18"/>
              </w:rPr>
              <w:t xml:space="preserve">INV-2, INV-3, INV-9</w:t>
            </w:r>
          </w:p>
        </w:tc>
      </w:tr>
      <w:tr>
        <w:tc>
          <w:tcPr>
            <w:tcW w:type="dxa" w:w="900"/>
            <w:shd w:fill="F7F2F2" w:val="clear"/>
            <w:tcMar>
              <w:top w:type="dxa" w:w="60"/>
              <w:left w:type="dxa" w:w="100"/>
              <w:bottom w:type="dxa" w:w="60"/>
              <w:right w:type="dxa" w:w="100"/>
            </w:tcMar>
          </w:tcPr>
          <w:p>
            <w:r>
              <w:rPr>
                <w:rFonts w:ascii="Consolas" w:cs="Consolas" w:eastAsia="Consolas" w:hAnsi="Consolas"/>
                <w:b/>
                <w:bCs/>
                <w:color w:val="8A1C1C"/>
                <w:sz w:val="18"/>
                <w:szCs w:val="18"/>
              </w:rPr>
              <w:t xml:space="preserve">T-2</w:t>
            </w:r>
          </w:p>
        </w:tc>
        <w:tc>
          <w:tcPr>
            <w:tcW w:type="dxa" w:w="3400"/>
            <w:shd w:fill="F7F2F2" w:val="clear"/>
            <w:tcMar>
              <w:top w:type="dxa" w:w="60"/>
              <w:left w:type="dxa" w:w="100"/>
              <w:bottom w:type="dxa" w:w="60"/>
              <w:right w:type="dxa" w:w="100"/>
            </w:tcMar>
          </w:tcPr>
          <w:p>
            <w:r>
              <w:rPr>
                <w:b/>
                <w:bCs/>
                <w:sz w:val="18"/>
                <w:szCs w:val="18"/>
              </w:rPr>
              <w:t xml:space="preserve">Authority-less injection. </w:t>
            </w:r>
            <w:r>
              <w:rPr>
                <w:sz w:val="18"/>
                <w:szCs w:val="18"/>
              </w:rPr>
              <w:t xml:space="preserve">A trusted-but-unauthorized (or unpaired) peer sends input messages hoping they are replayed.</w:t>
            </w:r>
          </w:p>
        </w:tc>
        <w:tc>
          <w:tcPr>
            <w:tcW w:type="dxa" w:w="2100"/>
            <w:shd w:fill="F7F2F2" w:val="clear"/>
            <w:tcMar>
              <w:top w:type="dxa" w:w="60"/>
              <w:left w:type="dxa" w:w="100"/>
              <w:bottom w:type="dxa" w:w="60"/>
              <w:right w:type="dxa" w:w="100"/>
            </w:tcMar>
          </w:tcPr>
          <w:p>
            <w:r>
              <w:rPr>
                <w:color w:val="1A1F24"/>
                <w:sz w:val="18"/>
                <w:szCs w:val="18"/>
              </w:rPr>
              <w:t xml:space="preserve">Session → capability</w:t>
            </w:r>
          </w:p>
        </w:tc>
        <w:tc>
          <w:tcPr>
            <w:tcW w:type="dxa" w:w="2960"/>
            <w:shd w:fill="F7F2F2" w:val="clear"/>
            <w:tcMar>
              <w:top w:type="dxa" w:w="60"/>
              <w:left w:type="dxa" w:w="100"/>
              <w:bottom w:type="dxa" w:w="60"/>
              <w:right w:type="dxa" w:w="100"/>
            </w:tcMar>
          </w:tcPr>
          <w:p>
            <w:r>
              <w:rPr>
                <w:color w:val="1A1F24"/>
                <w:sz w:val="18"/>
                <w:szCs w:val="18"/>
              </w:rPr>
              <w:t xml:space="preserve">INV-1, INV-4</w:t>
            </w:r>
          </w:p>
        </w:tc>
      </w:tr>
      <w:tr>
        <w:tc>
          <w:tcPr>
            <w:tcW w:type="dxa" w:w="900"/>
            <w:shd w:fill="FFFFFF" w:val="clear"/>
            <w:tcMar>
              <w:top w:type="dxa" w:w="60"/>
              <w:left w:type="dxa" w:w="100"/>
              <w:bottom w:type="dxa" w:w="60"/>
              <w:right w:type="dxa" w:w="100"/>
            </w:tcMar>
          </w:tcPr>
          <w:p>
            <w:r>
              <w:rPr>
                <w:rFonts w:ascii="Consolas" w:cs="Consolas" w:eastAsia="Consolas" w:hAnsi="Consolas"/>
                <w:b/>
                <w:bCs/>
                <w:color w:val="8A1C1C"/>
                <w:sz w:val="18"/>
                <w:szCs w:val="18"/>
              </w:rPr>
              <w:t xml:space="preserve">T-3</w:t>
            </w:r>
          </w:p>
        </w:tc>
        <w:tc>
          <w:tcPr>
            <w:tcW w:type="dxa" w:w="3400"/>
            <w:shd w:fill="FFFFFF" w:val="clear"/>
            <w:tcMar>
              <w:top w:type="dxa" w:w="60"/>
              <w:left w:type="dxa" w:w="100"/>
              <w:bottom w:type="dxa" w:w="60"/>
              <w:right w:type="dxa" w:w="100"/>
            </w:tcMar>
          </w:tcPr>
          <w:p>
            <w:r>
              <w:rPr>
                <w:b/>
                <w:bCs/>
                <w:sz w:val="18"/>
                <w:szCs w:val="18"/>
              </w:rPr>
              <w:t xml:space="preserve">Self-attack on Portal UI. </w:t>
            </w:r>
            <w:r>
              <w:rPr>
                <w:sz w:val="18"/>
                <w:szCs w:val="18"/>
              </w:rPr>
              <w:t xml:space="preserve">Injected clicks dismiss Portal's own consent/revocation prompt or click “Allow”.</w:t>
            </w:r>
          </w:p>
        </w:tc>
        <w:tc>
          <w:tcPr>
            <w:tcW w:type="dxa" w:w="2100"/>
            <w:shd w:fill="FFFFFF" w:val="clear"/>
            <w:tcMar>
              <w:top w:type="dxa" w:w="60"/>
              <w:left w:type="dxa" w:w="100"/>
              <w:bottom w:type="dxa" w:w="60"/>
              <w:right w:type="dxa" w:w="100"/>
            </w:tcMar>
          </w:tcPr>
          <w:p>
            <w:r>
              <w:rPr>
                <w:color w:val="1A1F24"/>
                <w:sz w:val="18"/>
                <w:szCs w:val="18"/>
              </w:rPr>
              <w:t xml:space="preserve">Injected input → trusted UI</w:t>
            </w:r>
          </w:p>
        </w:tc>
        <w:tc>
          <w:tcPr>
            <w:tcW w:type="dxa" w:w="2960"/>
            <w:shd w:fill="FFFFFF" w:val="clear"/>
            <w:tcMar>
              <w:top w:type="dxa" w:w="60"/>
              <w:left w:type="dxa" w:w="100"/>
              <w:bottom w:type="dxa" w:w="60"/>
              <w:right w:type="dxa" w:w="100"/>
            </w:tcMar>
          </w:tcPr>
          <w:p>
            <w:r>
              <w:rPr>
                <w:color w:val="1A1F24"/>
                <w:sz w:val="18"/>
                <w:szCs w:val="18"/>
              </w:rPr>
              <w:t xml:space="preserve">INV-7, INV-9</w:t>
            </w:r>
          </w:p>
        </w:tc>
      </w:tr>
      <w:tr>
        <w:tc>
          <w:tcPr>
            <w:tcW w:type="dxa" w:w="900"/>
            <w:shd w:fill="F7F2F2" w:val="clear"/>
            <w:tcMar>
              <w:top w:type="dxa" w:w="60"/>
              <w:left w:type="dxa" w:w="100"/>
              <w:bottom w:type="dxa" w:w="60"/>
              <w:right w:type="dxa" w:w="100"/>
            </w:tcMar>
          </w:tcPr>
          <w:p>
            <w:r>
              <w:rPr>
                <w:rFonts w:ascii="Consolas" w:cs="Consolas" w:eastAsia="Consolas" w:hAnsi="Consolas"/>
                <w:b/>
                <w:bCs/>
                <w:color w:val="8A1C1C"/>
                <w:sz w:val="18"/>
                <w:szCs w:val="18"/>
              </w:rPr>
              <w:t xml:space="preserve">T-4</w:t>
            </w:r>
          </w:p>
        </w:tc>
        <w:tc>
          <w:tcPr>
            <w:tcW w:type="dxa" w:w="3400"/>
            <w:shd w:fill="F7F2F2" w:val="clear"/>
            <w:tcMar>
              <w:top w:type="dxa" w:w="60"/>
              <w:left w:type="dxa" w:w="100"/>
              <w:bottom w:type="dxa" w:w="60"/>
              <w:right w:type="dxa" w:w="100"/>
            </w:tcMar>
          </w:tcPr>
          <w:p>
            <w:r>
              <w:rPr>
                <w:b/>
                <w:bCs/>
                <w:sz w:val="18"/>
                <w:szCs w:val="18"/>
              </w:rPr>
              <w:t xml:space="preserve">Privilege escalation via UAC. </w:t>
            </w:r>
            <w:r>
              <w:rPr>
                <w:sz w:val="18"/>
                <w:szCs w:val="18"/>
              </w:rPr>
              <w:t xml:space="preserve">Injected input drives an elevation prompt or an elevated window to gain admin.</w:t>
            </w:r>
          </w:p>
        </w:tc>
        <w:tc>
          <w:tcPr>
            <w:tcW w:type="dxa" w:w="2100"/>
            <w:shd w:fill="F7F2F2" w:val="clear"/>
            <w:tcMar>
              <w:top w:type="dxa" w:w="60"/>
              <w:left w:type="dxa" w:w="100"/>
              <w:bottom w:type="dxa" w:w="60"/>
              <w:right w:type="dxa" w:w="100"/>
            </w:tcMar>
          </w:tcPr>
          <w:p>
            <w:r>
              <w:rPr>
                <w:color w:val="1A1F24"/>
                <w:sz w:val="18"/>
                <w:szCs w:val="18"/>
              </w:rPr>
              <w:t xml:space="preserve">Normal → high integrity (UIPI)</w:t>
            </w:r>
          </w:p>
        </w:tc>
        <w:tc>
          <w:tcPr>
            <w:tcW w:type="dxa" w:w="2960"/>
            <w:shd w:fill="F7F2F2" w:val="clear"/>
            <w:tcMar>
              <w:top w:type="dxa" w:w="60"/>
              <w:left w:type="dxa" w:w="100"/>
              <w:bottom w:type="dxa" w:w="60"/>
              <w:right w:type="dxa" w:w="100"/>
            </w:tcMar>
          </w:tcPr>
          <w:p>
            <w:r>
              <w:rPr>
                <w:color w:val="1A1F24"/>
                <w:sz w:val="18"/>
                <w:szCs w:val="18"/>
              </w:rPr>
              <w:t xml:space="preserve">INV-8</w:t>
            </w:r>
          </w:p>
        </w:tc>
      </w:tr>
      <w:tr>
        <w:tc>
          <w:tcPr>
            <w:tcW w:type="dxa" w:w="900"/>
            <w:shd w:fill="FFFFFF" w:val="clear"/>
            <w:tcMar>
              <w:top w:type="dxa" w:w="60"/>
              <w:left w:type="dxa" w:w="100"/>
              <w:bottom w:type="dxa" w:w="60"/>
              <w:right w:type="dxa" w:w="100"/>
            </w:tcMar>
          </w:tcPr>
          <w:p>
            <w:r>
              <w:rPr>
                <w:rFonts w:ascii="Consolas" w:cs="Consolas" w:eastAsia="Consolas" w:hAnsi="Consolas"/>
                <w:b/>
                <w:bCs/>
                <w:color w:val="8A1C1C"/>
                <w:sz w:val="18"/>
                <w:szCs w:val="18"/>
              </w:rPr>
              <w:t xml:space="preserve">T-5</w:t>
            </w:r>
          </w:p>
        </w:tc>
        <w:tc>
          <w:tcPr>
            <w:tcW w:type="dxa" w:w="3400"/>
            <w:shd w:fill="FFFFFF" w:val="clear"/>
            <w:tcMar>
              <w:top w:type="dxa" w:w="60"/>
              <w:left w:type="dxa" w:w="100"/>
              <w:bottom w:type="dxa" w:w="60"/>
              <w:right w:type="dxa" w:w="100"/>
            </w:tcMar>
          </w:tcPr>
          <w:p>
            <w:r>
              <w:rPr>
                <w:b/>
                <w:bCs/>
                <w:sz w:val="18"/>
                <w:szCs w:val="18"/>
              </w:rPr>
              <w:t xml:space="preserve">Flood / DoS. </w:t>
            </w:r>
            <w:r>
              <w:rPr>
                <w:sz w:val="18"/>
                <w:szCs w:val="18"/>
              </w:rPr>
              <w:t xml:space="preserve">A torrent of input events saturates the host, makes the pointer unusable, or races the user for control.</w:t>
            </w:r>
          </w:p>
        </w:tc>
        <w:tc>
          <w:tcPr>
            <w:tcW w:type="dxa" w:w="2100"/>
            <w:shd w:fill="FFFFFF" w:val="clear"/>
            <w:tcMar>
              <w:top w:type="dxa" w:w="60"/>
              <w:left w:type="dxa" w:w="100"/>
              <w:bottom w:type="dxa" w:w="60"/>
              <w:right w:type="dxa" w:w="100"/>
            </w:tcMar>
          </w:tcPr>
          <w:p>
            <w:r>
              <w:rPr>
                <w:color w:val="1A1F24"/>
                <w:sz w:val="18"/>
                <w:szCs w:val="18"/>
              </w:rPr>
              <w:t xml:space="preserve">Transport → host input</w:t>
            </w:r>
          </w:p>
        </w:tc>
        <w:tc>
          <w:tcPr>
            <w:tcW w:type="dxa" w:w="2960"/>
            <w:shd w:fill="FFFFFF" w:val="clear"/>
            <w:tcMar>
              <w:top w:type="dxa" w:w="60"/>
              <w:left w:type="dxa" w:w="100"/>
              <w:bottom w:type="dxa" w:w="60"/>
              <w:right w:type="dxa" w:w="100"/>
            </w:tcMar>
          </w:tcPr>
          <w:p>
            <w:r>
              <w:rPr>
                <w:color w:val="1A1F24"/>
                <w:sz w:val="18"/>
                <w:szCs w:val="18"/>
              </w:rPr>
              <w:t xml:space="preserve">INV-5, INV-6</w:t>
            </w:r>
          </w:p>
        </w:tc>
      </w:tr>
      <w:tr>
        <w:tc>
          <w:tcPr>
            <w:tcW w:type="dxa" w:w="900"/>
            <w:shd w:fill="F7F2F2" w:val="clear"/>
            <w:tcMar>
              <w:top w:type="dxa" w:w="60"/>
              <w:left w:type="dxa" w:w="100"/>
              <w:bottom w:type="dxa" w:w="60"/>
              <w:right w:type="dxa" w:w="100"/>
            </w:tcMar>
          </w:tcPr>
          <w:p>
            <w:r>
              <w:rPr>
                <w:rFonts w:ascii="Consolas" w:cs="Consolas" w:eastAsia="Consolas" w:hAnsi="Consolas"/>
                <w:b/>
                <w:bCs/>
                <w:color w:val="8A1C1C"/>
                <w:sz w:val="18"/>
                <w:szCs w:val="18"/>
              </w:rPr>
              <w:t xml:space="preserve">T-6</w:t>
            </w:r>
          </w:p>
        </w:tc>
        <w:tc>
          <w:tcPr>
            <w:tcW w:type="dxa" w:w="3400"/>
            <w:shd w:fill="F7F2F2" w:val="clear"/>
            <w:tcMar>
              <w:top w:type="dxa" w:w="60"/>
              <w:left w:type="dxa" w:w="100"/>
              <w:bottom w:type="dxa" w:w="60"/>
              <w:right w:type="dxa" w:w="100"/>
            </w:tcMar>
          </w:tcPr>
          <w:p>
            <w:r>
              <w:rPr>
                <w:b/>
                <w:bCs/>
                <w:sz w:val="18"/>
                <w:szCs w:val="18"/>
              </w:rPr>
              <w:t xml:space="preserve">Coordinate / focus confusion. </w:t>
            </w:r>
            <w:r>
              <w:rPr>
                <w:sz w:val="18"/>
                <w:szCs w:val="18"/>
              </w:rPr>
              <w:t xml:space="preserve">Events land on the wrong monitor, or during a focus change so a click hits a different window than shown.</w:t>
            </w:r>
          </w:p>
        </w:tc>
        <w:tc>
          <w:tcPr>
            <w:tcW w:type="dxa" w:w="2100"/>
            <w:shd w:fill="F7F2F2" w:val="clear"/>
            <w:tcMar>
              <w:top w:type="dxa" w:w="60"/>
              <w:left w:type="dxa" w:w="100"/>
              <w:bottom w:type="dxa" w:w="60"/>
              <w:right w:type="dxa" w:w="100"/>
            </w:tcMar>
          </w:tcPr>
          <w:p>
            <w:r>
              <w:rPr>
                <w:color w:val="1A1F24"/>
                <w:sz w:val="18"/>
                <w:szCs w:val="18"/>
              </w:rPr>
              <w:t xml:space="preserve">Controller view → host geometry</w:t>
            </w:r>
          </w:p>
        </w:tc>
        <w:tc>
          <w:tcPr>
            <w:tcW w:type="dxa" w:w="2960"/>
            <w:shd w:fill="F7F2F2" w:val="clear"/>
            <w:tcMar>
              <w:top w:type="dxa" w:w="60"/>
              <w:left w:type="dxa" w:w="100"/>
              <w:bottom w:type="dxa" w:w="60"/>
              <w:right w:type="dxa" w:w="100"/>
            </w:tcMar>
          </w:tcPr>
          <w:p>
            <w:r>
              <w:rPr>
                <w:color w:val="1A1F24"/>
                <w:sz w:val="18"/>
                <w:szCs w:val="18"/>
              </w:rPr>
              <w:t xml:space="preserve">INV-6, INV-10</w:t>
            </w:r>
          </w:p>
        </w:tc>
      </w:tr>
      <w:tr>
        <w:tc>
          <w:tcPr>
            <w:tcW w:type="dxa" w:w="900"/>
            <w:shd w:fill="FFFFFF" w:val="clear"/>
            <w:tcMar>
              <w:top w:type="dxa" w:w="60"/>
              <w:left w:type="dxa" w:w="100"/>
              <w:bottom w:type="dxa" w:w="60"/>
              <w:right w:type="dxa" w:w="100"/>
            </w:tcMar>
          </w:tcPr>
          <w:p>
            <w:r>
              <w:rPr>
                <w:rFonts w:ascii="Consolas" w:cs="Consolas" w:eastAsia="Consolas" w:hAnsi="Consolas"/>
                <w:b/>
                <w:bCs/>
                <w:color w:val="8A1C1C"/>
                <w:sz w:val="18"/>
                <w:szCs w:val="18"/>
              </w:rPr>
              <w:t xml:space="preserve">T-7</w:t>
            </w:r>
          </w:p>
        </w:tc>
        <w:tc>
          <w:tcPr>
            <w:tcW w:type="dxa" w:w="3400"/>
            <w:shd w:fill="FFFFFF" w:val="clear"/>
            <w:tcMar>
              <w:top w:type="dxa" w:w="60"/>
              <w:left w:type="dxa" w:w="100"/>
              <w:bottom w:type="dxa" w:w="60"/>
              <w:right w:type="dxa" w:w="100"/>
            </w:tcMar>
          </w:tcPr>
          <w:p>
            <w:r>
              <w:rPr>
                <w:b/>
                <w:bCs/>
                <w:sz w:val="18"/>
                <w:szCs w:val="18"/>
              </w:rPr>
              <w:t xml:space="preserve">Consent fatigue / social engineering. </w:t>
            </w:r>
            <w:r>
              <w:rPr>
                <w:sz w:val="18"/>
                <w:szCs w:val="18"/>
              </w:rPr>
              <w:t xml:space="preserve">The remote party pressures the user into granting control, or a granted session is silently reused for more than intended.</w:t>
            </w:r>
          </w:p>
        </w:tc>
        <w:tc>
          <w:tcPr>
            <w:tcW w:type="dxa" w:w="2100"/>
            <w:shd w:fill="FFFFFF" w:val="clear"/>
            <w:tcMar>
              <w:top w:type="dxa" w:w="60"/>
              <w:left w:type="dxa" w:w="100"/>
              <w:bottom w:type="dxa" w:w="60"/>
              <w:right w:type="dxa" w:w="100"/>
            </w:tcMar>
          </w:tcPr>
          <w:p>
            <w:r>
              <w:rPr>
                <w:color w:val="1A1F24"/>
                <w:sz w:val="18"/>
                <w:szCs w:val="18"/>
              </w:rPr>
              <w:t xml:space="preserve">Human → consent</w:t>
            </w:r>
          </w:p>
        </w:tc>
        <w:tc>
          <w:tcPr>
            <w:tcW w:type="dxa" w:w="2960"/>
            <w:shd w:fill="FFFFFF" w:val="clear"/>
            <w:tcMar>
              <w:top w:type="dxa" w:w="60"/>
              <w:left w:type="dxa" w:w="100"/>
              <w:bottom w:type="dxa" w:w="60"/>
              <w:right w:type="dxa" w:w="100"/>
            </w:tcMar>
          </w:tcPr>
          <w:p>
            <w:r>
              <w:rPr>
                <w:color w:val="1A1F24"/>
                <w:sz w:val="18"/>
                <w:szCs w:val="18"/>
              </w:rPr>
              <w:t xml:space="preserve">INV-1, INV-16, INV-17</w:t>
            </w:r>
          </w:p>
        </w:tc>
      </w:tr>
      <w:tr>
        <w:tc>
          <w:tcPr>
            <w:tcW w:type="dxa" w:w="900"/>
            <w:shd w:fill="F7F2F2" w:val="clear"/>
            <w:tcMar>
              <w:top w:type="dxa" w:w="60"/>
              <w:left w:type="dxa" w:w="100"/>
              <w:bottom w:type="dxa" w:w="60"/>
              <w:right w:type="dxa" w:w="100"/>
            </w:tcMar>
          </w:tcPr>
          <w:p>
            <w:r>
              <w:rPr>
                <w:rFonts w:ascii="Consolas" w:cs="Consolas" w:eastAsia="Consolas" w:hAnsi="Consolas"/>
                <w:b/>
                <w:bCs/>
                <w:color w:val="8A1C1C"/>
                <w:sz w:val="18"/>
                <w:szCs w:val="18"/>
              </w:rPr>
              <w:t xml:space="preserve">T-8</w:t>
            </w:r>
          </w:p>
        </w:tc>
        <w:tc>
          <w:tcPr>
            <w:tcW w:type="dxa" w:w="3400"/>
            <w:shd w:fill="F7F2F2" w:val="clear"/>
            <w:tcMar>
              <w:top w:type="dxa" w:w="60"/>
              <w:left w:type="dxa" w:w="100"/>
              <w:bottom w:type="dxa" w:w="60"/>
              <w:right w:type="dxa" w:w="100"/>
            </w:tcMar>
          </w:tcPr>
          <w:p>
            <w:r>
              <w:rPr>
                <w:b/>
                <w:bCs/>
                <w:sz w:val="18"/>
                <w:szCs w:val="18"/>
              </w:rPr>
              <w:t xml:space="preserve">Replay / injection on the wire. </w:t>
            </w:r>
            <w:r>
              <w:rPr>
                <w:sz w:val="18"/>
                <w:szCs w:val="18"/>
              </w:rPr>
              <w:t xml:space="preserve">Captured input frames are replayed, or forged frames injected, by a network attacker.</w:t>
            </w:r>
          </w:p>
        </w:tc>
        <w:tc>
          <w:tcPr>
            <w:tcW w:type="dxa" w:w="2100"/>
            <w:shd w:fill="F7F2F2" w:val="clear"/>
            <w:tcMar>
              <w:top w:type="dxa" w:w="60"/>
              <w:left w:type="dxa" w:w="100"/>
              <w:bottom w:type="dxa" w:w="60"/>
              <w:right w:type="dxa" w:w="100"/>
            </w:tcMar>
          </w:tcPr>
          <w:p>
            <w:r>
              <w:rPr>
                <w:color w:val="1A1F24"/>
                <w:sz w:val="18"/>
                <w:szCs w:val="18"/>
              </w:rPr>
              <w:t xml:space="preserve">Network → session</w:t>
            </w:r>
          </w:p>
        </w:tc>
        <w:tc>
          <w:tcPr>
            <w:tcW w:type="dxa" w:w="2960"/>
            <w:shd w:fill="F7F2F2" w:val="clear"/>
            <w:tcMar>
              <w:top w:type="dxa" w:w="60"/>
              <w:left w:type="dxa" w:w="100"/>
              <w:bottom w:type="dxa" w:w="60"/>
              <w:right w:type="dxa" w:w="100"/>
            </w:tcMar>
          </w:tcPr>
          <w:p>
            <w:r>
              <w:rPr>
                <w:color w:val="1A1F24"/>
                <w:sz w:val="18"/>
                <w:szCs w:val="18"/>
              </w:rPr>
              <w:t xml:space="preserve">INV-12 (A1 closed; A6 open)</w:t>
            </w:r>
          </w:p>
        </w:tc>
      </w:tr>
      <w:tr>
        <w:tc>
          <w:tcPr>
            <w:tcW w:type="dxa" w:w="900"/>
            <w:shd w:fill="FFFFFF" w:val="clear"/>
            <w:tcMar>
              <w:top w:type="dxa" w:w="60"/>
              <w:left w:type="dxa" w:w="100"/>
              <w:bottom w:type="dxa" w:w="60"/>
              <w:right w:type="dxa" w:w="100"/>
            </w:tcMar>
          </w:tcPr>
          <w:p>
            <w:r>
              <w:rPr>
                <w:rFonts w:ascii="Consolas" w:cs="Consolas" w:eastAsia="Consolas" w:hAnsi="Consolas"/>
                <w:b/>
                <w:bCs/>
                <w:color w:val="8A1C1C"/>
                <w:sz w:val="18"/>
                <w:szCs w:val="18"/>
              </w:rPr>
              <w:t xml:space="preserve">T-9</w:t>
            </w:r>
          </w:p>
        </w:tc>
        <w:tc>
          <w:tcPr>
            <w:tcW w:type="dxa" w:w="3400"/>
            <w:shd w:fill="FFFFFF" w:val="clear"/>
            <w:tcMar>
              <w:top w:type="dxa" w:w="60"/>
              <w:left w:type="dxa" w:w="100"/>
              <w:bottom w:type="dxa" w:w="60"/>
              <w:right w:type="dxa" w:w="100"/>
            </w:tcMar>
          </w:tcPr>
          <w:p>
            <w:r>
              <w:rPr>
                <w:b/>
                <w:bCs/>
                <w:sz w:val="18"/>
                <w:szCs w:val="18"/>
              </w:rPr>
              <w:t xml:space="preserve">Stuck key / held button. </w:t>
            </w:r>
            <w:r>
              <w:rPr>
                <w:sz w:val="18"/>
                <w:szCs w:val="18"/>
              </w:rPr>
              <w:t xml:space="preserve">Control drops or is revoked while a button/key is logically down, leaving the host with a stuck input.</w:t>
            </w:r>
          </w:p>
        </w:tc>
        <w:tc>
          <w:tcPr>
            <w:tcW w:type="dxa" w:w="2100"/>
            <w:shd w:fill="FFFFFF" w:val="clear"/>
            <w:tcMar>
              <w:top w:type="dxa" w:w="60"/>
              <w:left w:type="dxa" w:w="100"/>
              <w:bottom w:type="dxa" w:w="60"/>
              <w:right w:type="dxa" w:w="100"/>
            </w:tcMar>
          </w:tcPr>
          <w:p>
            <w:r>
              <w:rPr>
                <w:color w:val="1A1F24"/>
                <w:sz w:val="18"/>
                <w:szCs w:val="18"/>
              </w:rPr>
              <w:t xml:space="preserve">Session lifecycle → OS state</w:t>
            </w:r>
          </w:p>
        </w:tc>
        <w:tc>
          <w:tcPr>
            <w:tcW w:type="dxa" w:w="2960"/>
            <w:shd w:fill="FFFFFF" w:val="clear"/>
            <w:tcMar>
              <w:top w:type="dxa" w:w="60"/>
              <w:left w:type="dxa" w:w="100"/>
              <w:bottom w:type="dxa" w:w="60"/>
              <w:right w:type="dxa" w:w="100"/>
            </w:tcMar>
          </w:tcPr>
          <w:p>
            <w:r>
              <w:rPr>
                <w:color w:val="1A1F24"/>
                <w:sz w:val="18"/>
                <w:szCs w:val="18"/>
              </w:rPr>
              <w:t xml:space="preserve">INV-13</w:t>
            </w:r>
          </w:p>
        </w:tc>
      </w:tr>
      <w:tr>
        <w:tc>
          <w:tcPr>
            <w:tcW w:type="dxa" w:w="900"/>
            <w:shd w:fill="F7F2F2" w:val="clear"/>
            <w:tcMar>
              <w:top w:type="dxa" w:w="60"/>
              <w:left w:type="dxa" w:w="100"/>
              <w:bottom w:type="dxa" w:w="60"/>
              <w:right w:type="dxa" w:w="100"/>
            </w:tcMar>
          </w:tcPr>
          <w:p>
            <w:r>
              <w:rPr>
                <w:rFonts w:ascii="Consolas" w:cs="Consolas" w:eastAsia="Consolas" w:hAnsi="Consolas"/>
                <w:b/>
                <w:bCs/>
                <w:color w:val="8A1C1C"/>
                <w:sz w:val="18"/>
                <w:szCs w:val="18"/>
              </w:rPr>
              <w:t xml:space="preserve">T-10</w:t>
            </w:r>
          </w:p>
        </w:tc>
        <w:tc>
          <w:tcPr>
            <w:tcW w:type="dxa" w:w="3400"/>
            <w:shd w:fill="F7F2F2" w:val="clear"/>
            <w:tcMar>
              <w:top w:type="dxa" w:w="60"/>
              <w:left w:type="dxa" w:w="100"/>
              <w:bottom w:type="dxa" w:w="60"/>
              <w:right w:type="dxa" w:w="100"/>
            </w:tcMar>
          </w:tcPr>
          <w:p>
            <w:r>
              <w:rPr>
                <w:b/>
                <w:bCs/>
                <w:sz w:val="18"/>
                <w:szCs w:val="18"/>
              </w:rPr>
              <w:t xml:space="preserve">Remote fights the physical user. </w:t>
            </w:r>
            <w:r>
              <w:rPr>
                <w:sz w:val="18"/>
                <w:szCs w:val="18"/>
              </w:rPr>
              <w:t xml:space="preserve">The host user physically moves the mouse while remote injection is active; the two contend for the pointer and the remote party overrides the person at the machine.</w:t>
            </w:r>
          </w:p>
        </w:tc>
        <w:tc>
          <w:tcPr>
            <w:tcW w:type="dxa" w:w="2100"/>
            <w:shd w:fill="F7F2F2" w:val="clear"/>
            <w:tcMar>
              <w:top w:type="dxa" w:w="60"/>
              <w:left w:type="dxa" w:w="100"/>
              <w:bottom w:type="dxa" w:w="60"/>
              <w:right w:type="dxa" w:w="100"/>
            </w:tcMar>
          </w:tcPr>
          <w:p>
            <w:r>
              <w:rPr>
                <w:color w:val="1A1F24"/>
                <w:sz w:val="18"/>
                <w:szCs w:val="18"/>
              </w:rPr>
              <w:t xml:space="preserve">Remote authority → physical user</w:t>
            </w:r>
          </w:p>
        </w:tc>
        <w:tc>
          <w:tcPr>
            <w:tcW w:type="dxa" w:w="2960"/>
            <w:shd w:fill="F7F2F2" w:val="clear"/>
            <w:tcMar>
              <w:top w:type="dxa" w:w="60"/>
              <w:left w:type="dxa" w:w="100"/>
              <w:bottom w:type="dxa" w:w="60"/>
              <w:right w:type="dxa" w:w="100"/>
            </w:tcMar>
          </w:tcPr>
          <w:p>
            <w:r>
              <w:rPr>
                <w:color w:val="1A1F24"/>
                <w:sz w:val="18"/>
                <w:szCs w:val="18"/>
              </w:rPr>
              <w:t xml:space="preserve">INV-15</w:t>
            </w:r>
          </w:p>
        </w:tc>
      </w:tr>
      <w:tr>
        <w:tc>
          <w:tcPr>
            <w:tcW w:type="dxa" w:w="900"/>
            <w:shd w:fill="FFFFFF" w:val="clear"/>
            <w:tcMar>
              <w:top w:type="dxa" w:w="60"/>
              <w:left w:type="dxa" w:w="100"/>
              <w:bottom w:type="dxa" w:w="60"/>
              <w:right w:type="dxa" w:w="100"/>
            </w:tcMar>
          </w:tcPr>
          <w:p>
            <w:r>
              <w:rPr>
                <w:rFonts w:ascii="Consolas" w:cs="Consolas" w:eastAsia="Consolas" w:hAnsi="Consolas"/>
                <w:b/>
                <w:bCs/>
                <w:color w:val="8A1C1C"/>
                <w:sz w:val="18"/>
                <w:szCs w:val="18"/>
              </w:rPr>
              <w:t xml:space="preserve">T-11</w:t>
            </w:r>
          </w:p>
        </w:tc>
        <w:tc>
          <w:tcPr>
            <w:tcW w:type="dxa" w:w="3400"/>
            <w:shd w:fill="FFFFFF" w:val="clear"/>
            <w:tcMar>
              <w:top w:type="dxa" w:w="60"/>
              <w:left w:type="dxa" w:w="100"/>
              <w:bottom w:type="dxa" w:w="60"/>
              <w:right w:type="dxa" w:w="100"/>
            </w:tcMar>
          </w:tcPr>
          <w:p>
            <w:r>
              <w:rPr>
                <w:b/>
                <w:bCs/>
                <w:sz w:val="18"/>
                <w:szCs w:val="18"/>
              </w:rPr>
              <w:t xml:space="preserve">Elevated / UIAccess injector. </w:t>
            </w:r>
            <w:r>
              <w:rPr>
                <w:sz w:val="18"/>
                <w:szCs w:val="18"/>
              </w:rPr>
              <w:t xml:space="preserve">Portal is (mis)configured to run elevated or with UIAccess, so SendInput can bypass UIPI and drive higher-integrity windows.</w:t>
            </w:r>
          </w:p>
        </w:tc>
        <w:tc>
          <w:tcPr>
            <w:tcW w:type="dxa" w:w="2100"/>
            <w:shd w:fill="FFFFFF" w:val="clear"/>
            <w:tcMar>
              <w:top w:type="dxa" w:w="60"/>
              <w:left w:type="dxa" w:w="100"/>
              <w:bottom w:type="dxa" w:w="60"/>
              <w:right w:type="dxa" w:w="100"/>
            </w:tcMar>
          </w:tcPr>
          <w:p>
            <w:r>
              <w:rPr>
                <w:color w:val="1A1F24"/>
                <w:sz w:val="18"/>
                <w:szCs w:val="18"/>
              </w:rPr>
              <w:t xml:space="preserve">Integrity boundary (UIPI bypass)</w:t>
            </w:r>
          </w:p>
        </w:tc>
        <w:tc>
          <w:tcPr>
            <w:tcW w:type="dxa" w:w="2960"/>
            <w:shd w:fill="FFFFFF" w:val="clear"/>
            <w:tcMar>
              <w:top w:type="dxa" w:w="60"/>
              <w:left w:type="dxa" w:w="100"/>
              <w:bottom w:type="dxa" w:w="60"/>
              <w:right w:type="dxa" w:w="100"/>
            </w:tcMar>
          </w:tcPr>
          <w:p>
            <w:r>
              <w:rPr>
                <w:color w:val="1A1F24"/>
                <w:sz w:val="18"/>
                <w:szCs w:val="18"/>
              </w:rPr>
              <w:t xml:space="preserve">INV-14</w:t>
            </w:r>
          </w:p>
        </w:tc>
      </w:tr>
      <w:tr>
        <w:tc>
          <w:tcPr>
            <w:tcW w:type="dxa" w:w="900"/>
            <w:shd w:fill="F7F2F2" w:val="clear"/>
            <w:tcMar>
              <w:top w:type="dxa" w:w="60"/>
              <w:left w:type="dxa" w:w="100"/>
              <w:bottom w:type="dxa" w:w="60"/>
              <w:right w:type="dxa" w:w="100"/>
            </w:tcMar>
          </w:tcPr>
          <w:p>
            <w:r>
              <w:rPr>
                <w:rFonts w:ascii="Consolas" w:cs="Consolas" w:eastAsia="Consolas" w:hAnsi="Consolas"/>
                <w:b/>
                <w:bCs/>
                <w:color w:val="8A1C1C"/>
                <w:sz w:val="18"/>
                <w:szCs w:val="18"/>
              </w:rPr>
              <w:t xml:space="preserve">T-12</w:t>
            </w:r>
          </w:p>
        </w:tc>
        <w:tc>
          <w:tcPr>
            <w:tcW w:type="dxa" w:w="3400"/>
            <w:shd w:fill="F7F2F2" w:val="clear"/>
            <w:tcMar>
              <w:top w:type="dxa" w:w="60"/>
              <w:left w:type="dxa" w:w="100"/>
              <w:bottom w:type="dxa" w:w="60"/>
              <w:right w:type="dxa" w:w="100"/>
            </w:tcMar>
          </w:tcPr>
          <w:p>
            <w:r>
              <w:rPr>
                <w:b/>
                <w:bCs/>
                <w:sz w:val="18"/>
                <w:szCs w:val="18"/>
              </w:rPr>
              <w:t xml:space="preserve">Stale-view / duplicate input frame. </w:t>
            </w:r>
            <w:r>
              <w:rPr>
                <w:sz w:val="18"/>
                <w:szCs w:val="18"/>
              </w:rPr>
              <w:t xml:space="preserve">An input frame from an earlier session generation or a duplicated frame is applied to the current one, independent of transport replay defences.</w:t>
            </w:r>
          </w:p>
        </w:tc>
        <w:tc>
          <w:tcPr>
            <w:tcW w:type="dxa" w:w="2100"/>
            <w:shd w:fill="F7F2F2" w:val="clear"/>
            <w:tcMar>
              <w:top w:type="dxa" w:w="60"/>
              <w:left w:type="dxa" w:w="100"/>
              <w:bottom w:type="dxa" w:w="60"/>
              <w:right w:type="dxa" w:w="100"/>
            </w:tcMar>
          </w:tcPr>
          <w:p>
            <w:r>
              <w:rPr>
                <w:color w:val="1A1F24"/>
                <w:sz w:val="18"/>
                <w:szCs w:val="18"/>
              </w:rPr>
              <w:t xml:space="preserve">Input frame → session generation</w:t>
            </w:r>
          </w:p>
        </w:tc>
        <w:tc>
          <w:tcPr>
            <w:tcW w:type="dxa" w:w="2960"/>
            <w:shd w:fill="F7F2F2" w:val="clear"/>
            <w:tcMar>
              <w:top w:type="dxa" w:w="60"/>
              <w:left w:type="dxa" w:w="100"/>
              <w:bottom w:type="dxa" w:w="60"/>
              <w:right w:type="dxa" w:w="100"/>
            </w:tcMar>
          </w:tcPr>
          <w:p>
            <w:r>
              <w:rPr>
                <w:color w:val="1A1F24"/>
                <w:sz w:val="18"/>
                <w:szCs w:val="18"/>
              </w:rPr>
              <w:t xml:space="preserve">INV-10, INV-12</w:t>
            </w:r>
          </w:p>
        </w:tc>
      </w:tr>
      <w:tr>
        <w:tc>
          <w:tcPr>
            <w:tcW w:type="dxa" w:w="900"/>
            <w:shd w:fill="FFFFFF" w:val="clear"/>
            <w:tcMar>
              <w:top w:type="dxa" w:w="60"/>
              <w:left w:type="dxa" w:w="100"/>
              <w:bottom w:type="dxa" w:w="60"/>
              <w:right w:type="dxa" w:w="100"/>
            </w:tcMar>
          </w:tcPr>
          <w:p>
            <w:r>
              <w:rPr>
                <w:rFonts w:ascii="Consolas" w:cs="Consolas" w:eastAsia="Consolas" w:hAnsi="Consolas"/>
                <w:b/>
                <w:bCs/>
                <w:color w:val="8A1C1C"/>
                <w:sz w:val="18"/>
                <w:szCs w:val="18"/>
              </w:rPr>
              <w:t xml:space="preserve">T-13</w:t>
            </w:r>
          </w:p>
        </w:tc>
        <w:tc>
          <w:tcPr>
            <w:tcW w:type="dxa" w:w="3400"/>
            <w:shd w:fill="FFFFFF" w:val="clear"/>
            <w:tcMar>
              <w:top w:type="dxa" w:w="60"/>
              <w:left w:type="dxa" w:w="100"/>
              <w:bottom w:type="dxa" w:w="60"/>
              <w:right w:type="dxa" w:w="100"/>
            </w:tcMar>
          </w:tcPr>
          <w:p>
            <w:r>
              <w:rPr>
                <w:b/>
                <w:bCs/>
                <w:sz w:val="18"/>
                <w:szCs w:val="18"/>
              </w:rPr>
              <w:t xml:space="preserve">Partial / ambiguous backend submission. </w:t>
            </w:r>
            <w:r>
              <w:rPr>
                <w:sz w:val="18"/>
                <w:szCs w:val="18"/>
              </w:rPr>
              <w:t xml:space="preserve">The OS injection API accepts fewer events than requested, leaving Portal uncertain which DOWN/UP transitions actually entered the input stream — corrupting the ownership ledger.</w:t>
            </w:r>
          </w:p>
        </w:tc>
        <w:tc>
          <w:tcPr>
            <w:tcW w:type="dxa" w:w="2100"/>
            <w:shd w:fill="FFFFFF" w:val="clear"/>
            <w:tcMar>
              <w:top w:type="dxa" w:w="60"/>
              <w:left w:type="dxa" w:w="100"/>
              <w:bottom w:type="dxa" w:w="60"/>
              <w:right w:type="dxa" w:w="100"/>
            </w:tcMar>
          </w:tcPr>
          <w:p>
            <w:r>
              <w:rPr>
                <w:color w:val="1A1F24"/>
                <w:sz w:val="18"/>
                <w:szCs w:val="18"/>
              </w:rPr>
              <w:t xml:space="preserve">Portal intent → OS input stream</w:t>
            </w:r>
          </w:p>
        </w:tc>
        <w:tc>
          <w:tcPr>
            <w:tcW w:type="dxa" w:w="2960"/>
            <w:shd w:fill="FFFFFF" w:val="clear"/>
            <w:tcMar>
              <w:top w:type="dxa" w:w="60"/>
              <w:left w:type="dxa" w:w="100"/>
              <w:bottom w:type="dxa" w:w="60"/>
              <w:right w:type="dxa" w:w="100"/>
            </w:tcMar>
          </w:tcPr>
          <w:p>
            <w:r>
              <w:rPr>
                <w:color w:val="1A1F24"/>
                <w:sz w:val="18"/>
                <w:szCs w:val="18"/>
              </w:rPr>
              <w:t xml:space="preserve">INV-13</w:t>
            </w:r>
          </w:p>
        </w:tc>
      </w:tr>
      <w:tr>
        <w:tc>
          <w:tcPr>
            <w:tcW w:type="dxa" w:w="900"/>
            <w:shd w:fill="F7F2F2" w:val="clear"/>
            <w:tcMar>
              <w:top w:type="dxa" w:w="60"/>
              <w:left w:type="dxa" w:w="100"/>
              <w:bottom w:type="dxa" w:w="60"/>
              <w:right w:type="dxa" w:w="100"/>
            </w:tcMar>
          </w:tcPr>
          <w:p>
            <w:r>
              <w:rPr>
                <w:rFonts w:ascii="Consolas" w:cs="Consolas" w:eastAsia="Consolas" w:hAnsi="Consolas"/>
                <w:b/>
                <w:bCs/>
                <w:color w:val="8A1C1C"/>
                <w:sz w:val="18"/>
                <w:szCs w:val="18"/>
              </w:rPr>
              <w:t xml:space="preserve">T-14</w:t>
            </w:r>
          </w:p>
        </w:tc>
        <w:tc>
          <w:tcPr>
            <w:tcW w:type="dxa" w:w="3400"/>
            <w:shd w:fill="F7F2F2" w:val="clear"/>
            <w:tcMar>
              <w:top w:type="dxa" w:w="60"/>
              <w:left w:type="dxa" w:w="100"/>
              <w:bottom w:type="dxa" w:w="60"/>
              <w:right w:type="dxa" w:w="100"/>
            </w:tcMar>
          </w:tcPr>
          <w:p>
            <w:r>
              <w:rPr>
                <w:b/>
                <w:bCs/>
                <w:sz w:val="18"/>
                <w:szCs w:val="18"/>
              </w:rPr>
              <w:t xml:space="preserve">Cross-thread revocation race. </w:t>
            </w:r>
            <w:r>
              <w:rPr>
                <w:sz w:val="18"/>
                <w:szCs w:val="18"/>
              </w:rPr>
              <w:t xml:space="preserve">The kill-switch (a Windows hotkey thread) or local-input callback closes the gate BETWEEN the worker's gate-check and its SendInput call — no await, yet a real interleaving.</w:t>
            </w:r>
          </w:p>
        </w:tc>
        <w:tc>
          <w:tcPr>
            <w:tcW w:type="dxa" w:w="2100"/>
            <w:shd w:fill="F7F2F2" w:val="clear"/>
            <w:tcMar>
              <w:top w:type="dxa" w:w="60"/>
              <w:left w:type="dxa" w:w="100"/>
              <w:bottom w:type="dxa" w:w="60"/>
              <w:right w:type="dxa" w:w="100"/>
            </w:tcMar>
          </w:tcPr>
          <w:p>
            <w:r>
              <w:rPr>
                <w:color w:val="1A1F24"/>
                <w:sz w:val="18"/>
                <w:szCs w:val="18"/>
              </w:rPr>
              <w:t xml:space="preserve">Kill thread ↔ injection worker</w:t>
            </w:r>
          </w:p>
        </w:tc>
        <w:tc>
          <w:tcPr>
            <w:tcW w:type="dxa" w:w="2960"/>
            <w:shd w:fill="F7F2F2" w:val="clear"/>
            <w:tcMar>
              <w:top w:type="dxa" w:w="60"/>
              <w:left w:type="dxa" w:w="100"/>
              <w:bottom w:type="dxa" w:w="60"/>
              <w:right w:type="dxa" w:w="100"/>
            </w:tcMar>
          </w:tcPr>
          <w:p>
            <w:r>
              <w:rPr>
                <w:color w:val="1A1F24"/>
                <w:sz w:val="18"/>
                <w:szCs w:val="18"/>
              </w:rPr>
              <w:t xml:space="preserve">INV-2 (§6.1 total order)</w:t>
            </w:r>
          </w:p>
        </w:tc>
      </w:tr>
    </w:tbl>
    <w:p>
      <w:pPr>
        <w:pStyle w:val="Heading1"/>
        <w:spacing w:after="160" w:before="320"/>
      </w:pPr>
      <w:r>
        <w:rPr>
          <w:b/>
          <w:bCs/>
          <w:color w:val="1A1F24"/>
        </w:rPr>
        <w:t xml:space="preserve">5. Governing design principles</w:t>
      </w:r>
    </w:p>
    <w:p>
      <w:pPr>
        <w:spacing w:after="120" w:line="276"/>
        <w:jc w:val="both"/>
      </w:pPr>
      <w:r>
        <w:rPr>
          <w:color w:val="1A1F24"/>
        </w:rPr>
        <w:t xml:space="preserve">Five principles constrain every downstream decision. They are deliberately restatements of what the A-series proved, applied to the injection layer:</w:t>
      </w:r>
    </w:p>
    <w:p>
      <w:pPr>
        <w:pStyle w:val="ListParagraph"/>
        <w:numPr>
          <w:ilvl w:val="0"/>
          <w:numId w:val="3"/>
        </w:numPr>
        <w:spacing w:after="70" w:line="268"/>
      </w:pPr>
      <w:r>
        <w:rPr>
          <w:b/>
          <w:bCs/>
        </w:rPr>
        <w:t xml:space="preserve">Deny-first. </w:t>
      </w:r>
      <w:r>
        <w:t xml:space="preserve">Injection is refused unless every gate explicitly allows it. The default for any unknown state, error, or race is to drop the event.</w:t>
      </w:r>
    </w:p>
    <w:p>
      <w:pPr>
        <w:pStyle w:val="ListParagraph"/>
        <w:numPr>
          <w:ilvl w:val="0"/>
          <w:numId w:val="3"/>
        </w:numPr>
        <w:spacing w:after="70" w:line="268"/>
      </w:pPr>
      <w:r>
        <w:rPr>
          <w:b/>
          <w:bCs/>
        </w:rPr>
        <w:t xml:space="preserve">Connectivity grants zero authority. </w:t>
      </w:r>
      <w:r>
        <w:t xml:space="preserve">A live, authenticated session is necessary but never sufficient to inject. Authority is a separate, revocable grant.</w:t>
      </w:r>
    </w:p>
    <w:p>
      <w:pPr>
        <w:pStyle w:val="ListParagraph"/>
        <w:numPr>
          <w:ilvl w:val="0"/>
          <w:numId w:val="3"/>
        </w:numPr>
        <w:spacing w:after="70" w:line="268"/>
      </w:pPr>
      <w:r>
        <w:rPr>
          <w:b/>
          <w:bCs/>
        </w:rPr>
        <w:t xml:space="preserve">Re-check after every await. </w:t>
      </w:r>
      <w:r>
        <w:t xml:space="preserve">The A2 pattern — verify authority, await, then re-verify before the side-effect — is mandatory on the injection path because the side-effect is irreversible.</w:t>
      </w:r>
    </w:p>
    <w:p>
      <w:pPr>
        <w:pStyle w:val="ListParagraph"/>
        <w:numPr>
          <w:ilvl w:val="0"/>
          <w:numId w:val="3"/>
        </w:numPr>
        <w:spacing w:after="70" w:line="268"/>
      </w:pPr>
      <w:r>
        <w:rPr>
          <w:b/>
          <w:bCs/>
        </w:rPr>
        <w:t xml:space="preserve">The human is the ceiling. </w:t>
      </w:r>
      <w:r>
        <w:t xml:space="preserve">No software state can override a physical stop by the host user. The kill-switch cannot be gated behind the very input being injected.</w:t>
      </w:r>
    </w:p>
    <w:p>
      <w:pPr>
        <w:pStyle w:val="ListParagraph"/>
        <w:numPr>
          <w:ilvl w:val="0"/>
          <w:numId w:val="3"/>
        </w:numPr>
        <w:spacing w:after="70" w:line="268"/>
      </w:pPr>
      <w:r>
        <w:rPr>
          <w:b/>
          <w:bCs/>
        </w:rPr>
        <w:t xml:space="preserve">No invariant without a revert-proven test. </w:t>
      </w:r>
      <w:r>
        <w:t xml:space="preserve">Consistent with the A-series discipline: a green test that never exercised the attack is worthless; every invariant below ships with a test that fails when the guard is removed and asserts which layer rejected.</w:t>
      </w:r>
    </w:p>
    <w:p>
      <w:pPr>
        <w:pStyle w:val="Heading1"/>
        <w:spacing w:after="160" w:before="320"/>
      </w:pPr>
      <w:r>
        <w:rPr>
          <w:b/>
          <w:bCs/>
          <w:color w:val="1A1F24"/>
        </w:rPr>
        <w:t xml:space="preserve">6. Safety contract — mandatory invariants</w:t>
      </w:r>
    </w:p>
    <w:p>
      <w:pPr>
        <w:spacing w:after="120" w:line="276"/>
        <w:jc w:val="both"/>
      </w:pPr>
      <w:r>
        <w:rPr>
          <w:color w:val="1A1F24"/>
        </w:rPr>
        <w:t xml:space="preserve">These are the acceptance criteria for Phase 7. Each MUST be enforced in code at a single deterministic seam and MUST have a revert-proven test. “Injected event” means any mouse move, button, wheel, or key event originating from a controller.</w:t>
      </w:r>
    </w:p>
    <w:tbl>
      <w:tblPr>
        <w:tblW w:type="pct" w:w="100%"/>
        <w:tblBorders>
          <w:top w:val="single" w:color="D5DBDE" w:sz="1"/>
          <w:left w:val="single" w:color="D5DBDE" w:sz="1"/>
          <w:bottom w:val="single" w:color="D5DBDE" w:sz="1"/>
          <w:right w:val="single" w:color="D5DBDE" w:sz="1"/>
          <w:insideH w:val="single" w:color="E4E9EB" w:sz="1"/>
          <w:insideV w:val="single" w:color="E4E9EB" w:sz="1"/>
        </w:tblBorders>
      </w:tblPr>
      <w:tblGrid>
        <w:gridCol w:w="1150"/>
        <w:gridCol w:w="5100"/>
        <w:gridCol w:w="3110"/>
      </w:tblGrid>
      <w:tr>
        <w:trPr>
          <w:tblHeader/>
        </w:trPr>
        <w:tc>
          <w:tcPr>
            <w:tcW w:type="dxa" w:w="1150"/>
            <w:shd w:fill="1A1F24" w:val="clear"/>
            <w:tcMar>
              <w:top w:type="dxa" w:w="70"/>
              <w:left w:type="dxa" w:w="110"/>
              <w:bottom w:type="dxa" w:w="70"/>
              <w:right w:type="dxa" w:w="110"/>
            </w:tcMar>
          </w:tcPr>
          <w:p>
            <w:r>
              <w:rPr>
                <w:b/>
                <w:bCs/>
                <w:color w:val="FFFFFF"/>
                <w:sz w:val="19"/>
                <w:szCs w:val="19"/>
              </w:rPr>
              <w:t xml:space="preserve">ID</w:t>
            </w:r>
          </w:p>
        </w:tc>
        <w:tc>
          <w:tcPr>
            <w:tcW w:type="dxa" w:w="5100"/>
            <w:shd w:fill="1A1F24" w:val="clear"/>
            <w:tcMar>
              <w:top w:type="dxa" w:w="70"/>
              <w:left w:type="dxa" w:w="110"/>
              <w:bottom w:type="dxa" w:w="70"/>
              <w:right w:type="dxa" w:w="110"/>
            </w:tcMar>
          </w:tcPr>
          <w:p>
            <w:r>
              <w:rPr>
                <w:b/>
                <w:bCs/>
                <w:color w:val="FFFFFF"/>
                <w:sz w:val="19"/>
                <w:szCs w:val="19"/>
              </w:rPr>
              <w:t xml:space="preserve">Invariant — MUST hold for every injected event</w:t>
            </w:r>
          </w:p>
        </w:tc>
        <w:tc>
          <w:tcPr>
            <w:tcW w:type="dxa" w:w="3110"/>
            <w:shd w:fill="1A1F24" w:val="clear"/>
            <w:tcMar>
              <w:top w:type="dxa" w:w="70"/>
              <w:left w:type="dxa" w:w="110"/>
              <w:bottom w:type="dxa" w:w="70"/>
              <w:right w:type="dxa" w:w="110"/>
            </w:tcMar>
          </w:tcPr>
          <w:p>
            <w:r>
              <w:rPr>
                <w:b/>
                <w:bCs/>
                <w:color w:val="FFFFFF"/>
                <w:sz w:val="19"/>
                <w:szCs w:val="19"/>
              </w:rPr>
              <w:t xml:space="preserve">Enforced by / grounded in</w:t>
            </w:r>
          </w:p>
        </w:tc>
      </w:tr>
      <w:tr>
        <w:tc>
          <w:tcPr>
            <w:tcW w:type="dxa" w:w="1150"/>
            <w:shd w:fill="FFFFFF" w:val="clear"/>
            <w:tcMar>
              <w:top w:type="dxa" w:w="60"/>
              <w:left w:type="dxa" w:w="110"/>
              <w:bottom w:type="dxa" w:w="60"/>
              <w:right w:type="dxa" w:w="110"/>
            </w:tcMar>
          </w:tcPr>
          <w:p>
            <w:r>
              <w:rPr>
                <w:rFonts w:ascii="Consolas" w:cs="Consolas" w:eastAsia="Consolas" w:hAnsi="Consolas"/>
                <w:b/>
                <w:bCs/>
                <w:color w:val="0B4F49"/>
                <w:sz w:val="19"/>
                <w:szCs w:val="19"/>
              </w:rPr>
              <w:t xml:space="preserve">INV-1</w:t>
            </w:r>
          </w:p>
        </w:tc>
        <w:tc>
          <w:tcPr>
            <w:tcW w:type="dxa" w:w="5100"/>
            <w:shd w:fill="FFFFFF" w:val="clear"/>
            <w:tcMar>
              <w:top w:type="dxa" w:w="60"/>
              <w:left w:type="dxa" w:w="110"/>
              <w:bottom w:type="dxa" w:w="60"/>
              <w:right w:type="dxa" w:w="110"/>
            </w:tcMar>
          </w:tcPr>
          <w:p>
            <w:r>
              <w:rPr>
                <w:sz w:val="19"/>
                <w:szCs w:val="19"/>
              </w:rPr>
              <w:t xml:space="preserve">No injected event is delivered unless the host user has given fresh, explicit, per-session consent to input control specifically (distinct from screen or file consent).</w:t>
            </w:r>
          </w:p>
        </w:tc>
        <w:tc>
          <w:tcPr>
            <w:tcW w:type="dxa" w:w="3110"/>
            <w:shd w:fill="FFFFFF" w:val="clear"/>
            <w:tcMar>
              <w:top w:type="dxa" w:w="60"/>
              <w:left w:type="dxa" w:w="110"/>
              <w:bottom w:type="dxa" w:w="60"/>
              <w:right w:type="dxa" w:w="110"/>
            </w:tcMar>
          </w:tcPr>
          <w:p>
            <w:r>
              <w:rPr>
                <w:rFonts w:ascii="Consolas" w:cs="Consolas" w:eastAsia="Consolas" w:hAnsi="Consolas"/>
                <w:sz w:val="18"/>
                <w:szCs w:val="18"/>
              </w:rPr>
              <w:t xml:space="preserve">HostConsent.confirm_operation(…, 'input') ; trusted≠authorized model</w:t>
            </w:r>
          </w:p>
        </w:tc>
      </w:tr>
      <w:tr>
        <w:tc>
          <w:tcPr>
            <w:tcW w:type="dxa" w:w="1150"/>
            <w:shd w:fill="F2F7F6" w:val="clear"/>
            <w:tcMar>
              <w:top w:type="dxa" w:w="60"/>
              <w:left w:type="dxa" w:w="110"/>
              <w:bottom w:type="dxa" w:w="60"/>
              <w:right w:type="dxa" w:w="110"/>
            </w:tcMar>
          </w:tcPr>
          <w:p>
            <w:r>
              <w:rPr>
                <w:rFonts w:ascii="Consolas" w:cs="Consolas" w:eastAsia="Consolas" w:hAnsi="Consolas"/>
                <w:b/>
                <w:bCs/>
                <w:color w:val="0B4F49"/>
                <w:sz w:val="19"/>
                <w:szCs w:val="19"/>
              </w:rPr>
              <w:t xml:space="preserve">INV-2</w:t>
            </w:r>
          </w:p>
        </w:tc>
        <w:tc>
          <w:tcPr>
            <w:tcW w:type="dxa" w:w="5100"/>
            <w:shd w:fill="F2F7F6" w:val="clear"/>
            <w:tcMar>
              <w:top w:type="dxa" w:w="60"/>
              <w:left w:type="dxa" w:w="110"/>
              <w:bottom w:type="dxa" w:w="60"/>
              <w:right w:type="dxa" w:w="110"/>
            </w:tcMar>
          </w:tcPr>
          <w:p>
            <w:r>
              <w:rPr>
                <w:sz w:val="19"/>
                <w:szCs w:val="19"/>
              </w:rPr>
              <w:t xml:space="preserve">The final authority check and the SendInput submission form one critical section with no await/queue/scheduling point between them, AND that section shares a single synchronization domain (e.g. an injection mutex or a single dedicated injection thread) with the revocation gate-close, establishing a TOTAL ORDER between any submission and revocation. “No await” alone is insufficient because the kill-switch and local-input detection run on other OS threads (see §6.1).</w:t>
            </w:r>
          </w:p>
        </w:tc>
        <w:tc>
          <w:tcPr>
            <w:tcW w:type="dxa" w:w="3110"/>
            <w:shd w:fill="F2F7F6" w:val="clear"/>
            <w:tcMar>
              <w:top w:type="dxa" w:w="60"/>
              <w:left w:type="dxa" w:w="110"/>
              <w:bottom w:type="dxa" w:w="60"/>
              <w:right w:type="dxa" w:w="110"/>
            </w:tcMar>
          </w:tcPr>
          <w:p>
            <w:r>
              <w:rPr>
                <w:sz w:val="18"/>
                <w:szCs w:val="18"/>
              </w:rPr>
              <w:t xml:space="preserve">CancellationToken re-check (A2) inside an injection-mutex critical section</w:t>
            </w:r>
          </w:p>
        </w:tc>
      </w:tr>
      <w:tr>
        <w:tc>
          <w:tcPr>
            <w:tcW w:type="dxa" w:w="1150"/>
            <w:shd w:fill="FFFFFF" w:val="clear"/>
            <w:tcMar>
              <w:top w:type="dxa" w:w="60"/>
              <w:left w:type="dxa" w:w="110"/>
              <w:bottom w:type="dxa" w:w="60"/>
              <w:right w:type="dxa" w:w="110"/>
            </w:tcMar>
          </w:tcPr>
          <w:p>
            <w:r>
              <w:rPr>
                <w:rFonts w:ascii="Consolas" w:cs="Consolas" w:eastAsia="Consolas" w:hAnsi="Consolas"/>
                <w:b/>
                <w:bCs/>
                <w:color w:val="0B4F49"/>
                <w:sz w:val="19"/>
                <w:szCs w:val="19"/>
              </w:rPr>
              <w:t xml:space="preserve">INV-3</w:t>
            </w:r>
          </w:p>
        </w:tc>
        <w:tc>
          <w:tcPr>
            <w:tcW w:type="dxa" w:w="5100"/>
            <w:shd w:fill="FFFFFF" w:val="clear"/>
            <w:tcMar>
              <w:top w:type="dxa" w:w="60"/>
              <w:left w:type="dxa" w:w="110"/>
              <w:bottom w:type="dxa" w:w="60"/>
              <w:right w:type="dxa" w:w="110"/>
            </w:tcMar>
          </w:tcPr>
          <w:p>
            <w:r>
              <w:rPr>
                <w:sz w:val="19"/>
                <w:szCs w:val="19"/>
              </w:rPr>
              <w:t xml:space="preserve">After the revocation linearization point, Portal makes ZERO new AUTHORITY-BEARING SendInput submissions. The SOLE permitted post-revoke submissions are INV-13 safety releases for inputs recorded as owned-DOWN. emergency_stop() closes the gate, clears application-side queues, and returns only once the injection worker is quiescent. An event already accepted by Windows is residual risk, not retractable.</w:t>
            </w:r>
          </w:p>
        </w:tc>
        <w:tc>
          <w:tcPr>
            <w:tcW w:type="dxa" w:w="3110"/>
            <w:shd w:fill="FFFFFF" w:val="clear"/>
            <w:tcMar>
              <w:top w:type="dxa" w:w="60"/>
              <w:left w:type="dxa" w:w="110"/>
              <w:bottom w:type="dxa" w:w="60"/>
              <w:right w:type="dxa" w:w="110"/>
            </w:tcMar>
          </w:tcPr>
          <w:p>
            <w:r>
              <w:rPr>
                <w:rFonts w:ascii="Consolas" w:cs="Consolas" w:eastAsia="Consolas" w:hAnsi="Consolas"/>
                <w:sz w:val="18"/>
                <w:szCs w:val="18"/>
              </w:rPr>
              <w:t xml:space="preserve">emergency_stop() → gate-close + drain + quiesce ; revoke_all()</w:t>
            </w:r>
          </w:p>
        </w:tc>
      </w:tr>
      <w:tr>
        <w:tc>
          <w:tcPr>
            <w:tcW w:type="dxa" w:w="1150"/>
            <w:shd w:fill="F2F7F6" w:val="clear"/>
            <w:tcMar>
              <w:top w:type="dxa" w:w="60"/>
              <w:left w:type="dxa" w:w="110"/>
              <w:bottom w:type="dxa" w:w="60"/>
              <w:right w:type="dxa" w:w="110"/>
            </w:tcMar>
          </w:tcPr>
          <w:p>
            <w:r>
              <w:rPr>
                <w:rFonts w:ascii="Consolas" w:cs="Consolas" w:eastAsia="Consolas" w:hAnsi="Consolas"/>
                <w:b/>
                <w:bCs/>
                <w:color w:val="0B4F49"/>
                <w:sz w:val="19"/>
                <w:szCs w:val="19"/>
              </w:rPr>
              <w:t xml:space="preserve">INV-4</w:t>
            </w:r>
          </w:p>
        </w:tc>
        <w:tc>
          <w:tcPr>
            <w:tcW w:type="dxa" w:w="5100"/>
            <w:shd w:fill="F2F7F6" w:val="clear"/>
            <w:tcMar>
              <w:top w:type="dxa" w:w="60"/>
              <w:left w:type="dxa" w:w="110"/>
              <w:bottom w:type="dxa" w:w="60"/>
              <w:right w:type="dxa" w:w="110"/>
            </w:tcMar>
          </w:tcPr>
          <w:p>
            <w:r>
              <w:rPr>
                <w:sz w:val="19"/>
                <w:szCs w:val="19"/>
              </w:rPr>
              <w:t xml:space="preserve">Input capability is granted per session and never inherited, cached across reconnects, or shared between concurrent sessions.</w:t>
            </w:r>
          </w:p>
        </w:tc>
        <w:tc>
          <w:tcPr>
            <w:tcW w:type="dxa" w:w="3110"/>
            <w:shd w:fill="F2F7F6" w:val="clear"/>
            <w:tcMar>
              <w:top w:type="dxa" w:w="60"/>
              <w:left w:type="dxa" w:w="110"/>
              <w:bottom w:type="dxa" w:w="60"/>
              <w:right w:type="dxa" w:w="110"/>
            </w:tcMar>
          </w:tcPr>
          <w:p>
            <w:r>
              <w:rPr>
                <w:sz w:val="18"/>
                <w:szCs w:val="18"/>
              </w:rPr>
              <w:t xml:space="preserve">per-session SessionContext authority (A3)</w:t>
            </w:r>
          </w:p>
        </w:tc>
      </w:tr>
      <w:tr>
        <w:tc>
          <w:tcPr>
            <w:tcW w:type="dxa" w:w="1150"/>
            <w:shd w:fill="FFFFFF" w:val="clear"/>
            <w:tcMar>
              <w:top w:type="dxa" w:w="60"/>
              <w:left w:type="dxa" w:w="110"/>
              <w:bottom w:type="dxa" w:w="60"/>
              <w:right w:type="dxa" w:w="110"/>
            </w:tcMar>
          </w:tcPr>
          <w:p>
            <w:r>
              <w:rPr>
                <w:rFonts w:ascii="Consolas" w:cs="Consolas" w:eastAsia="Consolas" w:hAnsi="Consolas"/>
                <w:b/>
                <w:bCs/>
                <w:color w:val="0B4F49"/>
                <w:sz w:val="19"/>
                <w:szCs w:val="19"/>
              </w:rPr>
              <w:t xml:space="preserve">INV-5</w:t>
            </w:r>
          </w:p>
        </w:tc>
        <w:tc>
          <w:tcPr>
            <w:tcW w:type="dxa" w:w="5100"/>
            <w:shd w:fill="FFFFFF" w:val="clear"/>
            <w:tcMar>
              <w:top w:type="dxa" w:w="60"/>
              <w:left w:type="dxa" w:w="110"/>
              <w:bottom w:type="dxa" w:w="60"/>
              <w:right w:type="dxa" w:w="110"/>
            </w:tcMar>
          </w:tcPr>
          <w:p>
            <w:r>
              <w:rPr>
                <w:sz w:val="19"/>
                <w:szCs w:val="19"/>
              </w:rPr>
              <w:t xml:space="preserve">Rate limiting is EVENT-CLASS aware: mouse moves may be coalesced (latest-wins); button-down and wheel are rate-limited; a release (UP) for an input Portal currently owns as DOWN is a safety event and is NEVER discarded by ordinary rate limiting. Excess is dropped, never queued unbounded, and cannot starve the control plane.</w:t>
            </w:r>
          </w:p>
        </w:tc>
        <w:tc>
          <w:tcPr>
            <w:tcW w:type="dxa" w:w="3110"/>
            <w:shd w:fill="FFFFFF" w:val="clear"/>
            <w:tcMar>
              <w:top w:type="dxa" w:w="60"/>
              <w:left w:type="dxa" w:w="110"/>
              <w:bottom w:type="dxa" w:w="60"/>
              <w:right w:type="dxa" w:w="110"/>
            </w:tcMar>
          </w:tcPr>
          <w:p>
            <w:r>
              <w:rPr>
                <w:sz w:val="18"/>
                <w:szCs w:val="18"/>
              </w:rPr>
              <w:t xml:space="preserve">class-aware limiter at the input seam (reconciles INV-13)</w:t>
            </w:r>
          </w:p>
        </w:tc>
      </w:tr>
      <w:tr>
        <w:tc>
          <w:tcPr>
            <w:tcW w:type="dxa" w:w="1150"/>
            <w:shd w:fill="F2F7F6" w:val="clear"/>
            <w:tcMar>
              <w:top w:type="dxa" w:w="60"/>
              <w:left w:type="dxa" w:w="110"/>
              <w:bottom w:type="dxa" w:w="60"/>
              <w:right w:type="dxa" w:w="110"/>
            </w:tcMar>
          </w:tcPr>
          <w:p>
            <w:r>
              <w:rPr>
                <w:rFonts w:ascii="Consolas" w:cs="Consolas" w:eastAsia="Consolas" w:hAnsi="Consolas"/>
                <w:b/>
                <w:bCs/>
                <w:color w:val="0B4F49"/>
                <w:sz w:val="19"/>
                <w:szCs w:val="19"/>
              </w:rPr>
              <w:t xml:space="preserve">INV-6</w:t>
            </w:r>
          </w:p>
        </w:tc>
        <w:tc>
          <w:tcPr>
            <w:tcW w:type="dxa" w:w="5100"/>
            <w:shd w:fill="F2F7F6" w:val="clear"/>
            <w:tcMar>
              <w:top w:type="dxa" w:w="60"/>
              <w:left w:type="dxa" w:w="110"/>
              <w:bottom w:type="dxa" w:w="60"/>
              <w:right w:type="dxa" w:w="110"/>
            </w:tcMar>
          </w:tcPr>
          <w:p>
            <w:r>
              <w:rPr>
                <w:sz w:val="19"/>
                <w:szCs w:val="19"/>
              </w:rPr>
              <w:t xml:space="preserve">Coordinates are validated and mapped to a stable display_id within [0,1]; an out-of-range or unknown-display event is dropped, never clamped onto the wrong screen.</w:t>
            </w:r>
          </w:p>
        </w:tc>
        <w:tc>
          <w:tcPr>
            <w:tcW w:type="dxa" w:w="3110"/>
            <w:shd w:fill="F2F7F6" w:val="clear"/>
            <w:tcMar>
              <w:top w:type="dxa" w:w="60"/>
              <w:left w:type="dxa" w:w="110"/>
              <w:bottom w:type="dxa" w:w="60"/>
              <w:right w:type="dxa" w:w="110"/>
            </w:tcMar>
          </w:tcPr>
          <w:p>
            <w:r>
              <w:rPr>
                <w:rFonts w:ascii="Consolas" w:cs="Consolas" w:eastAsia="Consolas" w:hAnsi="Consolas"/>
                <w:sz w:val="18"/>
                <w:szCs w:val="18"/>
              </w:rPr>
              <w:t xml:space="preserve">normalized coords + stable display_id (input/base.py)</w:t>
            </w:r>
          </w:p>
        </w:tc>
      </w:tr>
      <w:tr>
        <w:tc>
          <w:tcPr>
            <w:tcW w:type="dxa" w:w="1150"/>
            <w:shd w:fill="FFFFFF" w:val="clear"/>
            <w:tcMar>
              <w:top w:type="dxa" w:w="60"/>
              <w:left w:type="dxa" w:w="110"/>
              <w:bottom w:type="dxa" w:w="60"/>
              <w:right w:type="dxa" w:w="110"/>
            </w:tcMar>
          </w:tcPr>
          <w:p>
            <w:r>
              <w:rPr>
                <w:rFonts w:ascii="Consolas" w:cs="Consolas" w:eastAsia="Consolas" w:hAnsi="Consolas"/>
                <w:b/>
                <w:bCs/>
                <w:color w:val="0B4F49"/>
                <w:sz w:val="19"/>
                <w:szCs w:val="19"/>
              </w:rPr>
              <w:t xml:space="preserve">INV-7</w:t>
            </w:r>
          </w:p>
        </w:tc>
        <w:tc>
          <w:tcPr>
            <w:tcW w:type="dxa" w:w="5100"/>
            <w:shd w:fill="FFFFFF" w:val="clear"/>
            <w:tcMar>
              <w:top w:type="dxa" w:w="60"/>
              <w:left w:type="dxa" w:w="110"/>
              <w:bottom w:type="dxa" w:w="60"/>
              <w:right w:type="dxa" w:w="110"/>
            </w:tcMar>
          </w:tcPr>
          <w:p>
            <w:r>
              <w:rPr>
                <w:sz w:val="19"/>
                <w:szCs w:val="19"/>
              </w:rPr>
              <w:t xml:space="preserve">Portal's revoke path does NOT depend on clicking Portal's own UI. For the mouse-only MVP: consent is completed BEFORE mouse authority begins, the active-session indicator is passive (not a control), and revocation is a physical keyboard action (INV-9). (A literal “UI unreachable by injection” barrier needs a separate input desktop — deferred, see §8.)</w:t>
            </w:r>
          </w:p>
        </w:tc>
        <w:tc>
          <w:tcPr>
            <w:tcW w:type="dxa" w:w="3110"/>
            <w:shd w:fill="FFFFFF" w:val="clear"/>
            <w:tcMar>
              <w:top w:type="dxa" w:w="60"/>
              <w:left w:type="dxa" w:w="110"/>
              <w:bottom w:type="dxa" w:w="60"/>
              <w:right w:type="dxa" w:w="110"/>
            </w:tcMar>
          </w:tcPr>
          <w:p>
            <w:r>
              <w:rPr>
                <w:sz w:val="18"/>
                <w:szCs w:val="18"/>
              </w:rPr>
              <w:t xml:space="preserve">achievable MVP form; separate-desktop barrier deferred</w:t>
            </w:r>
          </w:p>
        </w:tc>
      </w:tr>
      <w:tr>
        <w:tc>
          <w:tcPr>
            <w:tcW w:type="dxa" w:w="1150"/>
            <w:shd w:fill="F2F7F6" w:val="clear"/>
            <w:tcMar>
              <w:top w:type="dxa" w:w="60"/>
              <w:left w:type="dxa" w:w="110"/>
              <w:bottom w:type="dxa" w:w="60"/>
              <w:right w:type="dxa" w:w="110"/>
            </w:tcMar>
          </w:tcPr>
          <w:p>
            <w:r>
              <w:rPr>
                <w:rFonts w:ascii="Consolas" w:cs="Consolas" w:eastAsia="Consolas" w:hAnsi="Consolas"/>
                <w:b/>
                <w:bCs/>
                <w:color w:val="0B4F49"/>
                <w:sz w:val="19"/>
                <w:szCs w:val="19"/>
              </w:rPr>
              <w:t xml:space="preserve">INV-8</w:t>
            </w:r>
          </w:p>
        </w:tc>
        <w:tc>
          <w:tcPr>
            <w:tcW w:type="dxa" w:w="5100"/>
            <w:shd w:fill="F2F7F6" w:val="clear"/>
            <w:tcMar>
              <w:top w:type="dxa" w:w="60"/>
              <w:left w:type="dxa" w:w="110"/>
              <w:bottom w:type="dxa" w:w="60"/>
              <w:right w:type="dxa" w:w="110"/>
            </w:tcMar>
          </w:tcPr>
          <w:p>
            <w:r>
              <w:rPr>
                <w:sz w:val="19"/>
                <w:szCs w:val="19"/>
              </w:rPr>
              <w:t xml:space="preserve">Portal never injects into a higher-integrity target than its own process; UIPI is respected, never bypassed. Elevation/UAC prompts are out of reach by design (conditional on INV-14).</w:t>
            </w:r>
          </w:p>
        </w:tc>
        <w:tc>
          <w:tcPr>
            <w:tcW w:type="dxa" w:w="3110"/>
            <w:shd w:fill="F2F7F6" w:val="clear"/>
            <w:tcMar>
              <w:top w:type="dxa" w:w="60"/>
              <w:left w:type="dxa" w:w="110"/>
              <w:bottom w:type="dxa" w:w="60"/>
              <w:right w:type="dxa" w:w="110"/>
            </w:tcMar>
          </w:tcPr>
          <w:p>
            <w:r>
              <w:rPr>
                <w:sz w:val="18"/>
                <w:szCs w:val="18"/>
              </w:rPr>
              <w:t xml:space="preserve">Windows UIPI boundary (respected, not worked around)</w:t>
            </w:r>
          </w:p>
        </w:tc>
      </w:tr>
      <w:tr>
        <w:tc>
          <w:tcPr>
            <w:tcW w:type="dxa" w:w="1150"/>
            <w:shd w:fill="FFFFFF" w:val="clear"/>
            <w:tcMar>
              <w:top w:type="dxa" w:w="60"/>
              <w:left w:type="dxa" w:w="110"/>
              <w:bottom w:type="dxa" w:w="60"/>
              <w:right w:type="dxa" w:w="110"/>
            </w:tcMar>
          </w:tcPr>
          <w:p>
            <w:r>
              <w:rPr>
                <w:rFonts w:ascii="Consolas" w:cs="Consolas" w:eastAsia="Consolas" w:hAnsi="Consolas"/>
                <w:b/>
                <w:bCs/>
                <w:color w:val="0B4F49"/>
                <w:sz w:val="19"/>
                <w:szCs w:val="19"/>
              </w:rPr>
              <w:t xml:space="preserve">INV-9</w:t>
            </w:r>
          </w:p>
        </w:tc>
        <w:tc>
          <w:tcPr>
            <w:tcW w:type="dxa" w:w="5100"/>
            <w:shd w:fill="FFFFFF" w:val="clear"/>
            <w:tcMar>
              <w:top w:type="dxa" w:w="60"/>
              <w:left w:type="dxa" w:w="110"/>
              <w:bottom w:type="dxa" w:w="60"/>
              <w:right w:type="dxa" w:w="110"/>
            </w:tcMar>
          </w:tcPr>
          <w:p>
            <w:r>
              <w:rPr>
                <w:sz w:val="19"/>
                <w:szCs w:val="19"/>
              </w:rPr>
              <w:t xml:space="preserve">The host user can stop control by a physical keyboard means (a global hotkey via RegisterHotKey) that does not require pointer precision. The security property is that Portal's remote-input PROTOCOL contains no mechanism capable of suppressing or intercepting the physical kill chord — not merely that a mouse controller “can't type it”. Input authority is NOT granted unless hotkey registration has succeeded; if the hotkey/message-loop facility fails or terminates while input is active, Portal revokes input immediately (a silently-unregistered kill-switch means INPUT MODE → DENIED, never “continue without emergency stop”). The kill path does not depend on the transport loop. Window-close is secondary.</w:t>
            </w:r>
          </w:p>
        </w:tc>
        <w:tc>
          <w:tcPr>
            <w:tcW w:type="dxa" w:w="3110"/>
            <w:shd w:fill="FFFFFF" w:val="clear"/>
            <w:tcMar>
              <w:top w:type="dxa" w:w="60"/>
              <w:left w:type="dxa" w:w="110"/>
              <w:bottom w:type="dxa" w:w="60"/>
              <w:right w:type="dxa" w:w="110"/>
            </w:tcMar>
          </w:tcPr>
          <w:p>
            <w:r>
              <w:rPr>
                <w:rFonts w:ascii="Consolas" w:cs="Consolas" w:eastAsia="Consolas" w:hAnsi="Consolas"/>
                <w:sz w:val="18"/>
                <w:szCs w:val="18"/>
              </w:rPr>
              <w:t xml:space="preserve">RegisterHotKey required for input mode; fail-closed if it dies</w:t>
            </w:r>
          </w:p>
        </w:tc>
      </w:tr>
      <w:tr>
        <w:tc>
          <w:tcPr>
            <w:tcW w:type="dxa" w:w="1150"/>
            <w:shd w:fill="F2F7F6" w:val="clear"/>
            <w:tcMar>
              <w:top w:type="dxa" w:w="60"/>
              <w:left w:type="dxa" w:w="110"/>
              <w:bottom w:type="dxa" w:w="60"/>
              <w:right w:type="dxa" w:w="110"/>
            </w:tcMar>
          </w:tcPr>
          <w:p>
            <w:r>
              <w:rPr>
                <w:rFonts w:ascii="Consolas" w:cs="Consolas" w:eastAsia="Consolas" w:hAnsi="Consolas"/>
                <w:b/>
                <w:bCs/>
                <w:color w:val="0B4F49"/>
                <w:sz w:val="19"/>
                <w:szCs w:val="19"/>
              </w:rPr>
              <w:t xml:space="preserve">INV-10</w:t>
            </w:r>
          </w:p>
        </w:tc>
        <w:tc>
          <w:tcPr>
            <w:tcW w:type="dxa" w:w="5100"/>
            <w:shd w:fill="F2F7F6" w:val="clear"/>
            <w:tcMar>
              <w:top w:type="dxa" w:w="60"/>
              <w:left w:type="dxa" w:w="110"/>
              <w:bottom w:type="dxa" w:w="60"/>
              <w:right w:type="dxa" w:w="110"/>
            </w:tcMar>
          </w:tcPr>
          <w:p>
            <w:r>
              <w:rPr>
                <w:sz w:val="19"/>
                <w:szCs w:val="19"/>
              </w:rPr>
              <w:t xml:space="preserve">Each displayed frame carries a host-generated view_epoch (topology + geometry + foreground-window + input-desktop) AND a monotonic frame_seq. Every input names both; the HOST looks up its own capture timestamp for that frame_seq (the controller never supplies the age). Unknown frame_seq, epoch mismatch, or age beyond max → drop. Ordinary transitions (focus change, monitor resize, topology change) SUSPEND input until a new valid view context arrives. Identity-context transitions — workstation lock/unlock, user/session switch — REVOKE input capability and require fresh consent (the human at the machine may have changed). Secure-desktop entry suspends (INV-14 already bars injection there) and requires a fresh view context on return.</w:t>
            </w:r>
          </w:p>
        </w:tc>
        <w:tc>
          <w:tcPr>
            <w:tcW w:type="dxa" w:w="3110"/>
            <w:shd w:fill="F2F7F6" w:val="clear"/>
            <w:tcMar>
              <w:top w:type="dxa" w:w="60"/>
              <w:left w:type="dxa" w:w="110"/>
              <w:bottom w:type="dxa" w:w="60"/>
              <w:right w:type="dxa" w:w="110"/>
            </w:tcMar>
          </w:tcPr>
          <w:p>
            <w:r>
              <w:rPr>
                <w:rFonts w:ascii="Consolas" w:cs="Consolas" w:eastAsia="Consolas" w:hAnsi="Consolas"/>
                <w:sz w:val="18"/>
                <w:szCs w:val="18"/>
              </w:rPr>
              <w:t xml:space="preserve">view_epoch + host frame_seq + max age; revoke on identity-context change</w:t>
            </w:r>
          </w:p>
        </w:tc>
      </w:tr>
      <w:tr>
        <w:tc>
          <w:tcPr>
            <w:tcW w:type="dxa" w:w="1150"/>
            <w:shd w:fill="FFFFFF" w:val="clear"/>
            <w:tcMar>
              <w:top w:type="dxa" w:w="60"/>
              <w:left w:type="dxa" w:w="110"/>
              <w:bottom w:type="dxa" w:w="60"/>
              <w:right w:type="dxa" w:w="110"/>
            </w:tcMar>
          </w:tcPr>
          <w:p>
            <w:r>
              <w:rPr>
                <w:rFonts w:ascii="Consolas" w:cs="Consolas" w:eastAsia="Consolas" w:hAnsi="Consolas"/>
                <w:b/>
                <w:bCs/>
                <w:color w:val="0B4F49"/>
                <w:sz w:val="19"/>
                <w:szCs w:val="19"/>
              </w:rPr>
              <w:t xml:space="preserve">INV-11</w:t>
            </w:r>
          </w:p>
        </w:tc>
        <w:tc>
          <w:tcPr>
            <w:tcW w:type="dxa" w:w="5100"/>
            <w:shd w:fill="FFFFFF" w:val="clear"/>
            <w:tcMar>
              <w:top w:type="dxa" w:w="60"/>
              <w:left w:type="dxa" w:w="110"/>
              <w:bottom w:type="dxa" w:w="60"/>
              <w:right w:type="dxa" w:w="110"/>
            </w:tcMar>
          </w:tcPr>
          <w:p>
            <w:r>
              <w:rPr>
                <w:sz w:val="19"/>
                <w:szCs w:val="19"/>
              </w:rPr>
              <w:t xml:space="preserve">An input-control session is visibly indicated to the host user for its entire duration and ends on disconnect, timeout, or revoke. The indicator has NO close/minimise affordance reachable by injected mouse input and cannot be dismissed by ordinary pointer interaction — a remote party cannot hide the fact that control is active.</w:t>
            </w:r>
          </w:p>
        </w:tc>
        <w:tc>
          <w:tcPr>
            <w:tcW w:type="dxa" w:w="3110"/>
            <w:shd w:fill="FFFFFF" w:val="clear"/>
            <w:tcMar>
              <w:top w:type="dxa" w:w="60"/>
              <w:left w:type="dxa" w:w="110"/>
              <w:bottom w:type="dxa" w:w="60"/>
              <w:right w:type="dxa" w:w="110"/>
            </w:tcMar>
          </w:tcPr>
          <w:p>
            <w:r>
              <w:rPr>
                <w:sz w:val="18"/>
                <w:szCs w:val="18"/>
              </w:rPr>
              <w:t xml:space="preserve">always-on indicator, not injection-dismissible</w:t>
            </w:r>
          </w:p>
        </w:tc>
      </w:tr>
      <w:tr>
        <w:tc>
          <w:tcPr>
            <w:tcW w:type="dxa" w:w="1150"/>
            <w:shd w:fill="F2F7F6" w:val="clear"/>
            <w:tcMar>
              <w:top w:type="dxa" w:w="60"/>
              <w:left w:type="dxa" w:w="110"/>
              <w:bottom w:type="dxa" w:w="60"/>
              <w:right w:type="dxa" w:w="110"/>
            </w:tcMar>
          </w:tcPr>
          <w:p>
            <w:r>
              <w:rPr>
                <w:rFonts w:ascii="Consolas" w:cs="Consolas" w:eastAsia="Consolas" w:hAnsi="Consolas"/>
                <w:b/>
                <w:bCs/>
                <w:color w:val="0B4F49"/>
                <w:sz w:val="19"/>
                <w:szCs w:val="19"/>
              </w:rPr>
              <w:t xml:space="preserve">INV-12</w:t>
            </w:r>
          </w:p>
        </w:tc>
        <w:tc>
          <w:tcPr>
            <w:tcW w:type="dxa" w:w="5100"/>
            <w:shd w:fill="F2F7F6" w:val="clear"/>
            <w:tcMar>
              <w:top w:type="dxa" w:w="60"/>
              <w:left w:type="dxa" w:w="110"/>
              <w:bottom w:type="dxa" w:w="60"/>
              <w:right w:type="dxa" w:w="110"/>
            </w:tcMar>
          </w:tcPr>
          <w:p>
            <w:r>
              <w:rPr>
                <w:sz w:val="19"/>
                <w:szCs w:val="19"/>
              </w:rPr>
              <w:t xml:space="preserve">BLOCKED PENDING A6. Input frames ride the authenticated, channel-bound session; but because A6 is not fully closed on 3.11, the input layer ALSO carries a host-generated random 128-bit input_session_nonce plus a strictly increasing uint64 input_seq. The sequence is CONSUMED WHEN SEEN, not when accepted: on a session-bound frame the rule is nonce-match AND seq == last_seen + 1 (transport is ordered/reliable), and last_seen advances immediately — BEFORE authority/view/rate/pause policy runs. So a frame dropped by later policy (e.g. rate limit) can never be resent under the same seq and “replayed back in”; a dropped event stays dropped. Wrong nonce or seq ≠ last_seen+1 → reject. A random nonce cannot collide across restarts the way a process-local counter could. This protects stale/duplicate input at the app layer; it does NOT substitute for A6.</w:t>
            </w:r>
          </w:p>
        </w:tc>
        <w:tc>
          <w:tcPr>
            <w:tcW w:type="dxa" w:w="3110"/>
            <w:shd w:fill="F2F7F6" w:val="clear"/>
            <w:tcMar>
              <w:top w:type="dxa" w:w="60"/>
              <w:left w:type="dxa" w:w="110"/>
              <w:bottom w:type="dxa" w:w="60"/>
              <w:right w:type="dxa" w:w="110"/>
            </w:tcMar>
          </w:tcPr>
          <w:p>
            <w:r>
              <w:rPr>
                <w:rFonts w:ascii="Consolas" w:cs="Consolas" w:eastAsia="Consolas" w:hAnsi="Consolas"/>
                <w:sz w:val="18"/>
                <w:szCs w:val="18"/>
              </w:rPr>
              <w:t xml:space="preserve">nonce + consume-on-seen input_seq (seq==last_seen+1) ; A6 open</w:t>
            </w:r>
          </w:p>
        </w:tc>
      </w:tr>
      <w:tr>
        <w:tc>
          <w:tcPr>
            <w:tcW w:type="dxa" w:w="1150"/>
            <w:shd w:fill="FFFFFF" w:val="clear"/>
            <w:tcMar>
              <w:top w:type="dxa" w:w="60"/>
              <w:left w:type="dxa" w:w="110"/>
              <w:bottom w:type="dxa" w:w="60"/>
              <w:right w:type="dxa" w:w="110"/>
            </w:tcMar>
          </w:tcPr>
          <w:p>
            <w:r>
              <w:rPr>
                <w:rFonts w:ascii="Consolas" w:cs="Consolas" w:eastAsia="Consolas" w:hAnsi="Consolas"/>
                <w:b/>
                <w:bCs/>
                <w:color w:val="0B4F49"/>
                <w:sz w:val="19"/>
                <w:szCs w:val="19"/>
              </w:rPr>
              <w:t xml:space="preserve">INV-13</w:t>
            </w:r>
          </w:p>
        </w:tc>
        <w:tc>
          <w:tcPr>
            <w:tcW w:type="dxa" w:w="5100"/>
            <w:shd w:fill="FFFFFF" w:val="clear"/>
            <w:tcMar>
              <w:top w:type="dxa" w:w="60"/>
              <w:left w:type="dxa" w:w="110"/>
              <w:bottom w:type="dxa" w:w="60"/>
              <w:right w:type="dxa" w:w="110"/>
            </w:tcMar>
          </w:tcPr>
          <w:p>
            <w:r>
              <w:rPr>
                <w:sz w:val="19"/>
                <w:szCs w:val="19"/>
              </w:rPr>
              <w:t xml:space="preserve">Portal keeps an OWNERSHIP LEDGER of every button/key it has injected as DOWN. The OS submission and its ledger commit LINEARIZE TOGETHER inside the single injection critical section (INV-2): gate-check → SendInput → (on success) ledger.add/remove → release. The commit is NOT outside the lock — otherwise revocation could observe an empty ledger between a successful SendInput and its add, leaving an input stuck DOWN with no record to release. A duplicate DOWN for an owned input, or an UP for a non-owned input, is dropped. One logical transition = one OS submission (so success is unambiguous: return==1 confirmed, else failure). On any session end, emit UP only for owned entries, then clear. Ambiguous/partial submission is a FATAL input-session condition: stop normal injection, best-effort owned-release cleanup (see T-13).</w:t>
            </w:r>
          </w:p>
        </w:tc>
        <w:tc>
          <w:tcPr>
            <w:tcW w:type="dxa" w:w="3110"/>
            <w:shd w:fill="FFFFFF" w:val="clear"/>
            <w:tcMar>
              <w:top w:type="dxa" w:w="60"/>
              <w:left w:type="dxa" w:w="110"/>
              <w:bottom w:type="dxa" w:w="60"/>
              <w:right w:type="dxa" w:w="110"/>
            </w:tcMar>
          </w:tcPr>
          <w:p>
            <w:r>
              <w:rPr>
                <w:sz w:val="18"/>
                <w:szCs w:val="18"/>
              </w:rPr>
              <w:t xml:space="preserve">ledger commit INSIDE the injection critical section (atomic with SendInput)</w:t>
            </w:r>
          </w:p>
        </w:tc>
      </w:tr>
      <w:tr>
        <w:tc>
          <w:tcPr>
            <w:tcW w:type="dxa" w:w="1150"/>
            <w:shd w:fill="F2F7F6" w:val="clear"/>
            <w:tcMar>
              <w:top w:type="dxa" w:w="60"/>
              <w:left w:type="dxa" w:w="110"/>
              <w:bottom w:type="dxa" w:w="60"/>
              <w:right w:type="dxa" w:w="110"/>
            </w:tcMar>
          </w:tcPr>
          <w:p>
            <w:r>
              <w:rPr>
                <w:rFonts w:ascii="Consolas" w:cs="Consolas" w:eastAsia="Consolas" w:hAnsi="Consolas"/>
                <w:b/>
                <w:bCs/>
                <w:color w:val="0B4F49"/>
                <w:sz w:val="19"/>
                <w:szCs w:val="19"/>
              </w:rPr>
              <w:t xml:space="preserve">INV-14</w:t>
            </w:r>
          </w:p>
        </w:tc>
        <w:tc>
          <w:tcPr>
            <w:tcW w:type="dxa" w:w="5100"/>
            <w:shd w:fill="F2F7F6" w:val="clear"/>
            <w:tcMar>
              <w:top w:type="dxa" w:w="60"/>
              <w:left w:type="dxa" w:w="110"/>
              <w:bottom w:type="dxa" w:w="60"/>
              <w:right w:type="dxa" w:w="110"/>
            </w:tcMar>
          </w:tcPr>
          <w:p>
            <w:r>
              <w:rPr>
                <w:sz w:val="19"/>
                <w:szCs w:val="19"/>
              </w:rPr>
              <w:t xml:space="preserve">The injection broker MUST run unelevated and WITHOUT UIAccess. Portal refuses to enter input mode if it detects an elevated or UIAccess posture, because UIAccess bypasses most UIPI restrictions and would let SendInput drive higher-integrity windows.</w:t>
            </w:r>
          </w:p>
        </w:tc>
        <w:tc>
          <w:tcPr>
            <w:tcW w:type="dxa" w:w="3110"/>
            <w:shd w:fill="F2F7F6" w:val="clear"/>
            <w:tcMar>
              <w:top w:type="dxa" w:w="60"/>
              <w:left w:type="dxa" w:w="110"/>
              <w:bottom w:type="dxa" w:w="60"/>
              <w:right w:type="dxa" w:w="110"/>
            </w:tcMar>
          </w:tcPr>
          <w:p>
            <w:r>
              <w:rPr>
                <w:sz w:val="18"/>
                <w:szCs w:val="18"/>
              </w:rPr>
              <w:t xml:space="preserve">posture check at input-mode entry; makes INV-8 sound</w:t>
            </w:r>
          </w:p>
        </w:tc>
      </w:tr>
      <w:tr>
        <w:tc>
          <w:tcPr>
            <w:tcW w:type="dxa" w:w="1150"/>
            <w:shd w:fill="FFFFFF" w:val="clear"/>
            <w:tcMar>
              <w:top w:type="dxa" w:w="60"/>
              <w:left w:type="dxa" w:w="110"/>
              <w:bottom w:type="dxa" w:w="60"/>
              <w:right w:type="dxa" w:w="110"/>
            </w:tcMar>
          </w:tcPr>
          <w:p>
            <w:r>
              <w:rPr>
                <w:rFonts w:ascii="Consolas" w:cs="Consolas" w:eastAsia="Consolas" w:hAnsi="Consolas"/>
                <w:b/>
                <w:bCs/>
                <w:color w:val="0B4F49"/>
                <w:sz w:val="19"/>
                <w:szCs w:val="19"/>
              </w:rPr>
              <w:t xml:space="preserve">INV-15</w:t>
            </w:r>
          </w:p>
        </w:tc>
        <w:tc>
          <w:tcPr>
            <w:tcW w:type="dxa" w:w="5100"/>
            <w:shd w:fill="FFFFFF" w:val="clear"/>
            <w:tcMar>
              <w:top w:type="dxa" w:w="60"/>
              <w:left w:type="dxa" w:w="110"/>
              <w:bottom w:type="dxa" w:w="60"/>
              <w:right w:type="dxa" w:w="110"/>
            </w:tcMar>
          </w:tcPr>
          <w:p>
            <w:r>
              <w:rPr>
                <w:sz w:val="19"/>
                <w:szCs w:val="19"/>
              </w:rPr>
              <w:t xml:space="preserve">Local physical input wins: physical (non-injected) host mouse activity automatically pauses remote injection for a short grace period (or revokes it). A physical MOVE pauses for ~750 ms after the last movement (sliding); a physical BUTTON or WHEEL pauses immediately as stronger evidence of takeover; sustained activity (~2–3 s) may revoke rather than pause. Detection uses LLMHF_INJECTED. Defense-in-depth — NOT the kill-switch (INV-9 remains that).</w:t>
            </w:r>
          </w:p>
        </w:tc>
        <w:tc>
          <w:tcPr>
            <w:tcW w:type="dxa" w:w="3110"/>
            <w:shd w:fill="FFFFFF" w:val="clear"/>
            <w:tcMar>
              <w:top w:type="dxa" w:w="60"/>
              <w:left w:type="dxa" w:w="110"/>
              <w:bottom w:type="dxa" w:w="60"/>
              <w:right w:type="dxa" w:w="110"/>
            </w:tcMar>
          </w:tcPr>
          <w:p>
            <w:r>
              <w:rPr>
                <w:rFonts w:ascii="Consolas" w:cs="Consolas" w:eastAsia="Consolas" w:hAnsi="Consolas"/>
                <w:sz w:val="18"/>
                <w:szCs w:val="18"/>
              </w:rPr>
              <w:t xml:space="preserve">LLMHF_INJECTED detector; sliding grace-period pause/revoke</w:t>
            </w:r>
          </w:p>
        </w:tc>
      </w:tr>
      <w:tr>
        <w:tc>
          <w:tcPr>
            <w:tcW w:type="dxa" w:w="1150"/>
            <w:shd w:fill="F2F7F6" w:val="clear"/>
            <w:tcMar>
              <w:top w:type="dxa" w:w="60"/>
              <w:left w:type="dxa" w:w="110"/>
              <w:bottom w:type="dxa" w:w="60"/>
              <w:right w:type="dxa" w:w="110"/>
            </w:tcMar>
          </w:tcPr>
          <w:p>
            <w:r>
              <w:rPr>
                <w:rFonts w:ascii="Consolas" w:cs="Consolas" w:eastAsia="Consolas" w:hAnsi="Consolas"/>
                <w:b/>
                <w:bCs/>
                <w:color w:val="0B4F49"/>
                <w:sz w:val="19"/>
                <w:szCs w:val="19"/>
              </w:rPr>
              <w:t xml:space="preserve">INV-16</w:t>
            </w:r>
          </w:p>
        </w:tc>
        <w:tc>
          <w:tcPr>
            <w:tcW w:type="dxa" w:w="5100"/>
            <w:shd w:fill="F2F7F6" w:val="clear"/>
            <w:tcMar>
              <w:top w:type="dxa" w:w="60"/>
              <w:left w:type="dxa" w:w="110"/>
              <w:bottom w:type="dxa" w:w="60"/>
              <w:right w:type="dxa" w:w="110"/>
            </w:tcMar>
          </w:tcPr>
          <w:p>
            <w:r>
              <w:rPr>
                <w:sz w:val="19"/>
                <w:szCs w:val="19"/>
              </w:rPr>
              <w:t xml:space="preserve">Input authority has a finite lifetime: it expires after a bounded idle interval (no accepted input) and a bounded maximum session duration, and extending it requires fresh host consent (INV-1). A granted session is never open-ended; expiry ends injection exactly as a revoke does (INV-3, INV-13).</w:t>
            </w:r>
          </w:p>
        </w:tc>
        <w:tc>
          <w:tcPr>
            <w:tcW w:type="dxa" w:w="3110"/>
            <w:shd w:fill="F2F7F6" w:val="clear"/>
            <w:tcMar>
              <w:top w:type="dxa" w:w="60"/>
              <w:left w:type="dxa" w:w="110"/>
              <w:bottom w:type="dxa" w:w="60"/>
              <w:right w:type="dxa" w:w="110"/>
            </w:tcMar>
          </w:tcPr>
          <w:p>
            <w:r>
              <w:rPr>
                <w:sz w:val="18"/>
                <w:szCs w:val="18"/>
              </w:rPr>
              <w:t xml:space="preserve">idle + max-duration TTL on the input capability; re-consent</w:t>
            </w:r>
          </w:p>
        </w:tc>
      </w:tr>
      <w:tr>
        <w:tc>
          <w:tcPr>
            <w:tcW w:type="dxa" w:w="1150"/>
            <w:shd w:fill="FFFFFF" w:val="clear"/>
            <w:tcMar>
              <w:top w:type="dxa" w:w="60"/>
              <w:left w:type="dxa" w:w="110"/>
              <w:bottom w:type="dxa" w:w="60"/>
              <w:right w:type="dxa" w:w="110"/>
            </w:tcMar>
          </w:tcPr>
          <w:p>
            <w:r>
              <w:rPr>
                <w:rFonts w:ascii="Consolas" w:cs="Consolas" w:eastAsia="Consolas" w:hAnsi="Consolas"/>
                <w:b/>
                <w:bCs/>
                <w:color w:val="0B4F49"/>
                <w:sz w:val="19"/>
                <w:szCs w:val="19"/>
              </w:rPr>
              <w:t xml:space="preserve">INV-17</w:t>
            </w:r>
          </w:p>
        </w:tc>
        <w:tc>
          <w:tcPr>
            <w:tcW w:type="dxa" w:w="5100"/>
            <w:shd w:fill="FFFFFF" w:val="clear"/>
            <w:tcMar>
              <w:top w:type="dxa" w:w="60"/>
              <w:left w:type="dxa" w:w="110"/>
              <w:bottom w:type="dxa" w:w="60"/>
              <w:right w:type="dxa" w:w="110"/>
            </w:tcMar>
          </w:tcPr>
          <w:p>
            <w:r>
              <w:rPr>
                <w:sz w:val="19"/>
                <w:szCs w:val="19"/>
              </w:rPr>
              <w:t xml:space="preserve">Consent prompts cannot be weaponised for fatigue. At most ONE input-consent prompt exists at a time. A denial/cancel starts a host-side cooldown during which remote input requests are rejected SILENTLY and cannot raise another prompt; Portal NEVER auto-re-prompts after a denial. The host must explicitly re-enable a request opportunity. So a malicious pinned controller cannot spam requests until the user clicks Allow out of annoyance.</w:t>
            </w:r>
          </w:p>
        </w:tc>
        <w:tc>
          <w:tcPr>
            <w:tcW w:type="dxa" w:w="3110"/>
            <w:shd w:fill="FFFFFF" w:val="clear"/>
            <w:tcMar>
              <w:top w:type="dxa" w:w="60"/>
              <w:left w:type="dxa" w:w="110"/>
              <w:bottom w:type="dxa" w:w="60"/>
              <w:right w:type="dxa" w:w="110"/>
            </w:tcMar>
          </w:tcPr>
          <w:p>
            <w:r>
              <w:rPr>
                <w:sz w:val="18"/>
                <w:szCs w:val="18"/>
              </w:rPr>
              <w:t xml:space="preserve">single prompt + post-denial cooldown; no auto-re-prompt (T-7)</w:t>
            </w:r>
          </w:p>
        </w:tc>
      </w:tr>
    </w:tbl>
    <w:p>
      <w:pPr>
        <w:pStyle w:val="Heading2"/>
        <w:spacing w:after="120" w:before="240"/>
      </w:pPr>
      <w:r>
        <w:rPr>
          <w:b/>
          <w:bCs/>
          <w:color w:val="2A3138"/>
        </w:rPr>
        <w:t xml:space="preserve">6.1 The revocation linearization point (INV-2 / INV-3)</w:t>
      </w:r>
    </w:p>
    <w:p>
      <w:pPr>
        <w:spacing w:after="120" w:line="276"/>
        <w:jc w:val="both"/>
      </w:pPr>
      <w:r>
        <w:rPr>
          <w:color w:val="1A1F24"/>
        </w:rPr>
        <w:t xml:space="preserve">The single most important technical honesty in this contract: software cannot un-submit an event Windows has already accepted into the input stream. So the safety property is not “no injected event lands after revoke” — it is “</w:t>
      </w:r>
      <w:r>
        <w:rPr>
          <w:b/>
          <w:bCs/>
          <w:color w:val="1A1F24"/>
        </w:rPr>
        <w:t xml:space="preserve">Portal makes zero new SendInput submissions after the revocation linearization point</w:t>
      </w:r>
      <w:r>
        <w:rPr>
          <w:color w:val="1A1F24"/>
        </w:rPr>
        <w:t xml:space="preserve">”. That point is defined precisely so the guarantee is testable:</w:t>
      </w:r>
    </w:p>
    <w:p>
      <w:pPr>
        <w:pStyle w:val="ListParagraph"/>
        <w:numPr>
          <w:ilvl w:val="0"/>
          <w:numId w:val="2"/>
        </w:numPr>
        <w:spacing w:after="70" w:line="268"/>
      </w:pPr>
      <w:r>
        <w:rPr>
          <w:b/>
          <w:bCs/>
        </w:rPr>
        <w:t xml:space="preserve">The injection path has a single gate. </w:t>
      </w:r>
      <w:r>
        <w:rPr>
          <w:color w:val="1A1F24"/>
        </w:rPr>
        <w:t xml:space="preserve">The final authority check and the SendInput call form one critical section with no await, queue pop, or other scheduling point between them (INV-2). An event that passes the check is submitted immediately or not at all.</w:t>
      </w:r>
    </w:p>
    <w:p>
      <w:pPr>
        <w:pStyle w:val="ListParagraph"/>
        <w:numPr>
          <w:ilvl w:val="0"/>
          <w:numId w:val="2"/>
        </w:numPr>
        <w:spacing w:after="70" w:line="268"/>
      </w:pPr>
      <w:r>
        <w:rPr>
          <w:b/>
          <w:bCs/>
        </w:rPr>
        <w:t xml:space="preserve">Check+submit and gate-close share ONE synchronization domain. </w:t>
      </w:r>
      <w:r>
        <w:rPr>
          <w:color w:val="1A1F24"/>
        </w:rPr>
        <w:t xml:space="preserve">“No await” is necessary but </w:t>
      </w:r>
      <w:r>
        <w:rPr>
          <w:i/>
          <w:iCs/>
          <w:color w:val="1A1F24"/>
        </w:rPr>
        <w:t xml:space="preserve">not sufficient</w:t>
      </w:r>
      <w:r>
        <w:rPr>
          <w:color w:val="1A1F24"/>
        </w:rPr>
        <w:t xml:space="preserve">: the kill-switch is a Windows global hotkey and local-input detection uses OS callbacks, both of which run on </w:t>
      </w:r>
      <w:r>
        <w:rPr>
          <w:b/>
          <w:bCs/>
          <w:color w:val="1A1F24"/>
        </w:rPr>
        <w:t xml:space="preserve">other OS threads</w:t>
      </w:r>
      <w:r>
        <w:rPr>
          <w:color w:val="1A1F24"/>
        </w:rPr>
        <w:t xml:space="preserve">. Without serialization, a kill thread can close the gate </w:t>
      </w:r>
      <w:r>
        <w:rPr>
          <w:i/>
          <w:iCs/>
          <w:color w:val="1A1F24"/>
        </w:rPr>
        <w:t xml:space="preserve">between</w:t>
      </w:r>
      <w:r>
        <w:rPr>
          <w:color w:val="1A1F24"/>
        </w:rPr>
        <w:t xml:space="preserve"> the worker's check and its SendInput with no await anywhere (threat T-14). Therefore the final-check+submit and the gate-close MUST hold a common lock (an injection mutex, or a single dedicated injection thread), establishing a </w:t>
      </w:r>
      <w:r>
        <w:rPr>
          <w:b/>
          <w:bCs/>
          <w:color w:val="1A1F24"/>
        </w:rPr>
        <w:t xml:space="preserve">total order</w:t>
      </w:r>
      <w:r>
        <w:rPr>
          <w:color w:val="1A1F24"/>
        </w:rPr>
        <w:t xml:space="preserve"> between any submission and revocation.</w:t>
      </w:r>
    </w:p>
    <w:p>
      <w:pPr>
        <w:pStyle w:val="ListParagraph"/>
        <w:numPr>
          <w:ilvl w:val="0"/>
          <w:numId w:val="2"/>
        </w:numPr>
        <w:spacing w:after="70" w:line="268"/>
      </w:pPr>
      <w:r>
        <w:rPr>
          <w:b/>
          <w:bCs/>
        </w:rPr>
        <w:t xml:space="preserve">Revocation closes the gate first. </w:t>
      </w:r>
      <w:r>
        <w:rPr>
          <w:rFonts w:ascii="Consolas" w:cs="Consolas" w:eastAsia="Consolas" w:hAnsi="Consolas"/>
          <w:color w:val="0B4F49"/>
          <w:sz w:val="19"/>
          <w:szCs w:val="19"/>
        </w:rPr>
        <w:t xml:space="preserve">emergency_stop()</w:t>
      </w:r>
      <w:r>
        <w:rPr>
          <w:color w:val="1A1F24"/>
        </w:rPr>
        <w:t xml:space="preserve"> acquires the domain and synchronously flips the gate to closed (the linearization point). That synchronous gate-close is the ONLY security-critical step on the hotkey thread. Everything else — revoke authority, drain the asyncio queues, quiesce the worker, update UI — is handed to the asyncio owner via </w:t>
      </w:r>
      <w:r>
        <w:rPr>
          <w:rFonts w:ascii="Consolas" w:cs="Consolas" w:eastAsia="Consolas" w:hAnsi="Consolas"/>
          <w:color w:val="0B4F49"/>
          <w:sz w:val="19"/>
          <w:szCs w:val="19"/>
        </w:rPr>
        <w:t xml:space="preserve">loop.call_soon_threadsafe(…)</w:t>
      </w:r>
      <w:r>
        <w:rPr>
          <w:color w:val="1A1F24"/>
        </w:rPr>
        <w:t xml:space="preserve">; the hotkey thread never mutates an asyncio.Queue directly. After the flip, no further authority-bearing submission can occur (INV-3).</w:t>
      </w:r>
    </w:p>
    <w:p>
      <w:pPr>
        <w:pStyle w:val="ListParagraph"/>
        <w:numPr>
          <w:ilvl w:val="0"/>
          <w:numId w:val="2"/>
        </w:numPr>
        <w:spacing w:after="70" w:line="268"/>
      </w:pPr>
      <w:r>
        <w:rPr>
          <w:b/>
          <w:bCs/>
        </w:rPr>
        <w:t xml:space="preserve">The ledger commit rides inside the same lock. </w:t>
      </w:r>
      <w:r>
        <w:rPr>
          <w:color w:val="1A1F24"/>
        </w:rPr>
        <w:t xml:space="preserve">A successful SendInput and its ownership-ledger add/remove happen together inside the injection critical section (INV-13). If the ledger were updated after releasing the lock, revocation could acquire in between, see an empty ledger, and skip releasing an input Windows already holds DOWN. OS submission and ownership state must linearize as one.</w:t>
      </w:r>
    </w:p>
    <w:p>
      <w:pPr>
        <w:pStyle w:val="ListParagraph"/>
        <w:numPr>
          <w:ilvl w:val="0"/>
          <w:numId w:val="2"/>
        </w:numPr>
        <w:spacing w:after="70" w:line="268"/>
      </w:pPr>
      <w:r>
        <w:rPr>
          <w:b/>
          <w:bCs/>
        </w:rPr>
        <w:t xml:space="preserve">Every race then has a deterministic answer. </w:t>
      </w:r>
      <w:r>
        <w:rPr>
          <w:color w:val="1A1F24"/>
        </w:rPr>
        <w:t xml:space="preserve">If check+submit acquires first, the event (and its ledger commit) belongs strictly before revocation; if gate-close acquires first, the event cannot be submitted at all. That total order is what gives “linearization point” its formal meaning.</w:t>
      </w:r>
    </w:p>
    <w:p>
      <w:pPr>
        <w:pStyle w:val="ListParagraph"/>
        <w:numPr>
          <w:ilvl w:val="0"/>
          <w:numId w:val="2"/>
        </w:numPr>
        <w:spacing w:after="70" w:line="268"/>
      </w:pPr>
      <w:r>
        <w:rPr>
          <w:b/>
          <w:bCs/>
        </w:rPr>
        <w:t xml:space="preserve">The kill path is independent of the transport loop. </w:t>
      </w:r>
      <w:r>
        <w:rPr>
          <w:color w:val="1A1F24"/>
        </w:rPr>
        <w:t xml:space="preserve">Gate-close is driven from the hotkey/message thread straight into the shared domain; it never waits on a network read. The asyncio machinery (revoke authority, drain queues, stop worker, update UI) is signalled afterwards. The network side is never on the kill-switch critical path.</w:t>
      </w:r>
    </w:p>
    <w:p>
      <w:pPr>
        <w:pStyle w:val="ListParagraph"/>
        <w:numPr>
          <w:ilvl w:val="0"/>
          <w:numId w:val="2"/>
        </w:numPr>
        <w:spacing w:after="70" w:line="268"/>
      </w:pPr>
      <w:r>
        <w:rPr>
          <w:b/>
          <w:bCs/>
        </w:rPr>
        <w:t xml:space="preserve">One exception, explicitly bounded. </w:t>
      </w:r>
      <w:r>
        <w:rPr>
          <w:color w:val="1A1F24"/>
        </w:rPr>
        <w:t xml:space="preserve">Teardown may still emit UP events for inputs Portal owns as DOWN (INV-13) — these are safety releases, not new authority, and are the only injections permitted after the gate closes.</w:t>
      </w:r>
    </w:p>
    <w:p>
      <w:pPr>
        <w:pStyle w:val="ListParagraph"/>
        <w:numPr>
          <w:ilvl w:val="0"/>
          <w:numId w:val="2"/>
        </w:numPr>
        <w:spacing w:after="70" w:line="268"/>
      </w:pPr>
      <w:r>
        <w:rPr>
          <w:b/>
          <w:bCs/>
        </w:rPr>
        <w:t xml:space="preserve">Residual risk is named, not hidden. </w:t>
      </w:r>
      <w:r>
        <w:rPr>
          <w:color w:val="1A1F24"/>
        </w:rPr>
        <w:t xml:space="preserve">An event already accepted by Windows microseconds before the flip may still land. That is disclosed residual risk; the contract minimises the window (INV-2 leaves no scheduling gap) rather than pretending to eliminate it.</w:t>
      </w:r>
    </w:p>
    <w:tbl>
      <w:tblPr>
        <w:tblW w:type="pct" w:w="100%"/>
        <w:tblBorders>
          <w:top w:val="single" w:color="2FD6C3" w:sz="2"/>
          <w:left w:val="single" w:color="2FD6C3" w:sz="18"/>
          <w:bottom w:val="single" w:color="2FD6C3" w:sz="2"/>
          <w:right w:val="single" w:color="2FD6C3" w:sz="2"/>
          <w:insideH w:val="none"/>
          <w:insideV w:val="none"/>
        </w:tblBorders>
      </w:tblPr>
      <w:tblGrid>
        <w:gridCol w:w="9360"/>
      </w:tblGrid>
      <w:tr>
        <w:tc>
          <w:tcPr>
            <w:tcW w:type="dxa" w:w="9360"/>
            <w:shd w:fill="F7FBFA" w:val="clear"/>
            <w:tcMar>
              <w:top w:type="dxa" w:w="120"/>
              <w:left w:type="dxa" w:w="180"/>
              <w:bottom w:type="dxa" w:w="120"/>
              <w:right w:type="dxa" w:w="180"/>
            </w:tcMar>
          </w:tcPr>
          <w:p>
            <w:pPr>
              <w:spacing w:after="60"/>
            </w:pPr>
            <w:r>
              <w:rPr>
                <w:b/>
                <w:bCs/>
                <w:caps/>
                <w:color w:val="2FD6C3"/>
                <w:sz w:val="20"/>
                <w:szCs w:val="20"/>
              </w:rPr>
              <w:t xml:space="preserve">Two measured latencies for INV-3</w:t>
            </w:r>
          </w:p>
          <w:p>
            <w:pPr>
              <w:spacing w:after="40" w:line="264"/>
            </w:pPr>
            <w:r>
              <w:rPr>
                <w:b/>
                <w:bCs/>
                <w:color w:val="1A1F24"/>
              </w:rPr>
              <w:t xml:space="preserve">(a) kill → injection gate closed</w:t>
            </w:r>
            <w:r>
              <w:rPr>
                <w:color w:val="5A6570"/>
              </w:rPr>
              <w:t xml:space="preserve">  and  </w:t>
            </w:r>
            <w:r>
              <w:rPr>
                <w:b/>
                <w:bCs/>
                <w:color w:val="1A1F24"/>
              </w:rPr>
              <w:t xml:space="preserve">(b) kill → worker quiescent / queues empty</w:t>
            </w:r>
            <w:r>
              <w:rPr>
                <w:color w:val="1A1F24"/>
              </w:rPr>
              <w:t xml:space="preserve">. Initial rig gate: ≤ 50 ms p99 and ≤ 100 ms hard upper bound under deliberate input flood, tightened after measurement. The deterministic rule (zero submissions after the linearization point) matters more than the number.</w:t>
            </w:r>
          </w:p>
        </w:tc>
      </w:tr>
    </w:tbl>
    <w:p>
      <w:pPr>
        <w:pStyle w:val="Heading1"/>
        <w:spacing w:after="160" w:before="320"/>
      </w:pPr>
      <w:r>
        <w:rPr>
          <w:b/>
          <w:bCs/>
          <w:color w:val="1A1F24"/>
        </w:rPr>
        <w:t xml:space="preserve">7. Failure semantics — what happens when it's uncertain</w:t>
      </w:r>
    </w:p>
    <w:p>
      <w:pPr>
        <w:spacing w:after="120" w:line="276"/>
        <w:jc w:val="both"/>
      </w:pPr>
      <w:r>
        <w:rPr>
          <w:color w:val="1A1F24"/>
        </w:rPr>
        <w:t xml:space="preserve">Deny-first means the interesting cases are the failures. For each, the required behaviour is the </w:t>
      </w:r>
      <w:r>
        <w:rPr>
          <w:b/>
          <w:bCs/>
          <w:color w:val="1A1F24"/>
        </w:rPr>
        <w:t xml:space="preserve">safe</w:t>
      </w:r>
      <w:r>
        <w:rPr>
          <w:color w:val="1A1F24"/>
        </w:rPr>
        <w:t xml:space="preserve"> one:</w:t>
      </w:r>
    </w:p>
    <w:p>
      <w:pPr>
        <w:pStyle w:val="ListParagraph"/>
        <w:numPr>
          <w:ilvl w:val="0"/>
          <w:numId w:val="2"/>
        </w:numPr>
        <w:spacing w:after="70" w:line="268"/>
      </w:pPr>
      <w:r>
        <w:rPr>
          <w:b/>
          <w:bCs/>
        </w:rPr>
        <w:t xml:space="preserve">Authority ambiguous or token generation moved → </w:t>
      </w:r>
      <w:r>
        <w:rPr>
          <w:color w:val="1A1F24"/>
        </w:rPr>
        <w:t xml:space="preserve">drop the event (INV-2). Never “assume still granted”.</w:t>
      </w:r>
    </w:p>
    <w:p>
      <w:pPr>
        <w:pStyle w:val="ListParagraph"/>
        <w:numPr>
          <w:ilvl w:val="0"/>
          <w:numId w:val="2"/>
        </w:numPr>
        <w:spacing w:after="70" w:line="268"/>
      </w:pPr>
      <w:r>
        <w:rPr>
          <w:b/>
          <w:bCs/>
        </w:rPr>
        <w:t xml:space="preserve">Coordinate/display invalid → </w:t>
      </w:r>
      <w:r>
        <w:rPr>
          <w:color w:val="1A1F24"/>
        </w:rPr>
        <w:t xml:space="preserve">drop the event (INV-6). Never clamp to an edge or a default monitor.</w:t>
      </w:r>
    </w:p>
    <w:p>
      <w:pPr>
        <w:pStyle w:val="ListParagraph"/>
        <w:numPr>
          <w:ilvl w:val="0"/>
          <w:numId w:val="2"/>
        </w:numPr>
        <w:spacing w:after="70" w:line="268"/>
      </w:pPr>
      <w:r>
        <w:rPr>
          <w:b/>
          <w:bCs/>
        </w:rPr>
        <w:t xml:space="preserve">Rate exceeded → </w:t>
      </w:r>
      <w:r>
        <w:rPr>
          <w:color w:val="1A1F24"/>
        </w:rPr>
        <w:t xml:space="preserve">drop excess (INV-5). Never queue; a backlog is a latency bomb that fights the user.</w:t>
      </w:r>
    </w:p>
    <w:p>
      <w:pPr>
        <w:pStyle w:val="ListParagraph"/>
        <w:numPr>
          <w:ilvl w:val="0"/>
          <w:numId w:val="2"/>
        </w:numPr>
        <w:spacing w:after="70" w:line="268"/>
      </w:pPr>
      <w:r>
        <w:rPr>
          <w:b/>
          <w:bCs/>
        </w:rPr>
        <w:t xml:space="preserve">Focus/geometry changed → </w:t>
      </w:r>
      <w:r>
        <w:rPr>
          <w:color w:val="1A1F24"/>
        </w:rPr>
        <w:t xml:space="preserve">suspend injection until re-synced (INV-10). Never replay against a stale view.</w:t>
      </w:r>
    </w:p>
    <w:p>
      <w:pPr>
        <w:pStyle w:val="ListParagraph"/>
        <w:numPr>
          <w:ilvl w:val="0"/>
          <w:numId w:val="2"/>
        </w:numPr>
        <w:spacing w:after="70" w:line="268"/>
      </w:pPr>
      <w:r>
        <w:rPr>
          <w:b/>
          <w:bCs/>
        </w:rPr>
        <w:t xml:space="preserve">Backend/OS call fails → </w:t>
      </w:r>
      <w:r>
        <w:rPr>
          <w:color w:val="1A1F24"/>
        </w:rPr>
        <w:t xml:space="preserve">treat as a dropped event and surface it; never retry blindly into an unknown UI state.</w:t>
      </w:r>
    </w:p>
    <w:p>
      <w:pPr>
        <w:pStyle w:val="ListParagraph"/>
        <w:numPr>
          <w:ilvl w:val="0"/>
          <w:numId w:val="2"/>
        </w:numPr>
        <w:spacing w:after="70" w:line="268"/>
      </w:pPr>
      <w:r>
        <w:rPr>
          <w:b/>
          <w:bCs/>
        </w:rPr>
        <w:t xml:space="preserve">Connection drops mid-gesture → </w:t>
      </w:r>
      <w:r>
        <w:rPr>
          <w:color w:val="1A1F24"/>
        </w:rPr>
        <w:t xml:space="preserve">release all held inputs (INV-13) and end the session (INV-11).</w:t>
      </w:r>
    </w:p>
    <w:p>
      <w:pPr>
        <w:pStyle w:val="ListParagraph"/>
        <w:numPr>
          <w:ilvl w:val="0"/>
          <w:numId w:val="2"/>
        </w:numPr>
        <w:spacing w:after="70" w:line="268"/>
      </w:pPr>
      <w:r>
        <w:rPr>
          <w:b/>
          <w:bCs/>
        </w:rPr>
        <w:t xml:space="preserve">Frame seen but then dropped by policy → </w:t>
      </w:r>
      <w:r>
        <w:rPr>
          <w:color w:val="1A1F24"/>
        </w:rPr>
        <w:t xml:space="preserve">its input_seq is already consumed (INV-12); the same seq can never be resent to “replay” the dropped action. A dropped event stays dropped.</w:t>
      </w:r>
    </w:p>
    <w:p>
      <w:pPr>
        <w:pStyle w:val="ListParagraph"/>
        <w:numPr>
          <w:ilvl w:val="0"/>
          <w:numId w:val="2"/>
        </w:numPr>
        <w:spacing w:after="70" w:line="268"/>
      </w:pPr>
      <w:r>
        <w:rPr>
          <w:b/>
          <w:bCs/>
        </w:rPr>
        <w:t xml:space="preserve">Workstation lock / user switch → </w:t>
      </w:r>
      <w:r>
        <w:rPr>
          <w:color w:val="1A1F24"/>
        </w:rPr>
        <w:t xml:space="preserve">revoke input and require fresh consent (INV-10); do not merely suspend — the person at the machine may have changed.</w:t>
      </w:r>
    </w:p>
    <w:p>
      <w:pPr>
        <w:pStyle w:val="ListParagraph"/>
        <w:numPr>
          <w:ilvl w:val="0"/>
          <w:numId w:val="2"/>
        </w:numPr>
        <w:spacing w:after="70" w:line="268"/>
      </w:pPr>
      <w:r>
        <w:rPr>
          <w:b/>
          <w:bCs/>
        </w:rPr>
        <w:t xml:space="preserve">Kill-switch failed to register → </w:t>
      </w:r>
      <w:r>
        <w:rPr>
          <w:color w:val="1A1F24"/>
        </w:rPr>
        <w:t xml:space="preserve">refuse input mode entirely (INV-9); never run injection without a working physical stop.</w:t>
      </w:r>
    </w:p>
    <w:tbl>
      <w:tblPr>
        <w:tblW w:type="pct" w:w="100%"/>
        <w:tblBorders>
          <w:top w:val="single" w:color="4BE08A" w:sz="2"/>
          <w:left w:val="single" w:color="4BE08A" w:sz="18"/>
          <w:bottom w:val="single" w:color="4BE08A" w:sz="2"/>
          <w:right w:val="single" w:color="4BE08A" w:sz="2"/>
          <w:insideH w:val="none"/>
          <w:insideV w:val="none"/>
        </w:tblBorders>
      </w:tblPr>
      <w:tblGrid>
        <w:gridCol w:w="9360"/>
      </w:tblGrid>
      <w:tr>
        <w:tc>
          <w:tcPr>
            <w:tcW w:type="dxa" w:w="9360"/>
            <w:shd w:fill="F7FBFA" w:val="clear"/>
            <w:tcMar>
              <w:top w:type="dxa" w:w="120"/>
              <w:left w:type="dxa" w:w="180"/>
              <w:bottom w:type="dxa" w:w="120"/>
              <w:right w:type="dxa" w:w="180"/>
            </w:tcMar>
          </w:tcPr>
          <w:p>
            <w:pPr>
              <w:spacing w:after="60"/>
            </w:pPr>
            <w:r>
              <w:rPr>
                <w:b/>
                <w:bCs/>
                <w:caps/>
                <w:color w:val="4BE08A"/>
                <w:sz w:val="20"/>
                <w:szCs w:val="20"/>
              </w:rPr>
              <w:t xml:space="preserve">The one-sentence contract</w:t>
            </w:r>
          </w:p>
          <w:p>
            <w:pPr>
              <w:spacing w:after="40" w:line="264"/>
            </w:pPr>
            <w:r>
              <w:rPr>
                <w:b/>
                <w:bCs/>
                <w:color w:val="1A1F24"/>
              </w:rPr>
              <w:t xml:space="preserve">If Portal cannot prove, at the instant before the OS call, that this specific event is authorized, in-range, in-rate, and on a synced view — it does not inject it.</w:t>
            </w:r>
          </w:p>
        </w:tc>
      </w:tr>
    </w:tbl>
    <w:p>
      <w:pPr>
        <w:pStyle w:val="Heading1"/>
        <w:spacing w:after="160" w:before="320"/>
      </w:pPr>
      <w:r>
        <w:rPr>
          <w:b/>
          <w:bCs/>
          <w:color w:val="1A1F24"/>
        </w:rPr>
        <w:t xml:space="preserve">8. Keyboard deferral and open questions for review</w:t>
      </w:r>
    </w:p>
    <w:p>
      <w:pPr>
        <w:spacing w:after="120" w:line="276"/>
        <w:jc w:val="both"/>
      </w:pPr>
      <w:r>
        <w:rPr>
          <w:color w:val="1A1F24"/>
        </w:rPr>
        <w:t xml:space="preserve">The MVP is </w:t>
      </w:r>
      <w:r>
        <w:rPr>
          <w:b/>
          <w:bCs/>
          <w:color w:val="1A1F24"/>
        </w:rPr>
        <w:t xml:space="preserve">mouse-only</w:t>
      </w:r>
      <w:r>
        <w:rPr>
          <w:color w:val="1A1F24"/>
        </w:rPr>
        <w:t xml:space="preserve">. Keyboard injection multiplies risk (typed credentials, command execution, hotkeys that reach the OS shell) and is deferred behind its own gate. The following questions are put to the adversarial reviewer explicitly:</w:t>
      </w:r>
    </w:p>
    <w:p>
      <w:pPr>
        <w:spacing w:after="120" w:line="276"/>
        <w:jc w:val="both"/>
      </w:pPr>
      <w:r>
        <w:rPr>
          <w:color w:val="1A1F24"/>
        </w:rPr>
        <w:t xml:space="preserve">The first adversarial pass resolved the five original questions; their answers are now folded into the invariants above and recorded here:</w:t>
      </w:r>
    </w:p>
    <w:p>
      <w:pPr>
        <w:pStyle w:val="ListParagraph"/>
        <w:numPr>
          <w:ilvl w:val="0"/>
          <w:numId w:val="2"/>
        </w:numPr>
        <w:spacing w:after="70" w:line="268"/>
      </w:pPr>
      <w:r>
        <w:rPr>
          <w:b/>
          <w:bCs/>
        </w:rPr>
        <w:t xml:space="preserve">INV-7 achievability — </w:t>
      </w:r>
      <w:r>
        <w:rPr>
          <w:color w:val="1A1F24"/>
        </w:rPr>
        <w:t xml:space="preserve">a same-integrity Portal window is NOT unreachable by SendInput (UIPI won't save it, and hit-testing is a TOCTOU race). Resolved for MVP by not depending on Portal-UI clicks for revoke; a literal barrier needs a separate input desktop, deferred.</w:t>
      </w:r>
    </w:p>
    <w:p>
      <w:pPr>
        <w:pStyle w:val="ListParagraph"/>
        <w:numPr>
          <w:ilvl w:val="0"/>
          <w:numId w:val="2"/>
        </w:numPr>
        <w:spacing w:after="70" w:line="268"/>
      </w:pPr>
      <w:r>
        <w:rPr>
          <w:b/>
          <w:bCs/>
        </w:rPr>
        <w:t xml:space="preserve">INV-9 kill-switch — </w:t>
      </w:r>
      <w:r>
        <w:rPr>
          <w:rFonts w:ascii="Consolas" w:cs="Consolas" w:eastAsia="Consolas" w:hAnsi="Consolas"/>
          <w:color w:val="0B4F49"/>
          <w:sz w:val="19"/>
          <w:szCs w:val="19"/>
        </w:rPr>
        <w:t xml:space="preserve">RegisterHotKey</w:t>
      </w:r>
      <w:r>
        <w:rPr>
          <w:color w:val="1A1F24"/>
        </w:rPr>
        <w:t xml:space="preserve"> (system-wide, posts WM_HOTKEY). A mouse-only controller cannot synthesise the keyboard chord. A low-level keyboard hook only becomes relevant if keyboard control is ever approved.</w:t>
      </w:r>
    </w:p>
    <w:p>
      <w:pPr>
        <w:pStyle w:val="ListParagraph"/>
        <w:numPr>
          <w:ilvl w:val="0"/>
          <w:numId w:val="2"/>
        </w:numPr>
        <w:spacing w:after="70" w:line="268"/>
      </w:pPr>
      <w:r>
        <w:rPr>
          <w:b/>
          <w:bCs/>
        </w:rPr>
        <w:t xml:space="preserve">INV-3 latency — </w:t>
      </w:r>
      <w:r>
        <w:rPr>
          <w:color w:val="1A1F24"/>
        </w:rPr>
        <w:t xml:space="preserve">two measurements (gate-closed; worker-quiescent), rig-gated at ≤ 50 ms p99 / ≤ 100 ms hard cap under flood, with the deterministic “zero submissions after linearization” rule as the real acceptance criterion.</w:t>
      </w:r>
    </w:p>
    <w:p>
      <w:pPr>
        <w:pStyle w:val="ListParagraph"/>
        <w:numPr>
          <w:ilvl w:val="0"/>
          <w:numId w:val="2"/>
        </w:numPr>
        <w:spacing w:after="70" w:line="268"/>
      </w:pPr>
      <w:r>
        <w:rPr>
          <w:b/>
          <w:bCs/>
        </w:rPr>
        <w:t xml:space="preserve">INV-10 focus — </w:t>
      </w:r>
      <w:r>
        <w:rPr>
          <w:color w:val="1A1F24"/>
        </w:rPr>
        <w:t xml:space="preserve">screen resync alone is insufficient; the contract mandates a host-stamped view_epoch on frames with a max view age, and input naming the epoch it saw. The exact OS focus API is a Phase-7 detail.</w:t>
      </w:r>
    </w:p>
    <w:p>
      <w:pPr>
        <w:pStyle w:val="ListParagraph"/>
        <w:numPr>
          <w:ilvl w:val="0"/>
          <w:numId w:val="2"/>
        </w:numPr>
        <w:spacing w:after="70" w:line="268"/>
      </w:pPr>
      <w:r>
        <w:rPr>
          <w:b/>
          <w:bCs/>
        </w:rPr>
        <w:t xml:space="preserve">INV-13 held state — </w:t>
      </w:r>
      <w:r>
        <w:rPr>
          <w:color w:val="1A1F24"/>
        </w:rPr>
        <w:t xml:space="preserve">Portal tracks its own ownership ledger rather than enumerating OS state (SendInput does not reset pre-existing keyboard state, so OS state is diagnostic only).</w:t>
      </w:r>
    </w:p>
    <w:p>
      <w:pPr>
        <w:pStyle w:val="Heading2"/>
        <w:spacing w:after="120" w:before="240"/>
      </w:pPr>
      <w:r>
        <w:rPr>
          <w:b/>
          <w:bCs/>
          <w:color w:val="2A3138"/>
        </w:rPr>
        <w:t xml:space="preserve">8.1 Remaining questions for the next pass</w:t>
      </w:r>
    </w:p>
    <w:p>
      <w:pPr>
        <w:pStyle w:val="ListParagraph"/>
        <w:numPr>
          <w:ilvl w:val="0"/>
          <w:numId w:val="3"/>
        </w:numPr>
        <w:spacing w:after="70" w:line="268"/>
      </w:pPr>
      <w:r>
        <w:rPr>
          <w:color w:val="1A1F24"/>
        </w:rPr>
        <w:t xml:space="preserve">Is the ≤ 50 ms p99 gate-close target realistic on the 3.11.5 rig once the async injection worker exists, or does the gate need to be synchronous with the transport read?</w:t>
      </w:r>
    </w:p>
    <w:p>
      <w:pPr>
        <w:pStyle w:val="ListParagraph"/>
        <w:numPr>
          <w:ilvl w:val="0"/>
          <w:numId w:val="3"/>
        </w:numPr>
        <w:spacing w:after="70" w:line="268"/>
      </w:pPr>
      <w:r>
        <w:rPr>
          <w:color w:val="1A1F24"/>
        </w:rPr>
        <w:t xml:space="preserve">For INV-15, what physical-activity grace-period duration balances “don't fight the user” against “don't flap control on an accidental bump” — and should sustained physical activity pause vs. fully revoke?</w:t>
      </w:r>
    </w:p>
    <w:p>
      <w:pPr>
        <w:pStyle w:val="ListParagraph"/>
        <w:numPr>
          <w:ilvl w:val="0"/>
          <w:numId w:val="3"/>
        </w:numPr>
        <w:spacing w:after="70" w:line="268"/>
      </w:pPr>
      <w:r>
        <w:rPr>
          <w:color w:val="1A1F24"/>
        </w:rPr>
        <w:t xml:space="preserve">Does INV-10's view_epoch need to include per-window z-order/occlusion, or are topology + geometry + focus sufficient to prevent a click landing on a window the controller didn't see?</w:t>
      </w:r>
    </w:p>
    <w:p>
      <w:pPr>
        <w:pStyle w:val="ListParagraph"/>
        <w:numPr>
          <w:ilvl w:val="0"/>
          <w:numId w:val="3"/>
        </w:numPr>
        <w:spacing w:after="70" w:line="268"/>
      </w:pPr>
      <w:r>
        <w:rPr>
          <w:color w:val="1A1F24"/>
        </w:rPr>
        <w:t xml:space="preserve">Is a separate input desktop worth building for the MVP to make INV-7 literal, or is the “no revoke-by-Portal-UI” compromise acceptable for a LAN family-support tool?</w:t>
      </w:r>
    </w:p>
    <w:p>
      <w:pPr>
        <w:spacing w:after="120" w:line="276"/>
        <w:jc w:val="both"/>
      </w:pPr>
      <w:r>
        <w:rPr>
          <w:color w:val="1A1F24"/>
        </w:rPr>
        <w:t xml:space="preserve">Acceptance of this document means agreement that Phase-7 implementation </w:t>
      </w:r>
      <w:r>
        <w:rPr>
          <w:b/>
          <w:bCs/>
          <w:color w:val="1A1F24"/>
        </w:rPr>
        <w:t xml:space="preserve">may begin only against these invariants (INV-1–INV-17)</w:t>
      </w:r>
      <w:r>
        <w:rPr>
          <w:color w:val="1A1F24"/>
        </w:rPr>
        <w:t xml:space="preserve">, each landed with a revert-proven test, and that mouse ships before any keyboard decision is revisited.</w:t>
      </w:r>
    </w:p>
    <w:tbl>
      <w:tblPr>
        <w:tblW w:type="pct" w:w="100%"/>
        <w:tblBorders>
          <w:top w:val="single" w:color="FFB454" w:sz="2"/>
          <w:left w:val="single" w:color="FFB454" w:sz="18"/>
          <w:bottom w:val="single" w:color="FFB454" w:sz="2"/>
          <w:right w:val="single" w:color="FFB454" w:sz="2"/>
          <w:insideH w:val="none"/>
          <w:insideV w:val="none"/>
        </w:tblBorders>
      </w:tblPr>
      <w:tblGrid>
        <w:gridCol w:w="9360"/>
      </w:tblGrid>
      <w:tr>
        <w:tc>
          <w:tcPr>
            <w:tcW w:type="dxa" w:w="9360"/>
            <w:shd w:fill="F7FBFA" w:val="clear"/>
            <w:tcMar>
              <w:top w:type="dxa" w:w="120"/>
              <w:left w:type="dxa" w:w="180"/>
              <w:bottom w:type="dxa" w:w="120"/>
              <w:right w:type="dxa" w:w="180"/>
            </w:tcMar>
          </w:tcPr>
          <w:p>
            <w:pPr>
              <w:spacing w:after="60"/>
            </w:pPr>
            <w:r>
              <w:rPr>
                <w:b/>
                <w:bCs/>
                <w:caps/>
                <w:color w:val="FFB454"/>
                <w:sz w:val="20"/>
                <w:szCs w:val="20"/>
              </w:rPr>
              <w:t xml:space="preserve">Build vs. enable — the acceptance scope</w:t>
            </w:r>
          </w:p>
          <w:p>
            <w:pPr>
              <w:spacing w:after="40" w:line="264"/>
            </w:pPr>
            <w:r>
              <w:rPr>
                <w:b/>
                <w:bCs/>
                <w:color w:val="1A1F24"/>
              </w:rPr>
              <w:t xml:space="preserve">Acceptance authorises BUILDING and unit-testing the mouse-only injection backend against INV-1–INV-16. It does NOT authorise enabling network-driven SendInput: </w:t>
            </w:r>
            <w:r>
              <w:rPr>
                <w:color w:val="1A1F24"/>
              </w:rPr>
              <w:t xml:space="preserve">end-to-end remote injection stays feature-disabled until A6 is fully closed (INV-12). The backend can be exercised with local/synthetic input drivers and revert-proven tests while the network path remains gated off.</w:t>
            </w:r>
          </w:p>
        </w:tc>
      </w:tr>
    </w:tbl>
    <w:p>
      <w:pPr>
        <w:pStyle w:val="Heading1"/>
        <w:spacing w:after="160" w:before="320"/>
      </w:pPr>
      <w:r>
        <w:rPr>
          <w:b/>
          <w:bCs/>
          <w:color w:val="1A1F24"/>
        </w:rPr>
        <w:t xml:space="preserve">Appendix A — Provenance in the hardened codebase</w:t>
      </w:r>
    </w:p>
    <w:p>
      <w:pPr>
        <w:spacing w:after="120" w:line="276"/>
        <w:jc w:val="both"/>
      </w:pPr>
      <w:r>
        <w:rPr>
          <w:color w:val="1A1F24"/>
        </w:rPr>
        <w:t xml:space="preserve">The safety contract is not aspirational; each invariant attaches to machinery that already exists and has been adversarially reviewed. This grounds Phase 7 in proven components rather than new trust:</w:t>
      </w:r>
    </w:p>
    <w:p>
      <w:pPr>
        <w:pStyle w:val="ListParagraph"/>
        <w:numPr>
          <w:ilvl w:val="0"/>
          <w:numId w:val="2"/>
        </w:numPr>
        <w:spacing w:after="70" w:line="268"/>
      </w:pPr>
      <w:r>
        <w:rPr>
          <w:rFonts w:ascii="Consolas" w:cs="Consolas" w:eastAsia="Consolas" w:hAnsi="Consolas"/>
          <w:color w:val="0B4F49"/>
          <w:sz w:val="19"/>
          <w:szCs w:val="19"/>
        </w:rPr>
        <w:t xml:space="preserve">emergency_stop() → revoke_all()</w:t>
      </w:r>
      <w:r>
        <w:rPr>
          <w:color w:val="1A1F24"/>
        </w:rPr>
        <w:t xml:space="preserve"> — kill-switch hook and generation-bump revocation (host/coordinator.py, security/authority.py).</w:t>
      </w:r>
    </w:p>
    <w:p>
      <w:pPr>
        <w:pStyle w:val="ListParagraph"/>
        <w:numPr>
          <w:ilvl w:val="0"/>
          <w:numId w:val="2"/>
        </w:numPr>
        <w:spacing w:after="70" w:line="268"/>
      </w:pPr>
      <w:r>
        <w:rPr>
          <w:rFonts w:ascii="Consolas" w:cs="Consolas" w:eastAsia="Consolas" w:hAnsi="Consolas"/>
          <w:color w:val="0B4F49"/>
          <w:sz w:val="19"/>
          <w:szCs w:val="19"/>
        </w:rPr>
        <w:t xml:space="preserve">CancellationToken.wait_invalid()</w:t>
      </w:r>
      <w:r>
        <w:rPr>
          <w:color w:val="1A1F24"/>
        </w:rPr>
        <w:t xml:space="preserve"> — cancellation-aware, sub-millisecond revocation wake enabling INV-2/INV-3.</w:t>
      </w:r>
    </w:p>
    <w:p>
      <w:pPr>
        <w:pStyle w:val="ListParagraph"/>
        <w:numPr>
          <w:ilvl w:val="0"/>
          <w:numId w:val="2"/>
        </w:numPr>
        <w:spacing w:after="70" w:line="268"/>
      </w:pPr>
      <w:r>
        <w:rPr>
          <w:rFonts w:ascii="Consolas" w:cs="Consolas" w:eastAsia="Consolas" w:hAnsi="Consolas"/>
          <w:color w:val="0B4F49"/>
          <w:sz w:val="19"/>
          <w:szCs w:val="19"/>
        </w:rPr>
        <w:t xml:space="preserve">SessionContext</w:t>
      </w:r>
      <w:r>
        <w:rPr>
          <w:color w:val="1A1F24"/>
        </w:rPr>
        <w:t xml:space="preserve"> per-session authority — isolation behind INV-4 (A3).</w:t>
      </w:r>
    </w:p>
    <w:p>
      <w:pPr>
        <w:pStyle w:val="ListParagraph"/>
        <w:numPr>
          <w:ilvl w:val="0"/>
          <w:numId w:val="2"/>
        </w:numPr>
        <w:spacing w:after="70" w:line="268"/>
      </w:pPr>
      <w:r>
        <w:rPr>
          <w:rFonts w:ascii="Consolas" w:cs="Consolas" w:eastAsia="Consolas" w:hAnsi="Consolas"/>
          <w:color w:val="0B4F49"/>
          <w:sz w:val="19"/>
          <w:szCs w:val="19"/>
        </w:rPr>
        <w:t xml:space="preserve">HostConsent.confirm_operation()</w:t>
      </w:r>
      <w:r>
        <w:rPr>
          <w:color w:val="1A1F24"/>
        </w:rPr>
        <w:t xml:space="preserve"> — the per-operation human gate for INV-1; trusted≠authorized enforced at session entry.</w:t>
      </w:r>
    </w:p>
    <w:p>
      <w:pPr>
        <w:pStyle w:val="ListParagraph"/>
        <w:numPr>
          <w:ilvl w:val="0"/>
          <w:numId w:val="2"/>
        </w:numPr>
        <w:spacing w:after="70" w:line="268"/>
      </w:pPr>
      <w:r>
        <w:rPr>
          <w:rFonts w:ascii="Consolas" w:cs="Consolas" w:eastAsia="Consolas" w:hAnsi="Consolas"/>
          <w:color w:val="0B4F49"/>
          <w:sz w:val="19"/>
          <w:szCs w:val="19"/>
        </w:rPr>
        <w:t xml:space="preserve">InputBackend</w:t>
      </w:r>
      <w:r>
        <w:rPr>
          <w:color w:val="1A1F24"/>
        </w:rPr>
        <w:t xml:space="preserve"> normalized coords + stable </w:t>
      </w:r>
      <w:r>
        <w:rPr>
          <w:rFonts w:ascii="Consolas" w:cs="Consolas" w:eastAsia="Consolas" w:hAnsi="Consolas"/>
          <w:color w:val="0B4F49"/>
          <w:sz w:val="19"/>
          <w:szCs w:val="19"/>
        </w:rPr>
        <w:t xml:space="preserve">display_id</w:t>
      </w:r>
      <w:r>
        <w:rPr>
          <w:color w:val="1A1F24"/>
        </w:rPr>
        <w:t xml:space="preserve">, explicit UIPI note — the seam for INV-6/INV-8 (input/base.py).</w:t>
      </w:r>
    </w:p>
    <w:p>
      <w:pPr>
        <w:pStyle w:val="ListParagraph"/>
        <w:numPr>
          <w:ilvl w:val="0"/>
          <w:numId w:val="2"/>
        </w:numPr>
        <w:spacing w:after="70" w:line="268"/>
      </w:pPr>
      <w:r>
        <w:rPr>
          <w:color w:val="1A1F24"/>
        </w:rPr>
        <w:t xml:space="preserve">Pre-TLS admission (A1, closed and rig-validated) underpins INV-12's transport half. Channel-bound auth (A6) is </w:t>
      </w:r>
      <w:r>
        <w:rPr>
          <w:b/>
          <w:bCs/>
          <w:color w:val="1A1F24"/>
        </w:rPr>
        <w:t xml:space="preserve">not yet fully closed</w:t>
      </w:r>
      <w:r>
        <w:rPr>
          <w:color w:val="1A1F24"/>
        </w:rPr>
        <w:t xml:space="preserve"> on the 3.11 target (RFC-9266 tls-exporter is unavailable in the stdlib there), so INV-12 does not lean on it alone — the independent per-session </w:t>
      </w:r>
      <w:r>
        <w:rPr>
          <w:rFonts w:ascii="Consolas" w:cs="Consolas" w:eastAsia="Consolas" w:hAnsi="Consolas"/>
          <w:color w:val="0B4F49"/>
          <w:sz w:val="19"/>
          <w:szCs w:val="19"/>
        </w:rPr>
        <w:t xml:space="preserve">input_session_nonce</w:t>
      </w:r>
      <w:r>
        <w:rPr>
          <w:color w:val="1A1F24"/>
        </w:rPr>
        <w:t xml:space="preserve"> (128-bit) plus a consume-on-seen </w:t>
      </w:r>
      <w:r>
        <w:rPr>
          <w:rFonts w:ascii="Consolas" w:cs="Consolas" w:eastAsia="Consolas" w:hAnsi="Consolas"/>
          <w:color w:val="0B4F49"/>
          <w:sz w:val="19"/>
          <w:szCs w:val="19"/>
        </w:rPr>
        <w:t xml:space="preserve">input_seq</w:t>
      </w:r>
      <w:r>
        <w:rPr>
          <w:color w:val="1A1F24"/>
        </w:rPr>
        <w:t xml:space="preserve"> is the input layer's own stale/duplicate defence.</w:t>
      </w:r>
    </w:p>
    <w:p>
      <w:pPr>
        <w:pBdr>
          <w:top w:val="single" w:color="1F7A4D" w:sz="6"/>
        </w:pBdr>
        <w:spacing w:before="240"/>
      </w:pPr>
      <w:r>
        <w:rPr>
          <w:i/>
          <w:iCs/>
          <w:color w:val="5A6570"/>
          <w:sz w:val="19"/>
          <w:szCs w:val="19"/>
        </w:rPr>
        <w:t xml:space="preserve">End of B5 design review — ACCEPTED (Rev 4). Mouse-only backend implementation is authorised against INV-1–INV-17, each landed with a revert-proven test; network-driven SendInput remains feature-disabled until A6 is fully closed. Suggested starting TTLs for INV-16: idle 5 min, absolute session 30 min (conservative, tune from real family use). Suggested INV-15 policy: MOVE and BUTTON/WHEEL pause; sustained physical activity ~2 s escalates to revoke.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570"/>
        <w:sz w:val="16"/>
        <w:szCs w:val="16"/>
      </w:rPr>
      <w:t xml:space="preserve">Confidential draft — for adversarial review    ·    Page </w:t>
    </w:r>
    <w:r>
      <w:rPr>
        <w:color w:val="5A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DE" w:sz="4"/>
      </w:pBdr>
      <w:jc w:val="right"/>
    </w:pPr>
    <w:r>
      <w:rPr>
        <w:color w:val="5A6570"/>
        <w:sz w:val="16"/>
        <w:szCs w:val="16"/>
      </w:rPr>
      <w:t xml:space="preserve">Portal · B5 Input-Injection Design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FD6C3"/>
      </w:r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60"/>
      </w:pPr>
      <w:rPr>
        <w:b/>
        <w:bCs/>
        <w:color w:val="0B4F4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A1F24"/>
      <w:sz w:val="30"/>
      <w:szCs w:val="30"/>
    </w:rPr>
  </w:style>
  <w:style w:type="paragraph" w:styleId="Heading2">
    <w:name w:val="Heading 2"/>
    <w:basedOn w:val="Normal"/>
    <w:next w:val="Normal"/>
    <w:qFormat/>
    <w:pPr>
      <w:spacing w:after="120" w:before="240"/>
      <w:outlineLvl w:val="1"/>
    </w:pPr>
    <w:rPr>
      <w:b/>
      <w:bCs/>
      <w:color w:val="2A3138"/>
      <w:sz w:val="25"/>
      <w:szCs w:val="25"/>
    </w:rPr>
  </w:style>
  <w:style w:type="paragraph" w:styleId="Heading3">
    <w:name w:val="Heading 3"/>
    <w:basedOn w:val="Normal"/>
    <w:next w:val="Normal"/>
    <w:qFormat/>
    <w:pPr>
      <w:spacing w:after="90" w:before="180"/>
      <w:outlineLvl w:val="2"/>
    </w:pPr>
    <w:rPr>
      <w:b/>
      <w:bCs/>
      <w:color w:val="5A65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Portal B5 — Input-Injection Design Review</dc:title>
  <dc:creator>Leon Priest</dc:creator>
  <dc:description>Threat model and safety contract for remote input injection</dc:description>
  <cp:lastModifiedBy>Un-named</cp:lastModifiedBy>
  <cp:revision>1</cp:revision>
  <dcterms:created xsi:type="dcterms:W3CDTF">2026-08-16T11:06:06.993Z</dcterms:created>
  <dcterms:modified xsi:type="dcterms:W3CDTF">2026-08-16T11:06:07.005Z</dcterms:modified>
</cp:coreProperties>
</file>

<file path=docProps/custom.xml><?xml version="1.0" encoding="utf-8"?>
<Properties xmlns="http://schemas.openxmlformats.org/officeDocument/2006/custom-properties" xmlns:vt="http://schemas.openxmlformats.org/officeDocument/2006/docPropsVTypes"/>
</file>