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sz w:val="56"/>
          <w:szCs w:val="56"/>
        </w:rPr>
      </w:pPr>
      <w:r>
        <w:rPr>
          <w:sz w:val="56"/>
          <w:szCs w:val="56"/>
        </w:rPr>
        <w:t xml:space="preserve">Bitcoin: 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3449320</wp:posOffset>
            </wp:positionH>
            <wp:positionV relativeFrom="paragraph">
              <wp:posOffset>635</wp:posOffset>
            </wp:positionV>
            <wp:extent cx="2587625" cy="1725295"/>
            <wp:effectExtent l="0" t="0" r="0" b="0"/>
            <wp:wrapSquare wrapText="largest"/>
            <wp:docPr id="1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to the moon?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1. Introducción</w:t>
      </w:r>
    </w:p>
    <w:p>
      <w:pPr>
        <w:pStyle w:val="Normal"/>
        <w:rPr/>
      </w:pPr>
      <w:r>
        <w:rPr/>
        <w:t>En los últimos años, Bitcoin ha emergido como un activo financiero de gran interés, no solo por su naturaleza descentralizada, sino también por sus posibles vínculos con mercados tradicionales y alternativos. Este trabajo tiene como objetivo principal analizar las correlaciones entre Bitcoin y otros mercados financieros, así como modelar su comportamiento utilizando redes neuronales avanzadas como LSTM.</w:t>
      </w:r>
    </w:p>
    <w:p>
      <w:pPr>
        <w:pStyle w:val="Heading2"/>
        <w:rPr/>
      </w:pPr>
      <w:r>
        <w:rPr/>
        <w:t>2. Características de Bitcoin</w:t>
      </w:r>
    </w:p>
    <w:p>
      <w:pPr>
        <w:pStyle w:val="Normal"/>
        <w:rPr/>
      </w:pPr>
      <w:r>
        <w:rPr/>
        <w:t>Bitcoin fue creado en 2009 por el seudónimo Satoshi Nakamoto. A diferencia de las monedas tradicionales, no depende de ningún banco central o gobierno. Su escasez es una característica fundamental: solo existirán 21 millones de unidades. Esto lo ha llevado a considerarse una posible reserva de valor. No obstante, existe una contradicción fundamental: mientras se le compara con activos refugio como el oro, su elevada volatilidad lo aleja de ese estatus. Los movimientos de precio de Bitcoin pueden superar el 10% en un solo día, lo cual es inusual en activos tradicionalmente considerados seguros. Esto plantea dudas sobre su fiabilidad como almacén de valor estable a largo plazo, especialmente en contextos de crisis económica.</w:t>
      </w:r>
    </w:p>
    <w:p>
      <w:pPr>
        <w:pStyle w:val="Heading2"/>
        <w:rPr/>
      </w:pPr>
      <w:r>
        <w:rPr/>
        <w:t>3. Relación con otros mercados</w:t>
      </w:r>
    </w:p>
    <w:p>
      <w:pPr>
        <w:pStyle w:val="Normal"/>
        <w:rPr/>
      </w:pPr>
      <w:r>
        <w:rPr/>
        <w:t>Observamos</w:t>
      </w:r>
      <w:r>
        <w:rPr/>
        <w:t xml:space="preserve"> una correlación positiva </w:t>
      </w:r>
      <w:r>
        <w:rPr/>
        <w:t>grande (&gt;90%)</w:t>
      </w:r>
      <w:r>
        <w:rPr/>
        <w:t xml:space="preserve"> entre Bitcoin y mercados bursátiles como el NASDAQ, S&amp;P500 y Dow Jones.</w:t>
      </w:r>
    </w:p>
    <w:p>
      <w:pPr>
        <w:pStyle w:val="Normal"/>
        <w:rPr/>
      </w:pPr>
      <w:r>
        <w:rPr/>
        <w:t>Los futuros de dichos mercados presentan correlaciones muy similares, sugiriendo que existen colinealidades.</w:t>
      </w:r>
    </w:p>
    <w:p>
      <w:pPr>
        <w:pStyle w:val="Normal"/>
        <w:rPr/>
      </w:pPr>
      <w:r>
        <w:rPr/>
        <w:t>A efectos de los modelos LSTM, no se incluirán.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7900" cy="3625850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Además, muestra cierta sensibilidad a commodities como el oro y el petróleo, así como a los bonos del Tesoro. </w:t>
      </w:r>
    </w:p>
    <w:p>
      <w:pPr>
        <w:pStyle w:val="Normal"/>
        <w:rPr/>
      </w:pPr>
      <w:r>
        <w:rPr/>
        <w:t xml:space="preserve">Esta relación sugiere que Bitcoin no opera de forma completamente independiente, sino que responde a la coyuntura económica global. En períodos de alta inflación o incertidumbre geopolítica, puede actuar como activo refugio, pero también ha mostrado comportamientos similares a los activos de riesgo, cayendo junto a las bolsas en tiempos de aversión general al riesgo. Esto lo convierte en un activo híbrido cuya dinámica depende del contexto macroeconómico y de </w:t>
      </w:r>
      <w:r>
        <w:rPr/>
        <w:t>las expectativas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4. Modelización del precio de Bitcoin</w:t>
      </w:r>
    </w:p>
    <w:p>
      <w:pPr>
        <w:pStyle w:val="Normal"/>
        <w:rPr/>
      </w:pPr>
      <w:r>
        <w:rPr/>
        <w:t xml:space="preserve">Para estudiar el comportamiento del precio de Bitcoin, se han probado modelos estadísticos tradicionales como ARIMA y SARIMAX. Sin embargo, su capacidad para capturar la dinámica no lineal y temporal de Bitcoin es limitada. </w:t>
      </w:r>
    </w:p>
    <w:p>
      <w:pPr>
        <w:pStyle w:val="Normal"/>
        <w:rPr/>
      </w:pPr>
      <w:r>
        <w:rPr/>
        <w:t>Por ello, se recurrió a modelos de aprendizaje profundo, en particular redes neuronales LSTM (Long Short-Term Memory). Estas redes están diseñadas para aprender secuencias temporales y recordar información relevante a largo plazo. Funcionan mediante una estructura de 'celdas' que contienen puertas de entrada, olvido y salida, las cuales controlan el flujo de información. Gracias a esta arquitectura, una LSTM puede detectar patrones que se repiten en el tiempo, descartando el ruido y conservando solo las señales útiles. Esto la convierte en una herramienta ideal para predecir la evolución del precio de activos con comportamiento complejo como Bitcoin.</w:t>
      </w:r>
    </w:p>
    <w:p>
      <w:pPr>
        <w:pStyle w:val="Heading2"/>
        <w:rPr/>
      </w:pPr>
      <w:r>
        <w:rPr/>
        <w:t>5. Retos y observaciones</w:t>
      </w:r>
    </w:p>
    <w:p>
      <w:pPr>
        <w:pStyle w:val="Normal"/>
        <w:rPr/>
      </w:pPr>
      <w:r>
        <w:rPr/>
        <w:t>Uno de los principales retos en el uso de LSTM es su correcta configuración. Muchos modelos fallan al predecir múltiples días en el futuro, limitándose a estimaciones paso a paso de un solo día, lo cual distorsiona la utilidad real del modelo. Este fenómeno puede conducir a la degeneración del modelo, en la que pierde capacidad predictiva por un mal diseño del entrenamiento. Es crucial establecer arquitecturas robustas que consideren predicciones multistep desde una ventana de observación fija.</w:t>
      </w:r>
    </w:p>
    <w:p>
      <w:pPr>
        <w:pStyle w:val="Heading2"/>
        <w:rPr/>
      </w:pPr>
      <w:r>
        <w:rPr/>
        <w:t>6. Aplicación con sentimiento del mercado</w:t>
      </w:r>
    </w:p>
    <w:p>
      <w:pPr>
        <w:pStyle w:val="Normal"/>
        <w:rPr/>
      </w:pPr>
      <w:r>
        <w:rPr/>
        <w:t xml:space="preserve">La inclusión de variables de sentimiento ha demostrado ser valiosa. Al incorporar opiniones y emociones colectivas extraídas de redes como Twitter o Bitcointalk </w:t>
      </w:r>
      <w:r>
        <w:rPr/>
        <w:t>(</w:t>
      </w:r>
      <w:hyperlink r:id="rId4">
        <w:r>
          <w:rPr>
            <w:rStyle w:val="Hyperlink"/>
          </w:rPr>
          <w:t>datos</w:t>
        </w:r>
      </w:hyperlink>
      <w:r>
        <w:rPr/>
        <w:t>)</w:t>
      </w:r>
      <w:r>
        <w:rPr/>
        <w:t>, los modelos pueden capturar señales adelantadas de movimientos de mercado. Esta fusión de datos cuantitativos y cualitativos mejora la capacidad de los modelos para adaptarse a cambios abruptos en la narrativa del mercado.</w:t>
      </w:r>
    </w:p>
    <w:p>
      <w:pPr>
        <w:pStyle w:val="Normal"/>
        <w:rPr/>
      </w:pPr>
      <w:r>
        <w:rPr/>
        <w:t>En términos técnicos, el error medido por el MAE mejoró de manera considerable respecto a un modelo multivariable con valores bursátiles y de commodities como features.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9945" cy="250952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obstante, el modelo tiene serios problemas para predecir hacer predicciones out-of-sample , es decir, predicciones hacia el futuro. Por un lado, dado que el modelo se apoya en las features las predicciones pueden ser realistas y razonables, pero difícilmente precisas.</w:t>
      </w:r>
    </w:p>
    <w:p>
      <w:pPr>
        <w:pStyle w:val="Normal"/>
        <w:rPr/>
      </w:pPr>
      <w:r>
        <w:rPr/>
        <w:t>Por otro, se requeriría más estudio en la hiperparametrización y arquitectura de las neuronas.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ourier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start"/>
    </w:pPr>
    <w:rPr>
      <w:rFonts w:ascii="Arial" w:hAnsi="Arial" w:eastAsia="ＭＳ 明朝" w:cs="" w:cstheme="minorBidi" w:eastAsiaTheme="minorEastAsia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star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augmento.ai/bitcoin-sentiment/" TargetMode="External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Application>LibreOffice/24.2.7.2$Windows_X86_64 LibreOffice_project/ee3885777aa7032db5a9b65deec9457448a91162</Application>
  <AppVersion>15.0000</AppVersion>
  <Pages>4</Pages>
  <Words>680</Words>
  <Characters>3846</Characters>
  <CharactersWithSpaces>4508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2025-05-20T15:48:54Z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