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B25F2" w14:textId="120A379C" w:rsidR="004351EB" w:rsidRPr="006B2474" w:rsidRDefault="004351EB" w:rsidP="004351EB">
      <w:pPr>
        <w:spacing w:before="240" w:after="240" w:line="240" w:lineRule="auto"/>
        <w:rPr>
          <w:rFonts w:ascii="Segoe UI" w:eastAsia="Times New Roman" w:hAnsi="Segoe UI" w:cs="Segoe UI"/>
          <w:kern w:val="0"/>
          <w:lang w:eastAsia="en-GB"/>
          <w14:ligatures w14:val="none"/>
        </w:rPr>
      </w:pPr>
      <w:r w:rsidRPr="006B2474">
        <w:rPr>
          <w:rFonts w:ascii="Segoe UI" w:eastAsia="Times New Roman" w:hAnsi="Segoe UI" w:cs="Segoe UI"/>
          <w:color w:val="000000"/>
          <w:kern w:val="0"/>
          <w:sz w:val="20"/>
          <w:szCs w:val="20"/>
          <w:lang w:eastAsia="en-GB"/>
          <w14:ligatures w14:val="none"/>
        </w:rPr>
        <w:t>Volatility forecasting is an important component of asset risk management and derivatives pricing in today’s financial markets. It serves as a useful gauge for assessing how much risk an investor is willing to tolerate and how assets can be combined to diversify a portfolio and maximize returns. [1]</w:t>
      </w:r>
    </w:p>
    <w:p w14:paraId="680BA00F" w14:textId="77777777" w:rsidR="004351EB" w:rsidRPr="006B2474" w:rsidRDefault="004351EB" w:rsidP="004351EB">
      <w:pPr>
        <w:spacing w:before="240" w:after="240" w:line="240" w:lineRule="auto"/>
        <w:rPr>
          <w:rFonts w:ascii="Segoe UI" w:eastAsia="Times New Roman" w:hAnsi="Segoe UI" w:cs="Segoe UI"/>
          <w:kern w:val="0"/>
          <w:lang w:eastAsia="en-GB"/>
          <w14:ligatures w14:val="none"/>
        </w:rPr>
      </w:pPr>
      <w:r w:rsidRPr="006B2474">
        <w:rPr>
          <w:rFonts w:ascii="Segoe UI" w:eastAsia="Times New Roman" w:hAnsi="Segoe UI" w:cs="Segoe UI"/>
          <w:color w:val="000000"/>
          <w:kern w:val="0"/>
          <w:sz w:val="20"/>
          <w:szCs w:val="20"/>
          <w:lang w:eastAsia="en-GB"/>
          <w14:ligatures w14:val="none"/>
        </w:rPr>
        <w:t>The decision problem this paper addresses is the accurate classification of future volatility in the United States oil markets, specifically, predicting whether the realized volatility of the West Texas Intermediate (WTI) index will increase or decrease in the near term. This issue is critical to investors, asset managers, and other stakeholders involved in financial market pricing. Since volatility influences portfolio risk tolerance and option pricing models, asset managers can use such models to readjust their exposure in order to navigate turbulent market conditions or capitalize on arbitrage opportunities.</w:t>
      </w:r>
    </w:p>
    <w:p w14:paraId="210855EA" w14:textId="0E538A87" w:rsidR="004351EB" w:rsidRPr="006B2474" w:rsidRDefault="004351EB" w:rsidP="004351EB">
      <w:pPr>
        <w:spacing w:before="240" w:after="240" w:line="240" w:lineRule="auto"/>
        <w:rPr>
          <w:rFonts w:ascii="Segoe UI" w:eastAsia="Times New Roman" w:hAnsi="Segoe UI" w:cs="Segoe UI"/>
          <w:kern w:val="0"/>
          <w:lang w:eastAsia="en-GB"/>
          <w14:ligatures w14:val="none"/>
        </w:rPr>
      </w:pPr>
      <w:r w:rsidRPr="006B2474">
        <w:rPr>
          <w:rFonts w:ascii="Segoe UI" w:eastAsia="Times New Roman" w:hAnsi="Segoe UI" w:cs="Segoe UI"/>
          <w:color w:val="000000"/>
          <w:kern w:val="0"/>
          <w:sz w:val="20"/>
          <w:szCs w:val="20"/>
          <w:lang w:eastAsia="en-GB"/>
          <w14:ligatures w14:val="none"/>
        </w:rPr>
        <w:t>The dataset used in this study consists of historical data for the West Texas Intermediate</w:t>
      </w:r>
      <w:r w:rsidR="00227AC9" w:rsidRPr="006B2474">
        <w:rPr>
          <w:rFonts w:ascii="Segoe UI" w:eastAsia="Times New Roman" w:hAnsi="Segoe UI" w:cs="Segoe UI"/>
          <w:color w:val="000000"/>
          <w:kern w:val="0"/>
          <w:sz w:val="20"/>
          <w:szCs w:val="20"/>
          <w:lang w:eastAsia="en-GB"/>
          <w14:ligatures w14:val="none"/>
        </w:rPr>
        <w:t xml:space="preserve"> futures contract</w:t>
      </w:r>
      <w:r w:rsidRPr="006B2474">
        <w:rPr>
          <w:rFonts w:ascii="Segoe UI" w:eastAsia="Times New Roman" w:hAnsi="Segoe UI" w:cs="Segoe UI"/>
          <w:color w:val="000000"/>
          <w:kern w:val="0"/>
          <w:sz w:val="20"/>
          <w:szCs w:val="20"/>
          <w:lang w:eastAsia="en-GB"/>
          <w14:ligatures w14:val="none"/>
        </w:rPr>
        <w:t xml:space="preserve"> (ticker symbol: CL=F), covering the 2024 calendar year and sourced directly from the Yahoo Finance API. The dataset includes daily open, high, low, close, and volume (OHLCV) values. From these inputs, we compute features such as log returns, the mean and standard deviation of returns, price range volatility estimators, and volume dynamics. </w:t>
      </w:r>
      <w:r w:rsidR="00227AC9" w:rsidRPr="006B2474">
        <w:rPr>
          <w:rFonts w:ascii="Segoe UI" w:eastAsia="Times New Roman" w:hAnsi="Segoe UI" w:cs="Segoe UI"/>
          <w:color w:val="000000"/>
          <w:kern w:val="0"/>
          <w:sz w:val="20"/>
          <w:szCs w:val="20"/>
          <w:lang w:eastAsia="en-GB"/>
          <w14:ligatures w14:val="none"/>
        </w:rPr>
        <w:t xml:space="preserve">One of </w:t>
      </w:r>
      <w:r w:rsidR="00FD6AE6">
        <w:rPr>
          <w:rFonts w:ascii="Segoe UI" w:eastAsia="Times New Roman" w:hAnsi="Segoe UI" w:cs="Segoe UI"/>
          <w:color w:val="000000"/>
          <w:kern w:val="0"/>
          <w:sz w:val="20"/>
          <w:szCs w:val="20"/>
          <w:lang w:eastAsia="en-GB"/>
          <w14:ligatures w14:val="none"/>
        </w:rPr>
        <w:t>feature</w:t>
      </w:r>
      <w:r w:rsidRPr="006B2474">
        <w:rPr>
          <w:rFonts w:ascii="Segoe UI" w:eastAsia="Times New Roman" w:hAnsi="Segoe UI" w:cs="Segoe UI"/>
          <w:color w:val="000000"/>
          <w:kern w:val="0"/>
          <w:sz w:val="20"/>
          <w:szCs w:val="20"/>
          <w:lang w:eastAsia="en-GB"/>
          <w14:ligatures w14:val="none"/>
        </w:rPr>
        <w:t xml:space="preserve"> variable, log returns, is constructed by calculating realized volatility over a defined window and </w:t>
      </w:r>
      <w:r w:rsidR="00227AC9" w:rsidRPr="006B2474">
        <w:rPr>
          <w:rFonts w:ascii="Segoe UI" w:eastAsia="Times New Roman" w:hAnsi="Segoe UI" w:cs="Segoe UI"/>
          <w:color w:val="000000"/>
          <w:kern w:val="0"/>
          <w:sz w:val="20"/>
          <w:szCs w:val="20"/>
          <w:lang w:eastAsia="en-GB"/>
          <w14:ligatures w14:val="none"/>
        </w:rPr>
        <w:t>labelling</w:t>
      </w:r>
      <w:r w:rsidRPr="006B2474">
        <w:rPr>
          <w:rFonts w:ascii="Segoe UI" w:eastAsia="Times New Roman" w:hAnsi="Segoe UI" w:cs="Segoe UI"/>
          <w:color w:val="000000"/>
          <w:kern w:val="0"/>
          <w:sz w:val="20"/>
          <w:szCs w:val="20"/>
          <w:lang w:eastAsia="en-GB"/>
          <w14:ligatures w14:val="none"/>
        </w:rPr>
        <w:t xml:space="preserve"> each observation based on whether volatility increased or decreased in subsequent periods.</w:t>
      </w:r>
    </w:p>
    <w:p w14:paraId="57D4AC27" w14:textId="00510481" w:rsidR="004351EB" w:rsidRPr="006B2474" w:rsidRDefault="004351EB" w:rsidP="004351EB">
      <w:pPr>
        <w:spacing w:before="240" w:after="240" w:line="240" w:lineRule="auto"/>
        <w:rPr>
          <w:rFonts w:ascii="Segoe UI" w:eastAsia="Times New Roman" w:hAnsi="Segoe UI" w:cs="Segoe UI"/>
          <w:kern w:val="0"/>
          <w:lang w:eastAsia="en-GB"/>
          <w14:ligatures w14:val="none"/>
        </w:rPr>
      </w:pPr>
      <w:r w:rsidRPr="006B2474">
        <w:rPr>
          <w:rFonts w:ascii="Segoe UI" w:eastAsia="Times New Roman" w:hAnsi="Segoe UI" w:cs="Segoe UI"/>
          <w:color w:val="000000"/>
          <w:kern w:val="0"/>
          <w:sz w:val="20"/>
          <w:szCs w:val="20"/>
          <w:lang w:eastAsia="en-GB"/>
          <w14:ligatures w14:val="none"/>
        </w:rPr>
        <w:t xml:space="preserve">A significant body of literature and industry leaders continue to explore and refine models for forecasting volatility in economic markets. One such model is GARCH (Generalized Autoregressive Conditional Heteroskedasticity), which estimates volatility by capturing clustering </w:t>
      </w:r>
      <w:r w:rsidRPr="006B2474">
        <w:rPr>
          <w:rFonts w:ascii="Segoe UI" w:eastAsia="Times New Roman" w:hAnsi="Segoe UI" w:cs="Segoe UI"/>
          <w:color w:val="000000"/>
          <w:kern w:val="0"/>
          <w:sz w:val="20"/>
          <w:szCs w:val="20"/>
          <w:lang w:val="en-US" w:eastAsia="en-GB"/>
          <w14:ligatures w14:val="none"/>
        </w:rPr>
        <w:t>behavior</w:t>
      </w:r>
      <w:r w:rsidRPr="006B2474">
        <w:rPr>
          <w:rFonts w:ascii="Segoe UI" w:eastAsia="Times New Roman" w:hAnsi="Segoe UI" w:cs="Segoe UI"/>
          <w:color w:val="000000"/>
          <w:kern w:val="0"/>
          <w:sz w:val="20"/>
          <w:szCs w:val="20"/>
          <w:lang w:eastAsia="en-GB"/>
          <w14:ligatures w14:val="none"/>
        </w:rPr>
        <w:t xml:space="preserve"> and the persistence of volatility following certain market events. GARCH produces a time series of variance forecasts that can be updated using only the prior prediction and residual data. Although powerful, GARCH assumes linearity and places greater weight on recent data, which increases the risk of overfitting</w:t>
      </w:r>
      <w:r w:rsidR="00FD6AE6">
        <w:rPr>
          <w:rFonts w:ascii="Segoe UI" w:eastAsia="Times New Roman" w:hAnsi="Segoe UI" w:cs="Segoe UI"/>
          <w:color w:val="000000"/>
          <w:kern w:val="0"/>
          <w:sz w:val="20"/>
          <w:szCs w:val="20"/>
          <w:lang w:eastAsia="en-GB"/>
          <w14:ligatures w14:val="none"/>
        </w:rPr>
        <w:t xml:space="preserve">, </w:t>
      </w:r>
      <w:r w:rsidRPr="006B2474">
        <w:rPr>
          <w:rFonts w:ascii="Segoe UI" w:eastAsia="Times New Roman" w:hAnsi="Segoe UI" w:cs="Segoe UI"/>
          <w:color w:val="000000"/>
          <w:kern w:val="0"/>
          <w:sz w:val="20"/>
          <w:szCs w:val="20"/>
          <w:lang w:eastAsia="en-GB"/>
          <w14:ligatures w14:val="none"/>
        </w:rPr>
        <w:t>especially in environments where nonlinear factors influence volatility</w:t>
      </w:r>
      <w:r w:rsidR="00FD6AE6">
        <w:rPr>
          <w:rFonts w:ascii="Segoe UI" w:eastAsia="Times New Roman" w:hAnsi="Segoe UI" w:cs="Segoe UI"/>
          <w:color w:val="000000"/>
          <w:kern w:val="0"/>
          <w:sz w:val="20"/>
          <w:szCs w:val="20"/>
          <w:lang w:eastAsia="en-GB"/>
          <w14:ligatures w14:val="none"/>
        </w:rPr>
        <w:t xml:space="preserve"> </w:t>
      </w:r>
      <w:r w:rsidR="00FD6AE6" w:rsidRPr="006B2474">
        <w:rPr>
          <w:rFonts w:ascii="Segoe UI" w:eastAsia="Times New Roman" w:hAnsi="Segoe UI" w:cs="Segoe UI"/>
          <w:color w:val="000000"/>
          <w:kern w:val="0"/>
          <w:sz w:val="20"/>
          <w:szCs w:val="20"/>
          <w:lang w:eastAsia="en-GB"/>
          <w14:ligatures w14:val="none"/>
        </w:rPr>
        <w:t>[1]</w:t>
      </w:r>
      <w:r w:rsidRPr="006B2474">
        <w:rPr>
          <w:rFonts w:ascii="Segoe UI" w:eastAsia="Times New Roman" w:hAnsi="Segoe UI" w:cs="Segoe UI"/>
          <w:color w:val="000000"/>
          <w:kern w:val="0"/>
          <w:sz w:val="20"/>
          <w:szCs w:val="20"/>
          <w:lang w:eastAsia="en-GB"/>
          <w14:ligatures w14:val="none"/>
        </w:rPr>
        <w:t>. Its sensitivity to outliers also makes it less ideal for the experimental purposes of this study.</w:t>
      </w:r>
    </w:p>
    <w:p w14:paraId="145B122A" w14:textId="77777777" w:rsidR="00227AC9" w:rsidRPr="006B2474" w:rsidRDefault="004351EB" w:rsidP="004351EB">
      <w:pPr>
        <w:spacing w:before="240" w:after="240" w:line="240" w:lineRule="auto"/>
        <w:rPr>
          <w:rFonts w:ascii="Segoe UI" w:eastAsia="Times New Roman" w:hAnsi="Segoe UI" w:cs="Segoe UI"/>
          <w:color w:val="000000"/>
          <w:kern w:val="0"/>
          <w:sz w:val="20"/>
          <w:szCs w:val="20"/>
          <w:lang w:eastAsia="en-GB"/>
          <w14:ligatures w14:val="none"/>
        </w:rPr>
      </w:pPr>
      <w:r w:rsidRPr="006B2474">
        <w:rPr>
          <w:rFonts w:ascii="Segoe UI" w:eastAsia="Times New Roman" w:hAnsi="Segoe UI" w:cs="Segoe UI"/>
          <w:color w:val="000000"/>
          <w:kern w:val="0"/>
          <w:sz w:val="20"/>
          <w:szCs w:val="20"/>
          <w:lang w:eastAsia="en-GB"/>
          <w14:ligatures w14:val="none"/>
        </w:rPr>
        <w:t xml:space="preserve">Other </w:t>
      </w:r>
      <w:r w:rsidR="00227AC9" w:rsidRPr="006B2474">
        <w:rPr>
          <w:rFonts w:ascii="Segoe UI" w:eastAsia="Times New Roman" w:hAnsi="Segoe UI" w:cs="Segoe UI"/>
          <w:color w:val="000000"/>
          <w:kern w:val="0"/>
          <w:sz w:val="20"/>
          <w:szCs w:val="20"/>
          <w:lang w:eastAsia="en-GB"/>
          <w14:ligatures w14:val="none"/>
        </w:rPr>
        <w:t xml:space="preserve">notable </w:t>
      </w:r>
      <w:r w:rsidRPr="006B2474">
        <w:rPr>
          <w:rFonts w:ascii="Segoe UI" w:eastAsia="Times New Roman" w:hAnsi="Segoe UI" w:cs="Segoe UI"/>
          <w:color w:val="000000"/>
          <w:kern w:val="0"/>
          <w:sz w:val="20"/>
          <w:szCs w:val="20"/>
          <w:lang w:eastAsia="en-GB"/>
          <w14:ligatures w14:val="none"/>
        </w:rPr>
        <w:t xml:space="preserve">methods for estimating volatility are Parkinsons, Garman-Klass, Rogers-Satchell, and Yang-Zhang. </w:t>
      </w:r>
    </w:p>
    <w:p w14:paraId="14DD2C36" w14:textId="705DB8C7" w:rsidR="004351EB" w:rsidRPr="006B2474" w:rsidRDefault="004351EB" w:rsidP="004351EB">
      <w:pPr>
        <w:spacing w:before="240" w:after="240" w:line="240" w:lineRule="auto"/>
        <w:rPr>
          <w:rFonts w:ascii="Segoe UI" w:eastAsia="Times New Roman" w:hAnsi="Segoe UI" w:cs="Segoe UI"/>
          <w:kern w:val="0"/>
          <w:lang w:eastAsia="en-GB"/>
          <w14:ligatures w14:val="none"/>
        </w:rPr>
      </w:pPr>
      <w:r w:rsidRPr="006B2474">
        <w:rPr>
          <w:rFonts w:ascii="Segoe UI" w:eastAsia="Times New Roman" w:hAnsi="Segoe UI" w:cs="Segoe UI"/>
          <w:color w:val="000000"/>
          <w:kern w:val="0"/>
          <w:sz w:val="20"/>
          <w:szCs w:val="20"/>
          <w:lang w:eastAsia="en-GB"/>
          <w14:ligatures w14:val="none"/>
        </w:rPr>
        <w:t xml:space="preserve">Parkinsons uses the difference between the day’s high and low prices to estimate volatility. A key limitation in it is the assumption of continuous </w:t>
      </w:r>
      <w:r w:rsidR="00227AC9" w:rsidRPr="006B2474">
        <w:rPr>
          <w:rFonts w:ascii="Segoe UI" w:eastAsia="Times New Roman" w:hAnsi="Segoe UI" w:cs="Segoe UI"/>
          <w:color w:val="000000"/>
          <w:kern w:val="0"/>
          <w:sz w:val="20"/>
          <w:szCs w:val="20"/>
          <w:lang w:eastAsia="en-GB"/>
          <w14:ligatures w14:val="none"/>
        </w:rPr>
        <w:t>trading and</w:t>
      </w:r>
      <w:r w:rsidRPr="006B2474">
        <w:rPr>
          <w:rFonts w:ascii="Segoe UI" w:eastAsia="Times New Roman" w:hAnsi="Segoe UI" w:cs="Segoe UI"/>
          <w:color w:val="000000"/>
          <w:kern w:val="0"/>
          <w:sz w:val="20"/>
          <w:szCs w:val="20"/>
          <w:lang w:eastAsia="en-GB"/>
          <w14:ligatures w14:val="none"/>
        </w:rPr>
        <w:t xml:space="preserve"> </w:t>
      </w:r>
      <w:r w:rsidR="00FD6AE6">
        <w:rPr>
          <w:rFonts w:ascii="Segoe UI" w:eastAsia="Times New Roman" w:hAnsi="Segoe UI" w:cs="Segoe UI"/>
          <w:color w:val="000000"/>
          <w:kern w:val="0"/>
          <w:sz w:val="20"/>
          <w:szCs w:val="20"/>
          <w:lang w:eastAsia="en-GB"/>
          <w14:ligatures w14:val="none"/>
        </w:rPr>
        <w:t xml:space="preserve">it </w:t>
      </w:r>
      <w:r w:rsidRPr="006B2474">
        <w:rPr>
          <w:rFonts w:ascii="Segoe UI" w:eastAsia="Times New Roman" w:hAnsi="Segoe UI" w:cs="Segoe UI"/>
          <w:color w:val="000000"/>
          <w:kern w:val="0"/>
          <w:sz w:val="20"/>
          <w:szCs w:val="20"/>
          <w:lang w:eastAsia="en-GB"/>
          <w14:ligatures w14:val="none"/>
        </w:rPr>
        <w:t xml:space="preserve">doesn't </w:t>
      </w:r>
      <w:r w:rsidR="00227AC9" w:rsidRPr="006B2474">
        <w:rPr>
          <w:rFonts w:ascii="Segoe UI" w:eastAsia="Times New Roman" w:hAnsi="Segoe UI" w:cs="Segoe UI"/>
          <w:color w:val="000000"/>
          <w:kern w:val="0"/>
          <w:sz w:val="20"/>
          <w:szCs w:val="20"/>
          <w:lang w:eastAsia="en-GB"/>
          <w14:ligatures w14:val="none"/>
        </w:rPr>
        <w:t>consider</w:t>
      </w:r>
      <w:r w:rsidRPr="006B2474">
        <w:rPr>
          <w:rFonts w:ascii="Segoe UI" w:eastAsia="Times New Roman" w:hAnsi="Segoe UI" w:cs="Segoe UI"/>
          <w:color w:val="000000"/>
          <w:kern w:val="0"/>
          <w:sz w:val="20"/>
          <w:szCs w:val="20"/>
          <w:lang w:eastAsia="en-GB"/>
          <w14:ligatures w14:val="none"/>
        </w:rPr>
        <w:t xml:space="preserve"> information from the overnight gap in price changes, which can lead to an underestimation of actual volatility</w:t>
      </w:r>
      <w:r w:rsidR="00FD6AE6">
        <w:rPr>
          <w:rFonts w:ascii="Segoe UI" w:eastAsia="Times New Roman" w:hAnsi="Segoe UI" w:cs="Segoe UI"/>
          <w:color w:val="000000"/>
          <w:kern w:val="0"/>
          <w:sz w:val="20"/>
          <w:szCs w:val="20"/>
          <w:lang w:eastAsia="en-GB"/>
          <w14:ligatures w14:val="none"/>
        </w:rPr>
        <w:t xml:space="preserve"> </w:t>
      </w:r>
      <w:r w:rsidR="00FD6AE6" w:rsidRPr="006B2474">
        <w:rPr>
          <w:rFonts w:ascii="Segoe UI" w:eastAsia="Times New Roman" w:hAnsi="Segoe UI" w:cs="Segoe UI"/>
          <w:color w:val="000000"/>
          <w:kern w:val="0"/>
          <w:sz w:val="20"/>
          <w:szCs w:val="20"/>
          <w:lang w:eastAsia="en-GB"/>
          <w14:ligatures w14:val="none"/>
        </w:rPr>
        <w:t>[1]</w:t>
      </w:r>
      <w:r w:rsidRPr="006B2474">
        <w:rPr>
          <w:rFonts w:ascii="Segoe UI" w:eastAsia="Times New Roman" w:hAnsi="Segoe UI" w:cs="Segoe UI"/>
          <w:color w:val="000000"/>
          <w:kern w:val="0"/>
          <w:sz w:val="20"/>
          <w:szCs w:val="20"/>
          <w:lang w:eastAsia="en-GB"/>
          <w14:ligatures w14:val="none"/>
        </w:rPr>
        <w:t>.</w:t>
      </w:r>
    </w:p>
    <w:p w14:paraId="03F5D782" w14:textId="19BCC7C8" w:rsidR="004351EB" w:rsidRPr="006B2474" w:rsidRDefault="004351EB" w:rsidP="004351EB">
      <w:pPr>
        <w:spacing w:before="240" w:after="240" w:line="240" w:lineRule="auto"/>
        <w:rPr>
          <w:rFonts w:ascii="Segoe UI" w:eastAsia="Times New Roman" w:hAnsi="Segoe UI" w:cs="Segoe UI"/>
          <w:color w:val="FF0000"/>
          <w:kern w:val="0"/>
          <w:lang w:eastAsia="en-GB"/>
          <w14:ligatures w14:val="none"/>
        </w:rPr>
      </w:pPr>
      <w:r w:rsidRPr="006B2474">
        <w:rPr>
          <w:rFonts w:ascii="Segoe UI" w:eastAsia="Times New Roman" w:hAnsi="Segoe UI" w:cs="Segoe UI"/>
          <w:color w:val="FF0000"/>
          <w:kern w:val="0"/>
          <w:sz w:val="20"/>
          <w:szCs w:val="20"/>
          <w:lang w:eastAsia="en-GB"/>
          <w14:ligatures w14:val="none"/>
        </w:rPr>
        <w:t>[</w:t>
      </w:r>
      <w:r w:rsidR="009E1E71">
        <w:rPr>
          <w:rFonts w:ascii="Arial" w:eastAsia="Times New Roman" w:hAnsi="Arial" w:cs="Arial"/>
          <w:color w:val="000000"/>
          <w:kern w:val="0"/>
          <w:sz w:val="20"/>
          <w:szCs w:val="20"/>
          <w:lang w:val="en-US" w:eastAsia="en-GB"/>
          <w14:ligatures w14:val="none"/>
        </w:rPr>
        <w:t xml:space="preserve">Figure </w:t>
      </w:r>
      <w:r w:rsidR="00E530D5">
        <w:rPr>
          <w:rFonts w:ascii="Arial" w:eastAsia="Times New Roman" w:hAnsi="Arial" w:cs="Arial"/>
          <w:color w:val="000000"/>
          <w:kern w:val="0"/>
          <w:sz w:val="20"/>
          <w:szCs w:val="20"/>
          <w:lang w:val="en-US" w:eastAsia="en-GB"/>
          <w14:ligatures w14:val="none"/>
        </w:rPr>
        <w:t>1</w:t>
      </w:r>
      <w:r w:rsidR="009E1E71">
        <w:rPr>
          <w:rFonts w:ascii="Arial" w:eastAsia="Times New Roman" w:hAnsi="Arial" w:cs="Arial"/>
          <w:color w:val="000000"/>
          <w:kern w:val="0"/>
          <w:sz w:val="20"/>
          <w:szCs w:val="20"/>
          <w:lang w:val="en-US" w:eastAsia="en-GB"/>
          <w14:ligatures w14:val="none"/>
        </w:rPr>
        <w:t xml:space="preserve">. </w:t>
      </w:r>
      <w:r w:rsidRPr="006B2474">
        <w:rPr>
          <w:rFonts w:ascii="Segoe UI" w:eastAsia="Times New Roman" w:hAnsi="Segoe UI" w:cs="Segoe UI"/>
          <w:color w:val="FF0000"/>
          <w:kern w:val="0"/>
          <w:sz w:val="20"/>
          <w:szCs w:val="20"/>
          <w:lang w:eastAsia="en-GB"/>
          <w14:ligatures w14:val="none"/>
        </w:rPr>
        <w:t xml:space="preserve"> Parkinsons formula]</w:t>
      </w:r>
    </w:p>
    <w:p w14:paraId="09593912" w14:textId="04B279A2" w:rsidR="004351EB" w:rsidRPr="006B2474" w:rsidRDefault="004351EB" w:rsidP="004351EB">
      <w:pPr>
        <w:spacing w:before="240" w:after="240" w:line="240" w:lineRule="auto"/>
        <w:rPr>
          <w:rFonts w:ascii="Segoe UI" w:eastAsia="Times New Roman" w:hAnsi="Segoe UI" w:cs="Segoe UI"/>
          <w:kern w:val="0"/>
          <w:lang w:eastAsia="en-GB"/>
          <w14:ligatures w14:val="none"/>
        </w:rPr>
      </w:pPr>
      <w:r w:rsidRPr="006B2474">
        <w:rPr>
          <w:rFonts w:ascii="Segoe UI" w:eastAsia="Times New Roman" w:hAnsi="Segoe UI" w:cs="Segoe UI"/>
          <w:color w:val="000000"/>
          <w:kern w:val="0"/>
          <w:sz w:val="20"/>
          <w:szCs w:val="20"/>
          <w:lang w:eastAsia="en-GB"/>
          <w14:ligatures w14:val="none"/>
        </w:rPr>
        <w:t xml:space="preserve">The Garman-Klass estimator is a slight variation from the Parkinsons </w:t>
      </w:r>
      <w:r w:rsidR="00227AC9" w:rsidRPr="006B2474">
        <w:rPr>
          <w:rFonts w:ascii="Segoe UI" w:eastAsia="Times New Roman" w:hAnsi="Segoe UI" w:cs="Segoe UI"/>
          <w:color w:val="000000"/>
          <w:kern w:val="0"/>
          <w:sz w:val="20"/>
          <w:szCs w:val="20"/>
          <w:lang w:eastAsia="en-GB"/>
          <w14:ligatures w14:val="none"/>
        </w:rPr>
        <w:t>estimators. If</w:t>
      </w:r>
      <w:r w:rsidRPr="006B2474">
        <w:rPr>
          <w:rFonts w:ascii="Segoe UI" w:eastAsia="Times New Roman" w:hAnsi="Segoe UI" w:cs="Segoe UI"/>
          <w:color w:val="000000"/>
          <w:kern w:val="0"/>
          <w:sz w:val="20"/>
          <w:szCs w:val="20"/>
          <w:lang w:eastAsia="en-GB"/>
          <w14:ligatures w14:val="none"/>
        </w:rPr>
        <w:t xml:space="preserve"> the opening price is unavailable, the model uses the prior day's closing price in place of it. Just like Parkinsons, it normally ignores overnight returns and underestimates volatility</w:t>
      </w:r>
      <w:r w:rsidR="00FD6AE6">
        <w:rPr>
          <w:rFonts w:ascii="Segoe UI" w:eastAsia="Times New Roman" w:hAnsi="Segoe UI" w:cs="Segoe UI"/>
          <w:color w:val="000000"/>
          <w:kern w:val="0"/>
          <w:sz w:val="20"/>
          <w:szCs w:val="20"/>
          <w:lang w:eastAsia="en-GB"/>
          <w14:ligatures w14:val="none"/>
        </w:rPr>
        <w:t xml:space="preserve"> </w:t>
      </w:r>
      <w:r w:rsidR="00FD6AE6" w:rsidRPr="006B2474">
        <w:rPr>
          <w:rFonts w:ascii="Segoe UI" w:eastAsia="Times New Roman" w:hAnsi="Segoe UI" w:cs="Segoe UI"/>
          <w:color w:val="000000"/>
          <w:kern w:val="0"/>
          <w:sz w:val="20"/>
          <w:szCs w:val="20"/>
          <w:lang w:eastAsia="en-GB"/>
          <w14:ligatures w14:val="none"/>
        </w:rPr>
        <w:t>[1]</w:t>
      </w:r>
      <w:r w:rsidRPr="006B2474">
        <w:rPr>
          <w:rFonts w:ascii="Segoe UI" w:eastAsia="Times New Roman" w:hAnsi="Segoe UI" w:cs="Segoe UI"/>
          <w:color w:val="000000"/>
          <w:kern w:val="0"/>
          <w:sz w:val="20"/>
          <w:szCs w:val="20"/>
          <w:lang w:eastAsia="en-GB"/>
          <w14:ligatures w14:val="none"/>
        </w:rPr>
        <w:t>.</w:t>
      </w:r>
    </w:p>
    <w:p w14:paraId="3EEF2CC6" w14:textId="5F31A302" w:rsidR="004351EB" w:rsidRPr="006B2474" w:rsidRDefault="009E1E71" w:rsidP="004351EB">
      <w:pPr>
        <w:spacing w:before="240" w:after="240" w:line="240" w:lineRule="auto"/>
        <w:rPr>
          <w:rFonts w:ascii="Segoe UI" w:eastAsia="Times New Roman" w:hAnsi="Segoe UI" w:cs="Segoe UI"/>
          <w:color w:val="FF0000"/>
          <w:kern w:val="0"/>
          <w:lang w:eastAsia="en-GB"/>
          <w14:ligatures w14:val="none"/>
        </w:rPr>
      </w:pPr>
      <w:r>
        <w:rPr>
          <w:rFonts w:ascii="Segoe UI" w:eastAsia="Times New Roman" w:hAnsi="Segoe UI" w:cs="Segoe UI"/>
          <w:color w:val="FF0000"/>
          <w:kern w:val="0"/>
          <w:sz w:val="20"/>
          <w:szCs w:val="20"/>
          <w:lang w:eastAsia="en-GB"/>
          <w14:ligatures w14:val="none"/>
        </w:rPr>
        <w:t>[</w:t>
      </w:r>
      <w:r>
        <w:rPr>
          <w:rFonts w:ascii="Arial" w:eastAsia="Times New Roman" w:hAnsi="Arial" w:cs="Arial"/>
          <w:color w:val="000000"/>
          <w:kern w:val="0"/>
          <w:sz w:val="20"/>
          <w:szCs w:val="20"/>
          <w:lang w:val="en-US" w:eastAsia="en-GB"/>
          <w14:ligatures w14:val="none"/>
        </w:rPr>
        <w:t xml:space="preserve">Figure </w:t>
      </w:r>
      <w:r w:rsidR="00E530D5">
        <w:rPr>
          <w:rFonts w:ascii="Arial" w:eastAsia="Times New Roman" w:hAnsi="Arial" w:cs="Arial"/>
          <w:color w:val="000000"/>
          <w:kern w:val="0"/>
          <w:sz w:val="20"/>
          <w:szCs w:val="20"/>
          <w:lang w:val="en-US" w:eastAsia="en-GB"/>
          <w14:ligatures w14:val="none"/>
        </w:rPr>
        <w:t>2</w:t>
      </w:r>
      <w:r>
        <w:rPr>
          <w:rFonts w:ascii="Arial" w:eastAsia="Times New Roman" w:hAnsi="Arial" w:cs="Arial"/>
          <w:color w:val="000000"/>
          <w:kern w:val="0"/>
          <w:sz w:val="20"/>
          <w:szCs w:val="20"/>
          <w:lang w:val="en-US" w:eastAsia="en-GB"/>
          <w14:ligatures w14:val="none"/>
        </w:rPr>
        <w:t xml:space="preserve">. </w:t>
      </w:r>
      <w:r w:rsidR="004351EB" w:rsidRPr="006B2474">
        <w:rPr>
          <w:rFonts w:ascii="Segoe UI" w:eastAsia="Times New Roman" w:hAnsi="Segoe UI" w:cs="Segoe UI"/>
          <w:color w:val="FF0000"/>
          <w:kern w:val="0"/>
          <w:sz w:val="20"/>
          <w:szCs w:val="20"/>
          <w:lang w:eastAsia="en-GB"/>
          <w14:ligatures w14:val="none"/>
        </w:rPr>
        <w:t xml:space="preserve"> German-Klass Formula]</w:t>
      </w:r>
    </w:p>
    <w:p w14:paraId="78957B79" w14:textId="2E652356" w:rsidR="004351EB" w:rsidRPr="006B2474" w:rsidRDefault="004351EB" w:rsidP="004351EB">
      <w:pPr>
        <w:spacing w:before="240" w:after="240" w:line="240" w:lineRule="auto"/>
        <w:rPr>
          <w:rFonts w:ascii="Segoe UI" w:eastAsia="Times New Roman" w:hAnsi="Segoe UI" w:cs="Segoe UI"/>
          <w:kern w:val="0"/>
          <w:lang w:eastAsia="en-GB"/>
          <w14:ligatures w14:val="none"/>
        </w:rPr>
      </w:pPr>
      <w:r w:rsidRPr="006B2474">
        <w:rPr>
          <w:rFonts w:ascii="Segoe UI" w:eastAsia="Times New Roman" w:hAnsi="Segoe UI" w:cs="Segoe UI"/>
          <w:color w:val="000000"/>
          <w:kern w:val="0"/>
          <w:sz w:val="20"/>
          <w:szCs w:val="20"/>
          <w:lang w:eastAsia="en-GB"/>
          <w14:ligatures w14:val="none"/>
        </w:rPr>
        <w:t>The Rogers-Satchell estimator uses the same OHLC data, assumes a nonzero return and includes a drift in the model, making it more complex. However, like Parkinson’s and Garmen-Klass, it still ignores the overnight price change, making it underestimate volatility</w:t>
      </w:r>
      <w:r w:rsidR="00FD6AE6">
        <w:rPr>
          <w:rFonts w:ascii="Segoe UI" w:eastAsia="Times New Roman" w:hAnsi="Segoe UI" w:cs="Segoe UI"/>
          <w:color w:val="000000"/>
          <w:kern w:val="0"/>
          <w:sz w:val="20"/>
          <w:szCs w:val="20"/>
          <w:lang w:eastAsia="en-GB"/>
          <w14:ligatures w14:val="none"/>
        </w:rPr>
        <w:t xml:space="preserve"> </w:t>
      </w:r>
      <w:r w:rsidR="00FD6AE6" w:rsidRPr="006B2474">
        <w:rPr>
          <w:rFonts w:ascii="Segoe UI" w:eastAsia="Times New Roman" w:hAnsi="Segoe UI" w:cs="Segoe UI"/>
          <w:color w:val="000000"/>
          <w:kern w:val="0"/>
          <w:sz w:val="20"/>
          <w:szCs w:val="20"/>
          <w:lang w:eastAsia="en-GB"/>
          <w14:ligatures w14:val="none"/>
        </w:rPr>
        <w:t>[1]</w:t>
      </w:r>
      <w:r w:rsidRPr="006B2474">
        <w:rPr>
          <w:rFonts w:ascii="Segoe UI" w:eastAsia="Times New Roman" w:hAnsi="Segoe UI" w:cs="Segoe UI"/>
          <w:color w:val="000000"/>
          <w:kern w:val="0"/>
          <w:sz w:val="20"/>
          <w:szCs w:val="20"/>
          <w:lang w:eastAsia="en-GB"/>
          <w14:ligatures w14:val="none"/>
        </w:rPr>
        <w:t>.</w:t>
      </w:r>
    </w:p>
    <w:p w14:paraId="5FE622BB" w14:textId="671BE476" w:rsidR="004351EB" w:rsidRPr="009E1E71" w:rsidRDefault="004351EB" w:rsidP="004351EB">
      <w:pPr>
        <w:spacing w:before="240" w:after="240" w:line="240" w:lineRule="auto"/>
        <w:rPr>
          <w:rFonts w:ascii="Segoe UI" w:eastAsia="Times New Roman" w:hAnsi="Segoe UI" w:cs="Segoe UI"/>
          <w:color w:val="FF0000"/>
          <w:kern w:val="0"/>
          <w:lang w:eastAsia="en-GB"/>
          <w14:ligatures w14:val="none"/>
        </w:rPr>
      </w:pPr>
      <w:r w:rsidRPr="006B2474">
        <w:rPr>
          <w:rFonts w:ascii="Segoe UI" w:eastAsia="Times New Roman" w:hAnsi="Segoe UI" w:cs="Segoe UI"/>
          <w:color w:val="FF0000"/>
          <w:kern w:val="0"/>
          <w:sz w:val="20"/>
          <w:szCs w:val="20"/>
          <w:lang w:eastAsia="en-GB"/>
          <w14:ligatures w14:val="none"/>
        </w:rPr>
        <w:t>[</w:t>
      </w:r>
      <w:r w:rsidR="009E1E71">
        <w:rPr>
          <w:rFonts w:ascii="Arial" w:eastAsia="Times New Roman" w:hAnsi="Arial" w:cs="Arial"/>
          <w:color w:val="000000"/>
          <w:kern w:val="0"/>
          <w:sz w:val="20"/>
          <w:szCs w:val="20"/>
          <w:lang w:val="en-US" w:eastAsia="en-GB"/>
          <w14:ligatures w14:val="none"/>
        </w:rPr>
        <w:t xml:space="preserve">Figure </w:t>
      </w:r>
      <w:r w:rsidR="00E530D5">
        <w:rPr>
          <w:rFonts w:ascii="Arial" w:eastAsia="Times New Roman" w:hAnsi="Arial" w:cs="Arial"/>
          <w:color w:val="000000"/>
          <w:kern w:val="0"/>
          <w:sz w:val="20"/>
          <w:szCs w:val="20"/>
          <w:lang w:val="en-US" w:eastAsia="en-GB"/>
          <w14:ligatures w14:val="none"/>
        </w:rPr>
        <w:t>3</w:t>
      </w:r>
      <w:r w:rsidR="009E1E71">
        <w:rPr>
          <w:rFonts w:ascii="Arial" w:eastAsia="Times New Roman" w:hAnsi="Arial" w:cs="Arial"/>
          <w:color w:val="000000"/>
          <w:kern w:val="0"/>
          <w:sz w:val="20"/>
          <w:szCs w:val="20"/>
          <w:lang w:val="en-US" w:eastAsia="en-GB"/>
          <w14:ligatures w14:val="none"/>
        </w:rPr>
        <w:t xml:space="preserve">. </w:t>
      </w:r>
      <w:r w:rsidRPr="006B2474">
        <w:rPr>
          <w:rFonts w:ascii="Segoe UI" w:eastAsia="Times New Roman" w:hAnsi="Segoe UI" w:cs="Segoe UI"/>
          <w:color w:val="FF0000"/>
          <w:kern w:val="0"/>
          <w:sz w:val="20"/>
          <w:szCs w:val="20"/>
          <w:lang w:eastAsia="en-GB"/>
          <w14:ligatures w14:val="none"/>
        </w:rPr>
        <w:t>Rogers-Satchell formula]</w:t>
      </w:r>
    </w:p>
    <w:p w14:paraId="1ACF5B6B" w14:textId="426BB8E3" w:rsidR="004351EB" w:rsidRPr="006B2474" w:rsidRDefault="004351EB" w:rsidP="004351EB">
      <w:pPr>
        <w:spacing w:before="240" w:after="240" w:line="240" w:lineRule="auto"/>
        <w:rPr>
          <w:rFonts w:ascii="Segoe UI" w:eastAsia="Times New Roman" w:hAnsi="Segoe UI" w:cs="Segoe UI"/>
          <w:kern w:val="0"/>
          <w:lang w:eastAsia="en-GB"/>
          <w14:ligatures w14:val="none"/>
        </w:rPr>
      </w:pPr>
      <w:r w:rsidRPr="006B2474">
        <w:rPr>
          <w:rFonts w:ascii="Segoe UI" w:eastAsia="Times New Roman" w:hAnsi="Segoe UI" w:cs="Segoe UI"/>
          <w:color w:val="000000"/>
          <w:kern w:val="0"/>
          <w:sz w:val="20"/>
          <w:szCs w:val="20"/>
          <w:lang w:eastAsia="en-GB"/>
          <w14:ligatures w14:val="none"/>
        </w:rPr>
        <w:lastRenderedPageBreak/>
        <w:t>The Yang</w:t>
      </w:r>
      <w:r w:rsidR="00FD6AE6">
        <w:rPr>
          <w:rFonts w:ascii="Segoe UI" w:eastAsia="Times New Roman" w:hAnsi="Segoe UI" w:cs="Segoe UI"/>
          <w:color w:val="000000"/>
          <w:kern w:val="0"/>
          <w:sz w:val="20"/>
          <w:szCs w:val="20"/>
          <w:lang w:eastAsia="en-GB"/>
          <w14:ligatures w14:val="none"/>
        </w:rPr>
        <w:t xml:space="preserve"> Z</w:t>
      </w:r>
      <w:r w:rsidRPr="006B2474">
        <w:rPr>
          <w:rFonts w:ascii="Segoe UI" w:eastAsia="Times New Roman" w:hAnsi="Segoe UI" w:cs="Segoe UI"/>
          <w:color w:val="000000"/>
          <w:kern w:val="0"/>
          <w:sz w:val="20"/>
          <w:szCs w:val="20"/>
          <w:lang w:eastAsia="en-GB"/>
          <w14:ligatures w14:val="none"/>
        </w:rPr>
        <w:t xml:space="preserve">hang estimator tries to address all the prior </w:t>
      </w:r>
      <w:r w:rsidR="00227AC9" w:rsidRPr="006B2474">
        <w:rPr>
          <w:rFonts w:ascii="Segoe UI" w:eastAsia="Times New Roman" w:hAnsi="Segoe UI" w:cs="Segoe UI"/>
          <w:color w:val="000000"/>
          <w:kern w:val="0"/>
          <w:sz w:val="20"/>
          <w:szCs w:val="20"/>
          <w:lang w:eastAsia="en-GB"/>
          <w14:ligatures w14:val="none"/>
        </w:rPr>
        <w:t>models’</w:t>
      </w:r>
      <w:r w:rsidRPr="006B2474">
        <w:rPr>
          <w:rFonts w:ascii="Segoe UI" w:eastAsia="Times New Roman" w:hAnsi="Segoe UI" w:cs="Segoe UI"/>
          <w:color w:val="000000"/>
          <w:kern w:val="0"/>
          <w:sz w:val="20"/>
          <w:szCs w:val="20"/>
          <w:lang w:eastAsia="en-GB"/>
          <w14:ligatures w14:val="none"/>
        </w:rPr>
        <w:t xml:space="preserve"> limitations by combining overnight volatility with a weighted average of open-to-close and Rogers-Satchell volatility. This results in a more robust estimator than the ones previously mentioned</w:t>
      </w:r>
      <w:r w:rsidR="00FD6AE6">
        <w:rPr>
          <w:rFonts w:ascii="Segoe UI" w:eastAsia="Times New Roman" w:hAnsi="Segoe UI" w:cs="Segoe UI"/>
          <w:color w:val="000000"/>
          <w:kern w:val="0"/>
          <w:sz w:val="20"/>
          <w:szCs w:val="20"/>
          <w:lang w:eastAsia="en-GB"/>
          <w14:ligatures w14:val="none"/>
        </w:rPr>
        <w:t xml:space="preserve"> </w:t>
      </w:r>
      <w:r w:rsidR="00FD6AE6" w:rsidRPr="006B2474">
        <w:rPr>
          <w:rFonts w:ascii="Segoe UI" w:eastAsia="Times New Roman" w:hAnsi="Segoe UI" w:cs="Segoe UI"/>
          <w:color w:val="000000"/>
          <w:kern w:val="0"/>
          <w:sz w:val="20"/>
          <w:szCs w:val="20"/>
          <w:lang w:eastAsia="en-GB"/>
          <w14:ligatures w14:val="none"/>
        </w:rPr>
        <w:t>[1]</w:t>
      </w:r>
      <w:r w:rsidRPr="006B2474">
        <w:rPr>
          <w:rFonts w:ascii="Segoe UI" w:eastAsia="Times New Roman" w:hAnsi="Segoe UI" w:cs="Segoe UI"/>
          <w:color w:val="000000"/>
          <w:kern w:val="0"/>
          <w:sz w:val="20"/>
          <w:szCs w:val="20"/>
          <w:lang w:eastAsia="en-GB"/>
          <w14:ligatures w14:val="none"/>
        </w:rPr>
        <w:t>.</w:t>
      </w:r>
    </w:p>
    <w:p w14:paraId="1FF2D889" w14:textId="27DCC414" w:rsidR="004351EB" w:rsidRPr="006B2474" w:rsidRDefault="004351EB" w:rsidP="004351EB">
      <w:pPr>
        <w:spacing w:before="240" w:after="240" w:line="240" w:lineRule="auto"/>
        <w:rPr>
          <w:rFonts w:ascii="Segoe UI" w:eastAsia="Times New Roman" w:hAnsi="Segoe UI" w:cs="Segoe UI"/>
          <w:color w:val="FF0000"/>
          <w:kern w:val="0"/>
          <w:lang w:eastAsia="en-GB"/>
          <w14:ligatures w14:val="none"/>
        </w:rPr>
      </w:pPr>
      <w:r w:rsidRPr="006B2474">
        <w:rPr>
          <w:rFonts w:ascii="Segoe UI" w:eastAsia="Times New Roman" w:hAnsi="Segoe UI" w:cs="Segoe UI"/>
          <w:color w:val="FF0000"/>
          <w:kern w:val="0"/>
          <w:sz w:val="20"/>
          <w:szCs w:val="20"/>
          <w:lang w:eastAsia="en-GB"/>
          <w14:ligatures w14:val="none"/>
        </w:rPr>
        <w:t>[</w:t>
      </w:r>
      <w:r w:rsidR="009E1E71">
        <w:rPr>
          <w:rFonts w:ascii="Arial" w:eastAsia="Times New Roman" w:hAnsi="Arial" w:cs="Arial"/>
          <w:color w:val="000000"/>
          <w:kern w:val="0"/>
          <w:sz w:val="20"/>
          <w:szCs w:val="20"/>
          <w:lang w:val="en-US" w:eastAsia="en-GB"/>
          <w14:ligatures w14:val="none"/>
        </w:rPr>
        <w:t xml:space="preserve">Figure </w:t>
      </w:r>
      <w:r w:rsidR="00E530D5">
        <w:rPr>
          <w:rFonts w:ascii="Arial" w:eastAsia="Times New Roman" w:hAnsi="Arial" w:cs="Arial"/>
          <w:color w:val="000000"/>
          <w:kern w:val="0"/>
          <w:sz w:val="20"/>
          <w:szCs w:val="20"/>
          <w:lang w:val="en-US" w:eastAsia="en-GB"/>
          <w14:ligatures w14:val="none"/>
        </w:rPr>
        <w:t>4</w:t>
      </w:r>
      <w:r w:rsidR="009E1E71">
        <w:rPr>
          <w:rFonts w:ascii="Arial" w:eastAsia="Times New Roman" w:hAnsi="Arial" w:cs="Arial"/>
          <w:color w:val="000000"/>
          <w:kern w:val="0"/>
          <w:sz w:val="20"/>
          <w:szCs w:val="20"/>
          <w:lang w:val="en-US" w:eastAsia="en-GB"/>
          <w14:ligatures w14:val="none"/>
        </w:rPr>
        <w:t xml:space="preserve">. </w:t>
      </w:r>
      <w:r w:rsidRPr="006B2474">
        <w:rPr>
          <w:rFonts w:ascii="Segoe UI" w:eastAsia="Times New Roman" w:hAnsi="Segoe UI" w:cs="Segoe UI"/>
          <w:color w:val="FF0000"/>
          <w:kern w:val="0"/>
          <w:sz w:val="20"/>
          <w:szCs w:val="20"/>
          <w:lang w:eastAsia="en-GB"/>
          <w14:ligatures w14:val="none"/>
        </w:rPr>
        <w:t>Yang-Zhang formula]</w:t>
      </w:r>
    </w:p>
    <w:p w14:paraId="4269D03E" w14:textId="77777777" w:rsidR="004351EB" w:rsidRPr="006B2474" w:rsidRDefault="004351EB" w:rsidP="004351EB">
      <w:pPr>
        <w:spacing w:before="240" w:after="240" w:line="240" w:lineRule="auto"/>
        <w:rPr>
          <w:rFonts w:ascii="Segoe UI" w:eastAsia="Times New Roman" w:hAnsi="Segoe UI" w:cs="Segoe UI"/>
          <w:kern w:val="0"/>
          <w:lang w:eastAsia="en-GB"/>
          <w14:ligatures w14:val="none"/>
        </w:rPr>
      </w:pPr>
      <w:r w:rsidRPr="006B2474">
        <w:rPr>
          <w:rFonts w:ascii="Segoe UI" w:eastAsia="Times New Roman" w:hAnsi="Segoe UI" w:cs="Segoe UI"/>
          <w:color w:val="000000"/>
          <w:kern w:val="0"/>
          <w:sz w:val="20"/>
          <w:szCs w:val="20"/>
          <w:lang w:eastAsia="en-GB"/>
          <w14:ligatures w14:val="none"/>
        </w:rPr>
        <w:t>This report aims to develop a more reliable and robust methodology to forecasting volatility, compared to the models mentioned above, by incorporating them all into the predictor of the classification model.</w:t>
      </w:r>
    </w:p>
    <w:p w14:paraId="10F97DB5" w14:textId="346C3A2D" w:rsidR="00227AC9" w:rsidRPr="006B2474" w:rsidRDefault="00227AC9" w:rsidP="00227AC9">
      <w:pPr>
        <w:spacing w:before="240" w:after="240" w:line="240" w:lineRule="auto"/>
        <w:rPr>
          <w:rFonts w:ascii="Segoe UI" w:eastAsia="Times New Roman" w:hAnsi="Segoe UI" w:cs="Segoe UI"/>
          <w:kern w:val="0"/>
          <w:lang w:eastAsia="en-GB"/>
          <w14:ligatures w14:val="none"/>
        </w:rPr>
      </w:pPr>
      <w:r w:rsidRPr="006B2474">
        <w:rPr>
          <w:rFonts w:ascii="Segoe UI" w:eastAsia="Times New Roman" w:hAnsi="Segoe UI" w:cs="Segoe UI"/>
          <w:color w:val="000000"/>
          <w:kern w:val="0"/>
          <w:sz w:val="20"/>
          <w:szCs w:val="20"/>
          <w:lang w:eastAsia="en-GB"/>
          <w14:ligatures w14:val="none"/>
        </w:rPr>
        <w:t xml:space="preserve">Additionally, the following </w:t>
      </w:r>
      <w:r w:rsidR="004351EB" w:rsidRPr="006B2474">
        <w:rPr>
          <w:rFonts w:ascii="Segoe UI" w:eastAsia="Times New Roman" w:hAnsi="Segoe UI" w:cs="Segoe UI"/>
          <w:color w:val="000000"/>
          <w:kern w:val="0"/>
          <w:sz w:val="20"/>
          <w:szCs w:val="20"/>
          <w:lang w:eastAsia="en-GB"/>
          <w14:ligatures w14:val="none"/>
        </w:rPr>
        <w:t>predictors are considered</w:t>
      </w:r>
      <w:r w:rsidRPr="006B2474">
        <w:rPr>
          <w:rFonts w:ascii="Segoe UI" w:eastAsia="Times New Roman" w:hAnsi="Segoe UI" w:cs="Segoe UI"/>
          <w:color w:val="000000"/>
          <w:kern w:val="0"/>
          <w:sz w:val="20"/>
          <w:szCs w:val="20"/>
          <w:lang w:eastAsia="en-GB"/>
          <w14:ligatures w14:val="none"/>
        </w:rPr>
        <w:t xml:space="preserve"> as well</w:t>
      </w:r>
    </w:p>
    <w:p w14:paraId="4DD3B809" w14:textId="0244CEA9" w:rsidR="00227AC9" w:rsidRPr="006B2474" w:rsidRDefault="004351EB" w:rsidP="00227AC9">
      <w:pPr>
        <w:pStyle w:val="ListParagraph"/>
        <w:numPr>
          <w:ilvl w:val="0"/>
          <w:numId w:val="1"/>
        </w:numPr>
        <w:spacing w:before="240" w:after="240" w:line="240" w:lineRule="auto"/>
        <w:rPr>
          <w:rFonts w:ascii="Segoe UI" w:eastAsia="Times New Roman" w:hAnsi="Segoe UI" w:cs="Segoe UI"/>
          <w:kern w:val="0"/>
          <w:lang w:eastAsia="en-GB"/>
          <w14:ligatures w14:val="none"/>
        </w:rPr>
      </w:pPr>
      <w:r w:rsidRPr="006B2474">
        <w:rPr>
          <w:rFonts w:ascii="Segoe UI" w:eastAsia="Times New Roman" w:hAnsi="Segoe UI" w:cs="Segoe UI"/>
          <w:color w:val="000000"/>
          <w:kern w:val="0"/>
          <w:sz w:val="20"/>
          <w:szCs w:val="20"/>
          <w:lang w:eastAsia="en-GB"/>
          <w14:ligatures w14:val="none"/>
        </w:rPr>
        <w:t>Realized volatility of log returns over the past window of trading day annualized. Which indicates how bumpy the price has been on an annual basis.  Note: There are roughly 252 trading days in a year</w:t>
      </w:r>
      <w:r w:rsidR="00227AC9" w:rsidRPr="006B2474">
        <w:rPr>
          <w:rFonts w:ascii="Segoe UI" w:eastAsia="Times New Roman" w:hAnsi="Segoe UI" w:cs="Segoe UI"/>
          <w:color w:val="000000"/>
          <w:kern w:val="0"/>
          <w:sz w:val="20"/>
          <w:szCs w:val="20"/>
          <w:lang w:eastAsia="en-GB"/>
          <w14:ligatures w14:val="none"/>
        </w:rPr>
        <w:t>.</w:t>
      </w:r>
      <w:r w:rsidR="00FD6AE6">
        <w:rPr>
          <w:rFonts w:ascii="Segoe UI" w:eastAsia="Times New Roman" w:hAnsi="Segoe UI" w:cs="Segoe UI"/>
          <w:color w:val="000000"/>
          <w:kern w:val="0"/>
          <w:sz w:val="20"/>
          <w:szCs w:val="20"/>
          <w:lang w:eastAsia="en-GB"/>
          <w14:ligatures w14:val="none"/>
        </w:rPr>
        <w:t xml:space="preserve"> And the window specified is 5 days.</w:t>
      </w:r>
    </w:p>
    <w:p w14:paraId="15AEE79B" w14:textId="28958B78" w:rsidR="00227AC9" w:rsidRPr="006B2474" w:rsidRDefault="004351EB" w:rsidP="00227AC9">
      <w:pPr>
        <w:pStyle w:val="ListParagraph"/>
        <w:numPr>
          <w:ilvl w:val="0"/>
          <w:numId w:val="1"/>
        </w:numPr>
        <w:spacing w:before="240" w:after="240" w:line="240" w:lineRule="auto"/>
        <w:rPr>
          <w:rFonts w:ascii="Segoe UI" w:eastAsia="Times New Roman" w:hAnsi="Segoe UI" w:cs="Segoe UI"/>
          <w:kern w:val="0"/>
          <w:lang w:eastAsia="en-GB"/>
          <w14:ligatures w14:val="none"/>
        </w:rPr>
      </w:pPr>
      <w:r w:rsidRPr="006B2474">
        <w:rPr>
          <w:rFonts w:ascii="Segoe UI" w:eastAsia="Times New Roman" w:hAnsi="Segoe UI" w:cs="Segoe UI"/>
          <w:color w:val="000000"/>
          <w:kern w:val="0"/>
          <w:sz w:val="20"/>
          <w:szCs w:val="20"/>
          <w:lang w:eastAsia="en-GB"/>
          <w14:ligatures w14:val="none"/>
        </w:rPr>
        <w:t>Rolling mean</w:t>
      </w:r>
      <w:r w:rsidR="00227AC9" w:rsidRPr="006B2474">
        <w:rPr>
          <w:rFonts w:ascii="Segoe UI" w:eastAsia="Times New Roman" w:hAnsi="Segoe UI" w:cs="Segoe UI"/>
          <w:color w:val="000000"/>
          <w:kern w:val="0"/>
          <w:sz w:val="20"/>
          <w:szCs w:val="20"/>
          <w:lang w:eastAsia="en-GB"/>
          <w14:ligatures w14:val="none"/>
        </w:rPr>
        <w:t xml:space="preserve">, an </w:t>
      </w:r>
      <w:r w:rsidRPr="006B2474">
        <w:rPr>
          <w:rFonts w:ascii="Segoe UI" w:eastAsia="Times New Roman" w:hAnsi="Segoe UI" w:cs="Segoe UI"/>
          <w:color w:val="000000"/>
          <w:kern w:val="0"/>
          <w:sz w:val="20"/>
          <w:szCs w:val="20"/>
          <w:lang w:eastAsia="en-GB"/>
          <w14:ligatures w14:val="none"/>
        </w:rPr>
        <w:t>average log returns over the last window of days</w:t>
      </w:r>
      <w:r w:rsidR="00227AC9" w:rsidRPr="006B2474">
        <w:rPr>
          <w:rFonts w:ascii="Segoe UI" w:eastAsia="Times New Roman" w:hAnsi="Segoe UI" w:cs="Segoe UI"/>
          <w:color w:val="000000"/>
          <w:kern w:val="0"/>
          <w:sz w:val="20"/>
          <w:szCs w:val="20"/>
          <w:lang w:eastAsia="en-GB"/>
          <w14:ligatures w14:val="none"/>
        </w:rPr>
        <w:t>. It is</w:t>
      </w:r>
      <w:r w:rsidRPr="006B2474">
        <w:rPr>
          <w:rFonts w:ascii="Segoe UI" w:eastAsia="Times New Roman" w:hAnsi="Segoe UI" w:cs="Segoe UI"/>
          <w:color w:val="000000"/>
          <w:kern w:val="0"/>
          <w:sz w:val="20"/>
          <w:szCs w:val="20"/>
          <w:lang w:eastAsia="en-GB"/>
          <w14:ligatures w14:val="none"/>
        </w:rPr>
        <w:t xml:space="preserve"> a </w:t>
      </w:r>
      <w:r w:rsidR="00227AC9" w:rsidRPr="006B2474">
        <w:rPr>
          <w:rFonts w:ascii="Segoe UI" w:eastAsia="Times New Roman" w:hAnsi="Segoe UI" w:cs="Segoe UI"/>
          <w:color w:val="000000"/>
          <w:kern w:val="0"/>
          <w:sz w:val="20"/>
          <w:szCs w:val="20"/>
          <w:lang w:eastAsia="en-GB"/>
          <w14:ligatures w14:val="none"/>
        </w:rPr>
        <w:t>short-term volatility</w:t>
      </w:r>
      <w:r w:rsidRPr="006B2474">
        <w:rPr>
          <w:rFonts w:ascii="Segoe UI" w:eastAsia="Times New Roman" w:hAnsi="Segoe UI" w:cs="Segoe UI"/>
          <w:color w:val="000000"/>
          <w:kern w:val="0"/>
          <w:sz w:val="20"/>
          <w:szCs w:val="20"/>
          <w:lang w:eastAsia="en-GB"/>
          <w14:ligatures w14:val="none"/>
        </w:rPr>
        <w:t xml:space="preserve"> indicator.</w:t>
      </w:r>
    </w:p>
    <w:p w14:paraId="3AA8BC13" w14:textId="60120857" w:rsidR="00227AC9" w:rsidRPr="006B2474" w:rsidRDefault="004351EB" w:rsidP="00227AC9">
      <w:pPr>
        <w:pStyle w:val="ListParagraph"/>
        <w:numPr>
          <w:ilvl w:val="0"/>
          <w:numId w:val="1"/>
        </w:numPr>
        <w:spacing w:before="240" w:after="240" w:line="240" w:lineRule="auto"/>
        <w:rPr>
          <w:rFonts w:ascii="Segoe UI" w:eastAsia="Times New Roman" w:hAnsi="Segoe UI" w:cs="Segoe UI"/>
          <w:kern w:val="0"/>
          <w:lang w:eastAsia="en-GB"/>
          <w14:ligatures w14:val="none"/>
        </w:rPr>
      </w:pPr>
      <w:r w:rsidRPr="006B2474">
        <w:rPr>
          <w:rFonts w:ascii="Segoe UI" w:eastAsia="Times New Roman" w:hAnsi="Segoe UI" w:cs="Segoe UI"/>
          <w:color w:val="000000"/>
          <w:kern w:val="0"/>
          <w:sz w:val="20"/>
          <w:szCs w:val="20"/>
          <w:lang w:eastAsia="en-GB"/>
          <w14:ligatures w14:val="none"/>
        </w:rPr>
        <w:t>Rolling standard deviation</w:t>
      </w:r>
      <w:r w:rsidR="00227AC9" w:rsidRPr="006B2474">
        <w:rPr>
          <w:rFonts w:ascii="Segoe UI" w:eastAsia="Times New Roman" w:hAnsi="Segoe UI" w:cs="Segoe UI"/>
          <w:color w:val="000000"/>
          <w:kern w:val="0"/>
          <w:sz w:val="20"/>
          <w:szCs w:val="20"/>
          <w:lang w:eastAsia="en-GB"/>
          <w14:ligatures w14:val="none"/>
        </w:rPr>
        <w:t>,</w:t>
      </w:r>
      <w:r w:rsidRPr="006B2474">
        <w:rPr>
          <w:rFonts w:ascii="Segoe UI" w:eastAsia="Times New Roman" w:hAnsi="Segoe UI" w:cs="Segoe UI"/>
          <w:color w:val="000000"/>
          <w:kern w:val="0"/>
          <w:sz w:val="20"/>
          <w:szCs w:val="20"/>
          <w:lang w:eastAsia="en-GB"/>
          <w14:ligatures w14:val="none"/>
        </w:rPr>
        <w:t xml:space="preserve"> the standard deviation of log returns over the last window</w:t>
      </w:r>
      <w:r w:rsidR="00227AC9" w:rsidRPr="006B2474">
        <w:rPr>
          <w:rFonts w:ascii="Segoe UI" w:eastAsia="Times New Roman" w:hAnsi="Segoe UI" w:cs="Segoe UI"/>
          <w:color w:val="000000"/>
          <w:kern w:val="0"/>
          <w:sz w:val="20"/>
          <w:szCs w:val="20"/>
          <w:lang w:eastAsia="en-GB"/>
          <w14:ligatures w14:val="none"/>
        </w:rPr>
        <w:t>.</w:t>
      </w:r>
    </w:p>
    <w:p w14:paraId="41069473" w14:textId="01840360" w:rsidR="00227AC9" w:rsidRPr="006B2474" w:rsidRDefault="004351EB" w:rsidP="00227AC9">
      <w:pPr>
        <w:pStyle w:val="ListParagraph"/>
        <w:numPr>
          <w:ilvl w:val="0"/>
          <w:numId w:val="1"/>
        </w:numPr>
        <w:spacing w:before="240" w:after="240" w:line="240" w:lineRule="auto"/>
        <w:rPr>
          <w:rFonts w:ascii="Segoe UI" w:eastAsia="Times New Roman" w:hAnsi="Segoe UI" w:cs="Segoe UI"/>
          <w:kern w:val="0"/>
          <w:lang w:eastAsia="en-GB"/>
          <w14:ligatures w14:val="none"/>
        </w:rPr>
      </w:pPr>
      <w:r w:rsidRPr="006B2474">
        <w:rPr>
          <w:rFonts w:ascii="Segoe UI" w:eastAsia="Times New Roman" w:hAnsi="Segoe UI" w:cs="Segoe UI"/>
          <w:color w:val="000000"/>
          <w:kern w:val="0"/>
          <w:sz w:val="20"/>
          <w:szCs w:val="20"/>
          <w:lang w:eastAsia="en-GB"/>
          <w14:ligatures w14:val="none"/>
        </w:rPr>
        <w:t>Volume change</w:t>
      </w:r>
      <w:r w:rsidR="00227AC9" w:rsidRPr="006B2474">
        <w:rPr>
          <w:rFonts w:ascii="Segoe UI" w:eastAsia="Times New Roman" w:hAnsi="Segoe UI" w:cs="Segoe UI"/>
          <w:color w:val="000000"/>
          <w:kern w:val="0"/>
          <w:sz w:val="20"/>
          <w:szCs w:val="20"/>
          <w:lang w:eastAsia="en-GB"/>
          <w14:ligatures w14:val="none"/>
        </w:rPr>
        <w:t>,</w:t>
      </w:r>
      <w:r w:rsidRPr="006B2474">
        <w:rPr>
          <w:rFonts w:ascii="Segoe UI" w:eastAsia="Times New Roman" w:hAnsi="Segoe UI" w:cs="Segoe UI"/>
          <w:color w:val="000000"/>
          <w:kern w:val="0"/>
          <w:sz w:val="20"/>
          <w:szCs w:val="20"/>
          <w:lang w:eastAsia="en-GB"/>
          <w14:ligatures w14:val="none"/>
        </w:rPr>
        <w:t xml:space="preserve"> the day-over-day percentage change in trading volume. Often a precursor or confirmation of price moves</w:t>
      </w:r>
    </w:p>
    <w:p w14:paraId="264CDFCB" w14:textId="77777777" w:rsidR="00227AC9" w:rsidRPr="006B2474" w:rsidRDefault="004351EB" w:rsidP="00227AC9">
      <w:pPr>
        <w:pStyle w:val="ListParagraph"/>
        <w:numPr>
          <w:ilvl w:val="0"/>
          <w:numId w:val="1"/>
        </w:numPr>
        <w:spacing w:before="240" w:after="240" w:line="240" w:lineRule="auto"/>
        <w:rPr>
          <w:rFonts w:ascii="Segoe UI" w:eastAsia="Times New Roman" w:hAnsi="Segoe UI" w:cs="Segoe UI"/>
          <w:kern w:val="0"/>
          <w:lang w:eastAsia="en-GB"/>
          <w14:ligatures w14:val="none"/>
        </w:rPr>
      </w:pPr>
      <w:r w:rsidRPr="006B2474">
        <w:rPr>
          <w:rFonts w:ascii="Segoe UI" w:eastAsia="Times New Roman" w:hAnsi="Segoe UI" w:cs="Segoe UI"/>
          <w:color w:val="000000"/>
          <w:kern w:val="0"/>
          <w:sz w:val="20"/>
          <w:szCs w:val="20"/>
          <w:lang w:eastAsia="en-GB"/>
          <w14:ligatures w14:val="none"/>
        </w:rPr>
        <w:t>The prior days log return and volume to add predictive power in the time series model.</w:t>
      </w:r>
    </w:p>
    <w:p w14:paraId="2915981F" w14:textId="26A698D2" w:rsidR="00227AC9" w:rsidRPr="006B2474" w:rsidRDefault="00227AC9" w:rsidP="00227AC9">
      <w:pPr>
        <w:pStyle w:val="ListParagraph"/>
        <w:numPr>
          <w:ilvl w:val="0"/>
          <w:numId w:val="1"/>
        </w:numPr>
        <w:spacing w:before="240" w:after="240" w:line="240" w:lineRule="auto"/>
        <w:rPr>
          <w:rFonts w:ascii="Segoe UI" w:eastAsia="Times New Roman" w:hAnsi="Segoe UI" w:cs="Segoe UI"/>
          <w:kern w:val="0"/>
          <w:lang w:eastAsia="en-GB"/>
          <w14:ligatures w14:val="none"/>
        </w:rPr>
      </w:pPr>
      <w:proofErr w:type="gramStart"/>
      <w:r w:rsidRPr="006B2474">
        <w:rPr>
          <w:rFonts w:ascii="Segoe UI" w:eastAsia="Times New Roman" w:hAnsi="Segoe UI" w:cs="Segoe UI"/>
          <w:color w:val="000000"/>
          <w:kern w:val="0"/>
          <w:sz w:val="20"/>
          <w:szCs w:val="20"/>
          <w:lang w:eastAsia="en-GB"/>
          <w14:ligatures w14:val="none"/>
        </w:rPr>
        <w:t>Five</w:t>
      </w:r>
      <w:r w:rsidR="00FD6AE6">
        <w:rPr>
          <w:rFonts w:ascii="Segoe UI" w:eastAsia="Times New Roman" w:hAnsi="Segoe UI" w:cs="Segoe UI"/>
          <w:color w:val="000000"/>
          <w:kern w:val="0"/>
          <w:sz w:val="20"/>
          <w:szCs w:val="20"/>
          <w:lang w:eastAsia="en-GB"/>
          <w14:ligatures w14:val="none"/>
        </w:rPr>
        <w:t xml:space="preserve"> </w:t>
      </w:r>
      <w:r w:rsidRPr="006B2474">
        <w:rPr>
          <w:rFonts w:ascii="Segoe UI" w:eastAsia="Times New Roman" w:hAnsi="Segoe UI" w:cs="Segoe UI"/>
          <w:color w:val="000000"/>
          <w:kern w:val="0"/>
          <w:sz w:val="20"/>
          <w:szCs w:val="20"/>
          <w:lang w:eastAsia="en-GB"/>
          <w14:ligatures w14:val="none"/>
        </w:rPr>
        <w:t>and ten</w:t>
      </w:r>
      <w:r w:rsidR="0092210F">
        <w:rPr>
          <w:rFonts w:ascii="Segoe UI" w:eastAsia="Times New Roman" w:hAnsi="Segoe UI" w:cs="Segoe UI"/>
          <w:color w:val="000000"/>
          <w:kern w:val="0"/>
          <w:sz w:val="20"/>
          <w:szCs w:val="20"/>
          <w:lang w:eastAsia="en-GB"/>
          <w14:ligatures w14:val="none"/>
        </w:rPr>
        <w:t xml:space="preserve"> </w:t>
      </w:r>
      <w:r w:rsidRPr="006B2474">
        <w:rPr>
          <w:rFonts w:ascii="Segoe UI" w:eastAsia="Times New Roman" w:hAnsi="Segoe UI" w:cs="Segoe UI"/>
          <w:color w:val="000000"/>
          <w:kern w:val="0"/>
          <w:sz w:val="20"/>
          <w:szCs w:val="20"/>
          <w:lang w:eastAsia="en-GB"/>
          <w14:ligatures w14:val="none"/>
        </w:rPr>
        <w:t>day</w:t>
      </w:r>
      <w:proofErr w:type="gramEnd"/>
      <w:r w:rsidR="004351EB" w:rsidRPr="006B2474">
        <w:rPr>
          <w:rFonts w:ascii="Segoe UI" w:eastAsia="Times New Roman" w:hAnsi="Segoe UI" w:cs="Segoe UI"/>
          <w:color w:val="000000"/>
          <w:kern w:val="0"/>
          <w:sz w:val="20"/>
          <w:szCs w:val="20"/>
          <w:lang w:eastAsia="en-GB"/>
          <w14:ligatures w14:val="none"/>
        </w:rPr>
        <w:t xml:space="preserve"> moving averages of log returns as a </w:t>
      </w:r>
      <w:proofErr w:type="gramStart"/>
      <w:r w:rsidRPr="006B2474">
        <w:rPr>
          <w:rFonts w:ascii="Segoe UI" w:eastAsia="Times New Roman" w:hAnsi="Segoe UI" w:cs="Segoe UI"/>
          <w:color w:val="000000"/>
          <w:kern w:val="0"/>
          <w:sz w:val="20"/>
          <w:szCs w:val="20"/>
          <w:lang w:eastAsia="en-GB"/>
          <w14:ligatures w14:val="none"/>
        </w:rPr>
        <w:t>short</w:t>
      </w:r>
      <w:r w:rsidR="00FD6AE6">
        <w:rPr>
          <w:rFonts w:ascii="Segoe UI" w:eastAsia="Times New Roman" w:hAnsi="Segoe UI" w:cs="Segoe UI"/>
          <w:color w:val="000000"/>
          <w:kern w:val="0"/>
          <w:sz w:val="20"/>
          <w:szCs w:val="20"/>
          <w:lang w:eastAsia="en-GB"/>
          <w14:ligatures w14:val="none"/>
        </w:rPr>
        <w:t xml:space="preserve"> </w:t>
      </w:r>
      <w:r w:rsidRPr="006B2474">
        <w:rPr>
          <w:rFonts w:ascii="Segoe UI" w:eastAsia="Times New Roman" w:hAnsi="Segoe UI" w:cs="Segoe UI"/>
          <w:color w:val="000000"/>
          <w:kern w:val="0"/>
          <w:sz w:val="20"/>
          <w:szCs w:val="20"/>
          <w:lang w:eastAsia="en-GB"/>
          <w14:ligatures w14:val="none"/>
        </w:rPr>
        <w:t>term</w:t>
      </w:r>
      <w:proofErr w:type="gramEnd"/>
      <w:r w:rsidR="004351EB" w:rsidRPr="006B2474">
        <w:rPr>
          <w:rFonts w:ascii="Segoe UI" w:eastAsia="Times New Roman" w:hAnsi="Segoe UI" w:cs="Segoe UI"/>
          <w:color w:val="000000"/>
          <w:kern w:val="0"/>
          <w:sz w:val="20"/>
          <w:szCs w:val="20"/>
          <w:lang w:eastAsia="en-GB"/>
          <w14:ligatures w14:val="none"/>
        </w:rPr>
        <w:t xml:space="preserve"> trend indicator.</w:t>
      </w:r>
    </w:p>
    <w:p w14:paraId="35F67CD4" w14:textId="77777777" w:rsidR="00227AC9" w:rsidRPr="006B2474" w:rsidRDefault="004351EB" w:rsidP="00227AC9">
      <w:pPr>
        <w:pStyle w:val="ListParagraph"/>
        <w:numPr>
          <w:ilvl w:val="0"/>
          <w:numId w:val="1"/>
        </w:numPr>
        <w:spacing w:before="240" w:after="240" w:line="240" w:lineRule="auto"/>
        <w:rPr>
          <w:rFonts w:ascii="Segoe UI" w:eastAsia="Times New Roman" w:hAnsi="Segoe UI" w:cs="Segoe UI"/>
          <w:kern w:val="0"/>
          <w:lang w:eastAsia="en-GB"/>
          <w14:ligatures w14:val="none"/>
        </w:rPr>
      </w:pPr>
      <w:r w:rsidRPr="006B2474">
        <w:rPr>
          <w:rFonts w:ascii="Segoe UI" w:eastAsia="Times New Roman" w:hAnsi="Segoe UI" w:cs="Segoe UI"/>
          <w:color w:val="000000"/>
          <w:kern w:val="0"/>
          <w:sz w:val="20"/>
          <w:szCs w:val="20"/>
          <w:lang w:eastAsia="en-GB"/>
          <w14:ligatures w14:val="none"/>
        </w:rPr>
        <w:t>Five and ten day unannualized volatility.</w:t>
      </w:r>
    </w:p>
    <w:p w14:paraId="2602A087" w14:textId="2DD5F066" w:rsidR="00227AC9" w:rsidRPr="006B2474" w:rsidRDefault="004351EB" w:rsidP="00227AC9">
      <w:pPr>
        <w:pStyle w:val="ListParagraph"/>
        <w:numPr>
          <w:ilvl w:val="0"/>
          <w:numId w:val="1"/>
        </w:numPr>
        <w:spacing w:before="240" w:after="240" w:line="240" w:lineRule="auto"/>
        <w:rPr>
          <w:rFonts w:ascii="Segoe UI" w:eastAsia="Times New Roman" w:hAnsi="Segoe UI" w:cs="Segoe UI"/>
          <w:kern w:val="0"/>
          <w:lang w:eastAsia="en-GB"/>
          <w14:ligatures w14:val="none"/>
        </w:rPr>
      </w:pPr>
      <w:r w:rsidRPr="006B2474">
        <w:rPr>
          <w:rFonts w:ascii="Segoe UI" w:eastAsia="Times New Roman" w:hAnsi="Segoe UI" w:cs="Segoe UI"/>
          <w:color w:val="000000"/>
          <w:kern w:val="0"/>
          <w:sz w:val="20"/>
          <w:szCs w:val="20"/>
          <w:lang w:eastAsia="en-GB"/>
          <w14:ligatures w14:val="none"/>
        </w:rPr>
        <w:t xml:space="preserve">The change in log return over </w:t>
      </w:r>
      <w:r w:rsidR="00227AC9" w:rsidRPr="006B2474">
        <w:rPr>
          <w:rFonts w:ascii="Segoe UI" w:eastAsia="Times New Roman" w:hAnsi="Segoe UI" w:cs="Segoe UI"/>
          <w:color w:val="000000"/>
          <w:kern w:val="0"/>
          <w:sz w:val="20"/>
          <w:szCs w:val="20"/>
          <w:lang w:eastAsia="en-GB"/>
          <w14:ligatures w14:val="none"/>
        </w:rPr>
        <w:t>five</w:t>
      </w:r>
      <w:r w:rsidRPr="006B2474">
        <w:rPr>
          <w:rFonts w:ascii="Segoe UI" w:eastAsia="Times New Roman" w:hAnsi="Segoe UI" w:cs="Segoe UI"/>
          <w:color w:val="000000"/>
          <w:kern w:val="0"/>
          <w:sz w:val="20"/>
          <w:szCs w:val="20"/>
          <w:lang w:eastAsia="en-GB"/>
          <w14:ligatures w14:val="none"/>
        </w:rPr>
        <w:t xml:space="preserve"> days to track momentum.</w:t>
      </w:r>
    </w:p>
    <w:p w14:paraId="167093F2" w14:textId="1D2A7855" w:rsidR="004351EB" w:rsidRPr="006B2474" w:rsidRDefault="00227AC9" w:rsidP="00227AC9">
      <w:pPr>
        <w:pStyle w:val="ListParagraph"/>
        <w:numPr>
          <w:ilvl w:val="0"/>
          <w:numId w:val="1"/>
        </w:numPr>
        <w:spacing w:before="240" w:after="240" w:line="240" w:lineRule="auto"/>
        <w:rPr>
          <w:rFonts w:ascii="Segoe UI" w:eastAsia="Times New Roman" w:hAnsi="Segoe UI" w:cs="Segoe UI"/>
          <w:kern w:val="0"/>
          <w:lang w:eastAsia="en-GB"/>
          <w14:ligatures w14:val="none"/>
        </w:rPr>
      </w:pPr>
      <w:r w:rsidRPr="006B2474">
        <w:rPr>
          <w:rFonts w:ascii="Segoe UI" w:eastAsia="Times New Roman" w:hAnsi="Segoe UI" w:cs="Segoe UI"/>
          <w:color w:val="000000"/>
          <w:kern w:val="0"/>
          <w:sz w:val="20"/>
          <w:szCs w:val="20"/>
          <w:lang w:eastAsia="en-GB"/>
          <w14:ligatures w14:val="none"/>
        </w:rPr>
        <w:t>Five</w:t>
      </w:r>
      <w:r w:rsidR="004351EB" w:rsidRPr="006B2474">
        <w:rPr>
          <w:rFonts w:ascii="Segoe UI" w:eastAsia="Times New Roman" w:hAnsi="Segoe UI" w:cs="Segoe UI"/>
          <w:color w:val="000000"/>
          <w:kern w:val="0"/>
          <w:sz w:val="20"/>
          <w:szCs w:val="20"/>
          <w:lang w:eastAsia="en-GB"/>
          <w14:ligatures w14:val="none"/>
        </w:rPr>
        <w:t xml:space="preserve"> day rolling standard deviation of log returns as a </w:t>
      </w:r>
      <w:r w:rsidRPr="006B2474">
        <w:rPr>
          <w:rFonts w:ascii="Segoe UI" w:eastAsia="Times New Roman" w:hAnsi="Segoe UI" w:cs="Segoe UI"/>
          <w:color w:val="000000"/>
          <w:kern w:val="0"/>
          <w:sz w:val="20"/>
          <w:szCs w:val="20"/>
          <w:lang w:eastAsia="en-GB"/>
          <w14:ligatures w14:val="none"/>
        </w:rPr>
        <w:t>short-term</w:t>
      </w:r>
      <w:r w:rsidR="004351EB" w:rsidRPr="006B2474">
        <w:rPr>
          <w:rFonts w:ascii="Segoe UI" w:eastAsia="Times New Roman" w:hAnsi="Segoe UI" w:cs="Segoe UI"/>
          <w:color w:val="000000"/>
          <w:kern w:val="0"/>
          <w:sz w:val="20"/>
          <w:szCs w:val="20"/>
          <w:lang w:eastAsia="en-GB"/>
          <w14:ligatures w14:val="none"/>
        </w:rPr>
        <w:t xml:space="preserve"> volatility measure.</w:t>
      </w:r>
    </w:p>
    <w:p w14:paraId="77E87670" w14:textId="3B8F137B" w:rsidR="004351EB" w:rsidRPr="006B2474" w:rsidRDefault="004351EB" w:rsidP="004351EB">
      <w:pPr>
        <w:spacing w:before="240" w:after="240" w:line="240" w:lineRule="auto"/>
        <w:rPr>
          <w:rFonts w:ascii="Segoe UI" w:eastAsia="Times New Roman" w:hAnsi="Segoe UI" w:cs="Segoe UI"/>
          <w:kern w:val="0"/>
          <w:lang w:eastAsia="en-GB"/>
          <w14:ligatures w14:val="none"/>
        </w:rPr>
      </w:pPr>
      <w:r w:rsidRPr="006B2474">
        <w:rPr>
          <w:rFonts w:ascii="Segoe UI" w:eastAsia="Times New Roman" w:hAnsi="Segoe UI" w:cs="Segoe UI"/>
          <w:color w:val="000000"/>
          <w:kern w:val="0"/>
          <w:sz w:val="20"/>
          <w:szCs w:val="20"/>
          <w:lang w:eastAsia="en-GB"/>
          <w14:ligatures w14:val="none"/>
        </w:rPr>
        <w:t xml:space="preserve">For the target variable. Future volatility is calculated from the realized annualized volatility windows. The target is then </w:t>
      </w:r>
      <w:r w:rsidR="00227AC9" w:rsidRPr="006B2474">
        <w:rPr>
          <w:rFonts w:ascii="Segoe UI" w:eastAsia="Times New Roman" w:hAnsi="Segoe UI" w:cs="Segoe UI"/>
          <w:color w:val="000000"/>
          <w:kern w:val="0"/>
          <w:sz w:val="20"/>
          <w:szCs w:val="20"/>
          <w:lang w:eastAsia="en-GB"/>
          <w14:ligatures w14:val="none"/>
        </w:rPr>
        <w:t>labelled</w:t>
      </w:r>
      <w:r w:rsidRPr="006B2474">
        <w:rPr>
          <w:rFonts w:ascii="Segoe UI" w:eastAsia="Times New Roman" w:hAnsi="Segoe UI" w:cs="Segoe UI"/>
          <w:color w:val="000000"/>
          <w:kern w:val="0"/>
          <w:sz w:val="20"/>
          <w:szCs w:val="20"/>
          <w:lang w:eastAsia="en-GB"/>
          <w14:ligatures w14:val="none"/>
        </w:rPr>
        <w:t xml:space="preserve"> zero or one; one if future volatility is greater than the current realized volatility and zero if otherwise.</w:t>
      </w:r>
    </w:p>
    <w:p w14:paraId="2C14AA7D" w14:textId="77777777" w:rsidR="004351EB" w:rsidRPr="006B2474" w:rsidRDefault="004351EB" w:rsidP="004351EB">
      <w:pPr>
        <w:spacing w:before="240" w:after="240" w:line="240" w:lineRule="auto"/>
        <w:rPr>
          <w:rFonts w:ascii="Segoe UI" w:eastAsia="Times New Roman" w:hAnsi="Segoe UI" w:cs="Segoe UI"/>
          <w:kern w:val="0"/>
          <w:lang w:eastAsia="en-GB"/>
          <w14:ligatures w14:val="none"/>
        </w:rPr>
      </w:pPr>
      <w:r w:rsidRPr="006B2474">
        <w:rPr>
          <w:rFonts w:ascii="Segoe UI" w:eastAsia="Times New Roman" w:hAnsi="Segoe UI" w:cs="Segoe UI"/>
          <w:color w:val="000000"/>
          <w:kern w:val="0"/>
          <w:sz w:val="20"/>
          <w:szCs w:val="20"/>
          <w:lang w:eastAsia="en-GB"/>
          <w14:ligatures w14:val="none"/>
        </w:rPr>
        <w:t>These predictors and target variables will be used to train and develop the predictive model to evaluate how effectively past price action and volume shifts can forecast future increases in volatility.</w:t>
      </w:r>
    </w:p>
    <w:p w14:paraId="4007C542" w14:textId="317E6487" w:rsidR="0011466D" w:rsidRPr="006B2474" w:rsidRDefault="004351EB" w:rsidP="00227AC9">
      <w:pPr>
        <w:spacing w:before="240" w:after="240" w:line="240" w:lineRule="auto"/>
        <w:rPr>
          <w:rFonts w:ascii="Segoe UI" w:eastAsia="Times New Roman" w:hAnsi="Segoe UI" w:cs="Segoe UI"/>
          <w:kern w:val="0"/>
          <w:lang w:eastAsia="en-GB"/>
          <w14:ligatures w14:val="none"/>
        </w:rPr>
      </w:pPr>
      <w:r w:rsidRPr="006B2474">
        <w:rPr>
          <w:rFonts w:ascii="Segoe UI" w:eastAsia="Times New Roman" w:hAnsi="Segoe UI" w:cs="Segoe UI"/>
          <w:color w:val="000000"/>
          <w:kern w:val="0"/>
          <w:sz w:val="20"/>
          <w:szCs w:val="20"/>
          <w:lang w:eastAsia="en-GB"/>
          <w14:ligatures w14:val="none"/>
        </w:rPr>
        <w:t>This report is organized as follows: the Methodology section discusses the data processing, feature engineering, model construction and implementation. The Results section presents model setup and outputs, including evaluation metrics, model performance, and feature importance analysis. The Discussion interprets the results, discusses the findings, and offers suggestions for potential improvement in future implementations. The Appendix contains all reference materials and literature.</w:t>
      </w:r>
    </w:p>
    <w:sectPr w:rsidR="0011466D" w:rsidRPr="006B2474" w:rsidSect="0011466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54378"/>
    <w:multiLevelType w:val="hybridMultilevel"/>
    <w:tmpl w:val="717E600E"/>
    <w:lvl w:ilvl="0" w:tplc="08090001">
      <w:start w:val="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06396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66D"/>
    <w:rsid w:val="0001555E"/>
    <w:rsid w:val="0011466D"/>
    <w:rsid w:val="00227AC9"/>
    <w:rsid w:val="004351EB"/>
    <w:rsid w:val="00482872"/>
    <w:rsid w:val="00495D94"/>
    <w:rsid w:val="006B2474"/>
    <w:rsid w:val="0092210F"/>
    <w:rsid w:val="009E1E71"/>
    <w:rsid w:val="00D727B7"/>
    <w:rsid w:val="00E530D5"/>
    <w:rsid w:val="00FD6A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056F225"/>
  <w15:chartTrackingRefBased/>
  <w15:docId w15:val="{E152D1B5-E433-044B-B2A0-738178E81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6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46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46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6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6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6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6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6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6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6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46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6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6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6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6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6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66D"/>
    <w:rPr>
      <w:rFonts w:eastAsiaTheme="majorEastAsia" w:cstheme="majorBidi"/>
      <w:color w:val="272727" w:themeColor="text1" w:themeTint="D8"/>
    </w:rPr>
  </w:style>
  <w:style w:type="paragraph" w:styleId="Title">
    <w:name w:val="Title"/>
    <w:basedOn w:val="Normal"/>
    <w:next w:val="Normal"/>
    <w:link w:val="TitleChar"/>
    <w:uiPriority w:val="10"/>
    <w:qFormat/>
    <w:rsid w:val="001146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6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6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6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66D"/>
    <w:pPr>
      <w:spacing w:before="160"/>
      <w:jc w:val="center"/>
    </w:pPr>
    <w:rPr>
      <w:i/>
      <w:iCs/>
      <w:color w:val="404040" w:themeColor="text1" w:themeTint="BF"/>
    </w:rPr>
  </w:style>
  <w:style w:type="character" w:customStyle="1" w:styleId="QuoteChar">
    <w:name w:val="Quote Char"/>
    <w:basedOn w:val="DefaultParagraphFont"/>
    <w:link w:val="Quote"/>
    <w:uiPriority w:val="29"/>
    <w:rsid w:val="0011466D"/>
    <w:rPr>
      <w:i/>
      <w:iCs/>
      <w:color w:val="404040" w:themeColor="text1" w:themeTint="BF"/>
    </w:rPr>
  </w:style>
  <w:style w:type="paragraph" w:styleId="ListParagraph">
    <w:name w:val="List Paragraph"/>
    <w:basedOn w:val="Normal"/>
    <w:uiPriority w:val="34"/>
    <w:qFormat/>
    <w:rsid w:val="0011466D"/>
    <w:pPr>
      <w:ind w:left="720"/>
      <w:contextualSpacing/>
    </w:pPr>
  </w:style>
  <w:style w:type="character" w:styleId="IntenseEmphasis">
    <w:name w:val="Intense Emphasis"/>
    <w:basedOn w:val="DefaultParagraphFont"/>
    <w:uiPriority w:val="21"/>
    <w:qFormat/>
    <w:rsid w:val="0011466D"/>
    <w:rPr>
      <w:i/>
      <w:iCs/>
      <w:color w:val="0F4761" w:themeColor="accent1" w:themeShade="BF"/>
    </w:rPr>
  </w:style>
  <w:style w:type="paragraph" w:styleId="IntenseQuote">
    <w:name w:val="Intense Quote"/>
    <w:basedOn w:val="Normal"/>
    <w:next w:val="Normal"/>
    <w:link w:val="IntenseQuoteChar"/>
    <w:uiPriority w:val="30"/>
    <w:qFormat/>
    <w:rsid w:val="001146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66D"/>
    <w:rPr>
      <w:i/>
      <w:iCs/>
      <w:color w:val="0F4761" w:themeColor="accent1" w:themeShade="BF"/>
    </w:rPr>
  </w:style>
  <w:style w:type="character" w:styleId="IntenseReference">
    <w:name w:val="Intense Reference"/>
    <w:basedOn w:val="DefaultParagraphFont"/>
    <w:uiPriority w:val="32"/>
    <w:qFormat/>
    <w:rsid w:val="0011466D"/>
    <w:rPr>
      <w:b/>
      <w:bCs/>
      <w:smallCaps/>
      <w:color w:val="0F4761" w:themeColor="accent1" w:themeShade="BF"/>
      <w:spacing w:val="5"/>
    </w:rPr>
  </w:style>
  <w:style w:type="paragraph" w:styleId="NormalWeb">
    <w:name w:val="Normal (Web)"/>
    <w:basedOn w:val="Normal"/>
    <w:uiPriority w:val="99"/>
    <w:semiHidden/>
    <w:unhideWhenUsed/>
    <w:rsid w:val="0011466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tab-span">
    <w:name w:val="apple-tab-span"/>
    <w:basedOn w:val="DefaultParagraphFont"/>
    <w:rsid w:val="001146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1032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868</Words>
  <Characters>4949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Obajemu</dc:creator>
  <cp:keywords/>
  <dc:description/>
  <cp:lastModifiedBy>Michael Obajemu</cp:lastModifiedBy>
  <cp:revision>9</cp:revision>
  <dcterms:created xsi:type="dcterms:W3CDTF">2025-05-10T17:02:00Z</dcterms:created>
  <dcterms:modified xsi:type="dcterms:W3CDTF">2025-05-11T20:40:00Z</dcterms:modified>
</cp:coreProperties>
</file>