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00C9" w14:textId="77777777" w:rsidR="0011466D" w:rsidRPr="004104CA" w:rsidRDefault="0011466D" w:rsidP="0011466D">
      <w:pPr>
        <w:spacing w:after="0" w:line="240" w:lineRule="auto"/>
        <w:rPr>
          <w:rFonts w:ascii="Segoe UI" w:eastAsia="Times New Roman" w:hAnsi="Segoe UI" w:cs="Segoe UI"/>
          <w:kern w:val="0"/>
          <w:sz w:val="20"/>
          <w:szCs w:val="20"/>
          <w:lang w:eastAsia="en-GB"/>
          <w14:ligatures w14:val="none"/>
        </w:rPr>
      </w:pPr>
    </w:p>
    <w:p w14:paraId="21C505AC" w14:textId="77777777" w:rsidR="0011466D" w:rsidRPr="004104CA" w:rsidRDefault="0011466D" w:rsidP="0011466D">
      <w:pPr>
        <w:spacing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Discussion</w:t>
      </w:r>
    </w:p>
    <w:p w14:paraId="7BBE2097" w14:textId="56E19666" w:rsidR="00A543C9" w:rsidRPr="004104CA" w:rsidRDefault="00A543C9" w:rsidP="00A543C9">
      <w:pPr>
        <w:spacing w:line="240" w:lineRule="auto"/>
        <w:rPr>
          <w:rFonts w:ascii="Segoe UI" w:eastAsia="Times New Roman" w:hAnsi="Segoe UI" w:cs="Segoe UI"/>
          <w:color w:val="000000"/>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The dominance of short-term volatility </w:t>
      </w:r>
      <w:r w:rsidR="00636DC3">
        <w:rPr>
          <w:rFonts w:ascii="Segoe UI" w:eastAsia="Times New Roman" w:hAnsi="Segoe UI" w:cs="Segoe UI"/>
          <w:color w:val="000000"/>
          <w:kern w:val="0"/>
          <w:sz w:val="20"/>
          <w:szCs w:val="20"/>
          <w:lang w:eastAsia="en-GB"/>
          <w14:ligatures w14:val="none"/>
        </w:rPr>
        <w:t>features,</w:t>
      </w:r>
      <w:r w:rsidRPr="004104CA">
        <w:rPr>
          <w:rFonts w:ascii="Segoe UI" w:eastAsia="Times New Roman" w:hAnsi="Segoe UI" w:cs="Segoe UI"/>
          <w:color w:val="000000"/>
          <w:kern w:val="0"/>
          <w:sz w:val="20"/>
          <w:szCs w:val="20"/>
          <w:lang w:eastAsia="en-GB"/>
          <w14:ligatures w14:val="none"/>
        </w:rPr>
        <w:t xml:space="preserve"> specifically the 5-day and 10-day rolling standard deviations and the Yang-Zhang estimator as top </w:t>
      </w:r>
      <w:r w:rsidR="00636DC3">
        <w:rPr>
          <w:rFonts w:ascii="Segoe UI" w:eastAsia="Times New Roman" w:hAnsi="Segoe UI" w:cs="Segoe UI"/>
          <w:color w:val="000000"/>
          <w:kern w:val="0"/>
          <w:sz w:val="20"/>
          <w:szCs w:val="20"/>
          <w:lang w:eastAsia="en-GB"/>
          <w14:ligatures w14:val="none"/>
        </w:rPr>
        <w:t>predictors,</w:t>
      </w:r>
      <w:r w:rsidRPr="004104CA">
        <w:rPr>
          <w:rFonts w:ascii="Segoe UI" w:eastAsia="Times New Roman" w:hAnsi="Segoe UI" w:cs="Segoe UI"/>
          <w:color w:val="000000"/>
          <w:kern w:val="0"/>
          <w:sz w:val="20"/>
          <w:szCs w:val="20"/>
          <w:lang w:eastAsia="en-GB"/>
          <w14:ligatures w14:val="none"/>
        </w:rPr>
        <w:t xml:space="preserve"> confirms that capturing both intraday price swings and overnight gaps is critical for forecasting near-term volatility in WTI futures. This aligns with the expectation that combining multiple volatility estimators into a machine learning framework would outperform any single estimator alone. In addition, the superior performance of nonlinear boosting models (XGBoost and LightGBM) validates the hypothesis that flexible learners better capture complex market dynamics than linear models such as logistic regression or the </w:t>
      </w:r>
      <w:r w:rsidR="00636DC3">
        <w:rPr>
          <w:rFonts w:ascii="Segoe UI" w:eastAsia="Times New Roman" w:hAnsi="Segoe UI" w:cs="Segoe UI"/>
          <w:color w:val="000000"/>
          <w:kern w:val="0"/>
          <w:sz w:val="20"/>
          <w:szCs w:val="20"/>
          <w:lang w:eastAsia="en-GB"/>
          <w14:ligatures w14:val="none"/>
        </w:rPr>
        <w:t>GARCH-</w:t>
      </w:r>
      <w:r w:rsidRPr="004104CA">
        <w:rPr>
          <w:rFonts w:ascii="Segoe UI" w:eastAsia="Times New Roman" w:hAnsi="Segoe UI" w:cs="Segoe UI"/>
          <w:color w:val="000000"/>
          <w:kern w:val="0"/>
          <w:sz w:val="20"/>
          <w:szCs w:val="20"/>
          <w:lang w:eastAsia="en-GB"/>
          <w14:ligatures w14:val="none"/>
        </w:rPr>
        <w:t>style approaches.</w:t>
      </w:r>
    </w:p>
    <w:p w14:paraId="11C678FE" w14:textId="77777777" w:rsidR="00156005" w:rsidRPr="004104CA" w:rsidRDefault="00156005" w:rsidP="00156005">
      <w:pPr>
        <w:spacing w:after="0"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kern w:val="0"/>
          <w:sz w:val="20"/>
          <w:szCs w:val="20"/>
          <w:lang w:eastAsia="en-GB"/>
          <w14:ligatures w14:val="none"/>
        </w:rPr>
        <w:t>Accurately forecasting volatility in oil markets holds critical value for many financial and industry stakeholders. For investors and asset managers, a volatility predictor enables dynamic adjustment of hedge ratios and improved risk-adjusted returns when timing options trades. For derivative traders, this offers a data-driven approach to options pricing. Beyond the financial market, volatility forecasting using a data-driven model can help oil suppliers identify price-arbitrage opportunities between the US market and other regions such as OPEC. In sum, this work bridges the gap between traditional volatility estimators and modern machine-learning techniques.</w:t>
      </w:r>
    </w:p>
    <w:p w14:paraId="2242D506" w14:textId="77777777" w:rsidR="00A543C9" w:rsidRPr="004104CA" w:rsidRDefault="00A543C9" w:rsidP="00156005">
      <w:pPr>
        <w:spacing w:after="0" w:line="240" w:lineRule="auto"/>
        <w:rPr>
          <w:rFonts w:ascii="Segoe UI" w:eastAsia="Times New Roman" w:hAnsi="Segoe UI" w:cs="Segoe UI"/>
          <w:kern w:val="0"/>
          <w:sz w:val="20"/>
          <w:szCs w:val="20"/>
          <w:lang w:eastAsia="en-GB"/>
          <w14:ligatures w14:val="none"/>
        </w:rPr>
      </w:pPr>
    </w:p>
    <w:p w14:paraId="0D4EF145" w14:textId="4DC08954" w:rsidR="001B2715" w:rsidRPr="004104CA" w:rsidRDefault="001B2715" w:rsidP="001B2715">
      <w:pPr>
        <w:spacing w:after="0"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kern w:val="0"/>
          <w:sz w:val="20"/>
          <w:szCs w:val="20"/>
          <w:lang w:eastAsia="en-GB"/>
          <w14:ligatures w14:val="none"/>
        </w:rPr>
        <w:t xml:space="preserve">To demonstrate the practical deployment of the machine-learning algorithm, consider the following scenario. It is December 2024, and a small hedge fund wants to adjust its options exposure to West Texas Intermediate (WTI) by monitoring the corresponding futures contract. The fund plans to make daily trades with a maximum budget of $100,000, scaled according to the confidence of the volatility prediction. Specifically, the fund will go long (+1) or short (–1) if the predicted probability of a volatility increase exceeds a certain threshold (see </w:t>
      </w:r>
      <w:r w:rsidR="00636DC3">
        <w:rPr>
          <w:rFonts w:ascii="Segoe UI" w:eastAsia="Times New Roman" w:hAnsi="Segoe UI" w:cs="Segoe UI"/>
          <w:kern w:val="0"/>
          <w:sz w:val="20"/>
          <w:szCs w:val="20"/>
          <w:lang w:eastAsia="en-GB"/>
          <w14:ligatures w14:val="none"/>
        </w:rPr>
        <w:t>equation</w:t>
      </w:r>
      <w:r w:rsidRPr="004104CA">
        <w:rPr>
          <w:rFonts w:ascii="Segoe UI" w:eastAsia="Times New Roman" w:hAnsi="Segoe UI" w:cs="Segoe UI"/>
          <w:kern w:val="0"/>
          <w:sz w:val="20"/>
          <w:szCs w:val="20"/>
          <w:lang w:eastAsia="en-GB"/>
          <w14:ligatures w14:val="none"/>
        </w:rPr>
        <w:t xml:space="preserve"> </w:t>
      </w:r>
      <w:r w:rsidR="00155152" w:rsidRPr="004104CA">
        <w:rPr>
          <w:rFonts w:ascii="Segoe UI" w:eastAsia="Times New Roman" w:hAnsi="Segoe UI" w:cs="Segoe UI"/>
          <w:kern w:val="0"/>
          <w:sz w:val="20"/>
          <w:szCs w:val="20"/>
          <w:lang w:eastAsia="en-GB"/>
          <w14:ligatures w14:val="none"/>
        </w:rPr>
        <w:t>belo</w:t>
      </w:r>
      <w:r w:rsidR="004104CA" w:rsidRPr="004104CA">
        <w:rPr>
          <w:rFonts w:ascii="Segoe UI" w:eastAsia="Times New Roman" w:hAnsi="Segoe UI" w:cs="Segoe UI"/>
          <w:kern w:val="0"/>
          <w:sz w:val="20"/>
          <w:szCs w:val="20"/>
          <w:lang w:eastAsia="en-GB"/>
          <w14:ligatures w14:val="none"/>
        </w:rPr>
        <w:t>w</w:t>
      </w:r>
      <w:r w:rsidRPr="004104CA">
        <w:rPr>
          <w:rFonts w:ascii="Segoe UI" w:eastAsia="Times New Roman" w:hAnsi="Segoe UI" w:cs="Segoe UI"/>
          <w:kern w:val="0"/>
          <w:sz w:val="20"/>
          <w:szCs w:val="20"/>
          <w:lang w:eastAsia="en-GB"/>
          <w14:ligatures w14:val="none"/>
        </w:rPr>
        <w:t>).</w:t>
      </w:r>
    </w:p>
    <w:p w14:paraId="1A9915C1" w14:textId="632E45F9" w:rsidR="003368B7" w:rsidRPr="004104CA" w:rsidRDefault="003368B7" w:rsidP="003368B7">
      <w:pPr>
        <w:spacing w:before="240" w:after="240" w:line="240" w:lineRule="auto"/>
        <w:rPr>
          <w:rFonts w:ascii="Segoe UI" w:eastAsia="Times New Roman" w:hAnsi="Segoe UI" w:cs="Segoe UI"/>
          <w:color w:val="FF0000"/>
          <w:kern w:val="0"/>
          <w:sz w:val="20"/>
          <w:szCs w:val="20"/>
          <w:lang w:eastAsia="en-GB"/>
          <w14:ligatures w14:val="none"/>
        </w:rPr>
      </w:pPr>
      <w:r w:rsidRPr="004104CA">
        <w:rPr>
          <w:rFonts w:ascii="Segoe UI" w:eastAsia="Times New Roman" w:hAnsi="Segoe UI" w:cs="Segoe UI"/>
          <w:color w:val="FF0000"/>
          <w:kern w:val="0"/>
          <w:sz w:val="20"/>
          <w:szCs w:val="20"/>
          <w:lang w:eastAsia="en-GB"/>
          <w14:ligatures w14:val="none"/>
        </w:rPr>
        <w:t>[</w:t>
      </w:r>
      <w:r w:rsidRPr="004104CA">
        <w:rPr>
          <w:rFonts w:ascii="Segoe UI" w:eastAsia="Times New Roman" w:hAnsi="Segoe UI" w:cs="Segoe UI"/>
          <w:color w:val="000000"/>
          <w:kern w:val="0"/>
          <w:sz w:val="20"/>
          <w:szCs w:val="20"/>
          <w:lang w:val="en-US" w:eastAsia="en-GB"/>
          <w14:ligatures w14:val="none"/>
        </w:rPr>
        <w:t xml:space="preserve">Figure </w:t>
      </w:r>
      <w:r w:rsidR="00E8041B">
        <w:rPr>
          <w:rFonts w:ascii="Segoe UI" w:eastAsia="Times New Roman" w:hAnsi="Segoe UI" w:cs="Segoe UI"/>
          <w:color w:val="000000"/>
          <w:kern w:val="0"/>
          <w:sz w:val="20"/>
          <w:szCs w:val="20"/>
          <w:lang w:val="en-US" w:eastAsia="en-GB"/>
          <w14:ligatures w14:val="none"/>
        </w:rPr>
        <w:t>22</w:t>
      </w:r>
      <w:r w:rsidR="00636DC3">
        <w:rPr>
          <w:rFonts w:ascii="Segoe UI" w:eastAsia="Times New Roman" w:hAnsi="Segoe UI" w:cs="Segoe UI"/>
          <w:color w:val="000000"/>
          <w:kern w:val="0"/>
          <w:sz w:val="20"/>
          <w:szCs w:val="20"/>
          <w:lang w:val="en-US" w:eastAsia="en-GB"/>
          <w14:ligatures w14:val="none"/>
        </w:rPr>
        <w:t>. Signal</w:t>
      </w:r>
      <w:r w:rsidRPr="004104CA">
        <w:rPr>
          <w:rFonts w:ascii="Segoe UI" w:eastAsia="Times New Roman" w:hAnsi="Segoe UI" w:cs="Segoe UI"/>
          <w:color w:val="FF0000"/>
          <w:kern w:val="0"/>
          <w:sz w:val="20"/>
          <w:szCs w:val="20"/>
          <w:lang w:eastAsia="en-GB"/>
          <w14:ligatures w14:val="none"/>
        </w:rPr>
        <w:t xml:space="preserve"> t formula]</w:t>
      </w:r>
    </w:p>
    <w:p w14:paraId="061C6FC2" w14:textId="2E34B319" w:rsidR="00156005" w:rsidRPr="004104CA" w:rsidRDefault="001B2715" w:rsidP="001B2715">
      <w:pPr>
        <w:spacing w:after="0"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kern w:val="0"/>
          <w:sz w:val="20"/>
          <w:szCs w:val="20"/>
          <w:lang w:eastAsia="en-GB"/>
          <w14:ligatures w14:val="none"/>
        </w:rPr>
        <w:t>The institution has also decided to</w:t>
      </w:r>
      <w:r w:rsidR="00937781">
        <w:rPr>
          <w:rFonts w:ascii="Segoe UI" w:eastAsia="Times New Roman" w:hAnsi="Segoe UI" w:cs="Segoe UI"/>
          <w:kern w:val="0"/>
          <w:sz w:val="20"/>
          <w:szCs w:val="20"/>
          <w:lang w:eastAsia="en-GB"/>
          <w14:ligatures w14:val="none"/>
        </w:rPr>
        <w:t xml:space="preserve"> scale</w:t>
      </w:r>
      <w:r w:rsidRPr="004104CA">
        <w:rPr>
          <w:rFonts w:ascii="Segoe UI" w:eastAsia="Times New Roman" w:hAnsi="Segoe UI" w:cs="Segoe UI"/>
          <w:kern w:val="0"/>
          <w:sz w:val="20"/>
          <w:szCs w:val="20"/>
          <w:lang w:eastAsia="en-GB"/>
          <w14:ligatures w14:val="none"/>
        </w:rPr>
        <w:t xml:space="preserve"> its order size in proportion to the confidence level of the volatility signal</w:t>
      </w:r>
      <w:r w:rsidR="00937781">
        <w:rPr>
          <w:rFonts w:ascii="Segoe UI" w:eastAsia="Times New Roman" w:hAnsi="Segoe UI" w:cs="Segoe UI"/>
          <w:kern w:val="0"/>
          <w:sz w:val="20"/>
          <w:szCs w:val="20"/>
          <w:lang w:eastAsia="en-GB"/>
          <w14:ligatures w14:val="none"/>
        </w:rPr>
        <w:t>, using the Kelly-type sizing</w:t>
      </w:r>
      <w:r w:rsidRPr="004104CA">
        <w:rPr>
          <w:rFonts w:ascii="Segoe UI" w:eastAsia="Times New Roman" w:hAnsi="Segoe UI" w:cs="Segoe UI"/>
          <w:kern w:val="0"/>
          <w:sz w:val="20"/>
          <w:szCs w:val="20"/>
          <w:lang w:eastAsia="en-GB"/>
          <w14:ligatures w14:val="none"/>
        </w:rPr>
        <w:t xml:space="preserve"> (see </w:t>
      </w:r>
      <w:r w:rsidR="00636DC3">
        <w:rPr>
          <w:rFonts w:ascii="Segoe UI" w:eastAsia="Times New Roman" w:hAnsi="Segoe UI" w:cs="Segoe UI"/>
          <w:kern w:val="0"/>
          <w:sz w:val="20"/>
          <w:szCs w:val="20"/>
          <w:lang w:eastAsia="en-GB"/>
          <w14:ligatures w14:val="none"/>
        </w:rPr>
        <w:t>equations</w:t>
      </w:r>
      <w:r w:rsidRPr="004104CA">
        <w:rPr>
          <w:rFonts w:ascii="Segoe UI" w:eastAsia="Times New Roman" w:hAnsi="Segoe UI" w:cs="Segoe UI"/>
          <w:kern w:val="0"/>
          <w:sz w:val="20"/>
          <w:szCs w:val="20"/>
          <w:lang w:eastAsia="en-GB"/>
          <w14:ligatures w14:val="none"/>
        </w:rPr>
        <w:t xml:space="preserve"> </w:t>
      </w:r>
      <w:r w:rsidR="00155152" w:rsidRPr="004104CA">
        <w:rPr>
          <w:rFonts w:ascii="Segoe UI" w:eastAsia="Times New Roman" w:hAnsi="Segoe UI" w:cs="Segoe UI"/>
          <w:kern w:val="0"/>
          <w:sz w:val="20"/>
          <w:szCs w:val="20"/>
          <w:lang w:eastAsia="en-GB"/>
          <w14:ligatures w14:val="none"/>
        </w:rPr>
        <w:t>below</w:t>
      </w:r>
      <w:r w:rsidRPr="004104CA">
        <w:rPr>
          <w:rFonts w:ascii="Segoe UI" w:eastAsia="Times New Roman" w:hAnsi="Segoe UI" w:cs="Segoe UI"/>
          <w:kern w:val="0"/>
          <w:sz w:val="20"/>
          <w:szCs w:val="20"/>
          <w:lang w:eastAsia="en-GB"/>
          <w14:ligatures w14:val="none"/>
        </w:rPr>
        <w:t xml:space="preserve">). With these parameters, the hedge fund can determine whether to buy, sell, or hold </w:t>
      </w:r>
      <w:proofErr w:type="gramStart"/>
      <w:r w:rsidRPr="004104CA">
        <w:rPr>
          <w:rFonts w:ascii="Segoe UI" w:eastAsia="Times New Roman" w:hAnsi="Segoe UI" w:cs="Segoe UI"/>
          <w:kern w:val="0"/>
          <w:sz w:val="20"/>
          <w:szCs w:val="20"/>
          <w:lang w:eastAsia="en-GB"/>
          <w14:ligatures w14:val="none"/>
        </w:rPr>
        <w:t>its</w:t>
      </w:r>
      <w:proofErr w:type="gramEnd"/>
      <w:r w:rsidRPr="004104CA">
        <w:rPr>
          <w:rFonts w:ascii="Segoe UI" w:eastAsia="Times New Roman" w:hAnsi="Segoe UI" w:cs="Segoe UI"/>
          <w:kern w:val="0"/>
          <w:sz w:val="20"/>
          <w:szCs w:val="20"/>
          <w:lang w:eastAsia="en-GB"/>
          <w14:ligatures w14:val="none"/>
        </w:rPr>
        <w:t xml:space="preserve"> position each day. Please see the appendix for the output of these simulated trades</w:t>
      </w:r>
      <w:r w:rsidR="00155152" w:rsidRPr="004104CA">
        <w:rPr>
          <w:rFonts w:ascii="Segoe UI" w:eastAsia="Times New Roman" w:hAnsi="Segoe UI" w:cs="Segoe UI"/>
          <w:kern w:val="0"/>
          <w:sz w:val="20"/>
          <w:szCs w:val="20"/>
          <w:lang w:eastAsia="en-GB"/>
          <w14:ligatures w14:val="none"/>
        </w:rPr>
        <w:t xml:space="preserve"> [16]</w:t>
      </w:r>
      <w:r w:rsidRPr="004104CA">
        <w:rPr>
          <w:rFonts w:ascii="Segoe UI" w:eastAsia="Times New Roman" w:hAnsi="Segoe UI" w:cs="Segoe UI"/>
          <w:kern w:val="0"/>
          <w:sz w:val="20"/>
          <w:szCs w:val="20"/>
          <w:lang w:eastAsia="en-GB"/>
          <w14:ligatures w14:val="none"/>
        </w:rPr>
        <w:t>.</w:t>
      </w:r>
    </w:p>
    <w:p w14:paraId="5CBE8D43" w14:textId="6A1F7AAE" w:rsidR="003368B7" w:rsidRDefault="003368B7" w:rsidP="003368B7">
      <w:pPr>
        <w:spacing w:before="240" w:after="240" w:line="240" w:lineRule="auto"/>
        <w:rPr>
          <w:rFonts w:ascii="Segoe UI" w:eastAsia="Times New Roman" w:hAnsi="Segoe UI" w:cs="Segoe UI"/>
          <w:color w:val="FF0000"/>
          <w:kern w:val="0"/>
          <w:sz w:val="20"/>
          <w:szCs w:val="20"/>
          <w:lang w:eastAsia="en-GB"/>
          <w14:ligatures w14:val="none"/>
        </w:rPr>
      </w:pPr>
      <w:r w:rsidRPr="004104CA">
        <w:rPr>
          <w:rFonts w:ascii="Segoe UI" w:eastAsia="Times New Roman" w:hAnsi="Segoe UI" w:cs="Segoe UI"/>
          <w:color w:val="FF0000"/>
          <w:kern w:val="0"/>
          <w:sz w:val="20"/>
          <w:szCs w:val="20"/>
          <w:lang w:eastAsia="en-GB"/>
          <w14:ligatures w14:val="none"/>
        </w:rPr>
        <w:t>[</w:t>
      </w:r>
      <w:r w:rsidRPr="004104CA">
        <w:rPr>
          <w:rFonts w:ascii="Segoe UI" w:eastAsia="Times New Roman" w:hAnsi="Segoe UI" w:cs="Segoe UI"/>
          <w:color w:val="000000"/>
          <w:kern w:val="0"/>
          <w:sz w:val="20"/>
          <w:szCs w:val="20"/>
          <w:lang w:val="en-US" w:eastAsia="en-GB"/>
          <w14:ligatures w14:val="none"/>
        </w:rPr>
        <w:t xml:space="preserve">Figure </w:t>
      </w:r>
      <w:r w:rsidR="00E8041B">
        <w:rPr>
          <w:rFonts w:ascii="Segoe UI" w:eastAsia="Times New Roman" w:hAnsi="Segoe UI" w:cs="Segoe UI"/>
          <w:color w:val="000000"/>
          <w:kern w:val="0"/>
          <w:sz w:val="20"/>
          <w:szCs w:val="20"/>
          <w:lang w:val="en-US" w:eastAsia="en-GB"/>
          <w14:ligatures w14:val="none"/>
        </w:rPr>
        <w:t>23</w:t>
      </w:r>
      <w:r w:rsidR="00636DC3">
        <w:rPr>
          <w:rFonts w:ascii="Segoe UI" w:eastAsia="Times New Roman" w:hAnsi="Segoe UI" w:cs="Segoe UI"/>
          <w:color w:val="000000"/>
          <w:kern w:val="0"/>
          <w:sz w:val="20"/>
          <w:szCs w:val="20"/>
          <w:lang w:val="en-US" w:eastAsia="en-GB"/>
          <w14:ligatures w14:val="none"/>
        </w:rPr>
        <w:t xml:space="preserve">. </w:t>
      </w:r>
      <w:r w:rsidRPr="004104CA">
        <w:rPr>
          <w:rFonts w:ascii="Segoe UI" w:eastAsia="Times New Roman" w:hAnsi="Segoe UI" w:cs="Segoe UI"/>
          <w:color w:val="FF0000"/>
          <w:kern w:val="0"/>
          <w:sz w:val="20"/>
          <w:szCs w:val="20"/>
          <w:lang w:eastAsia="en-GB"/>
          <w14:ligatures w14:val="none"/>
        </w:rPr>
        <w:t>Order t formula]</w:t>
      </w:r>
    </w:p>
    <w:p w14:paraId="5BAC1F09" w14:textId="03CA9FB7" w:rsidR="00E8041B" w:rsidRPr="004104CA" w:rsidRDefault="00E8041B" w:rsidP="003368B7">
      <w:pPr>
        <w:spacing w:before="240" w:after="240" w:line="240" w:lineRule="auto"/>
        <w:rPr>
          <w:rFonts w:ascii="Segoe UI" w:eastAsia="Times New Roman" w:hAnsi="Segoe UI" w:cs="Segoe UI"/>
          <w:color w:val="FF0000"/>
          <w:kern w:val="0"/>
          <w:sz w:val="20"/>
          <w:szCs w:val="20"/>
          <w:lang w:eastAsia="en-GB"/>
          <w14:ligatures w14:val="none"/>
        </w:rPr>
      </w:pPr>
      <w:r w:rsidRPr="004104CA">
        <w:rPr>
          <w:rFonts w:ascii="Segoe UI" w:eastAsia="Times New Roman" w:hAnsi="Segoe UI" w:cs="Segoe UI"/>
          <w:color w:val="FF0000"/>
          <w:kern w:val="0"/>
          <w:sz w:val="20"/>
          <w:szCs w:val="20"/>
          <w:lang w:eastAsia="en-GB"/>
          <w14:ligatures w14:val="none"/>
        </w:rPr>
        <w:t>[</w:t>
      </w:r>
      <w:r w:rsidRPr="004104CA">
        <w:rPr>
          <w:rFonts w:ascii="Segoe UI" w:eastAsia="Times New Roman" w:hAnsi="Segoe UI" w:cs="Segoe UI"/>
          <w:color w:val="000000"/>
          <w:kern w:val="0"/>
          <w:sz w:val="20"/>
          <w:szCs w:val="20"/>
          <w:lang w:val="en-US" w:eastAsia="en-GB"/>
          <w14:ligatures w14:val="none"/>
        </w:rPr>
        <w:t xml:space="preserve">Figure </w:t>
      </w:r>
      <w:r>
        <w:rPr>
          <w:rFonts w:ascii="Segoe UI" w:eastAsia="Times New Roman" w:hAnsi="Segoe UI" w:cs="Segoe UI"/>
          <w:color w:val="000000"/>
          <w:kern w:val="0"/>
          <w:sz w:val="20"/>
          <w:szCs w:val="20"/>
          <w:lang w:val="en-US" w:eastAsia="en-GB"/>
          <w14:ligatures w14:val="none"/>
        </w:rPr>
        <w:t xml:space="preserve">24. </w:t>
      </w:r>
      <w:r w:rsidR="00A6539A">
        <w:rPr>
          <w:rFonts w:ascii="Segoe UI" w:eastAsia="Times New Roman" w:hAnsi="Segoe UI" w:cs="Segoe UI"/>
          <w:color w:val="FF0000"/>
          <w:kern w:val="0"/>
          <w:sz w:val="20"/>
          <w:szCs w:val="20"/>
          <w:lang w:eastAsia="en-GB"/>
          <w14:ligatures w14:val="none"/>
        </w:rPr>
        <w:t>Kelly type sizing</w:t>
      </w:r>
      <w:r w:rsidRPr="004104CA">
        <w:rPr>
          <w:rFonts w:ascii="Segoe UI" w:eastAsia="Times New Roman" w:hAnsi="Segoe UI" w:cs="Segoe UI"/>
          <w:color w:val="FF0000"/>
          <w:kern w:val="0"/>
          <w:sz w:val="20"/>
          <w:szCs w:val="20"/>
          <w:lang w:eastAsia="en-GB"/>
          <w14:ligatures w14:val="none"/>
        </w:rPr>
        <w:t xml:space="preserve"> formula]</w:t>
      </w:r>
    </w:p>
    <w:p w14:paraId="121E82D0" w14:textId="03ED4EA1" w:rsidR="00156005" w:rsidRPr="004104CA" w:rsidRDefault="00156005" w:rsidP="00156005">
      <w:pPr>
        <w:spacing w:after="0"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kern w:val="0"/>
          <w:sz w:val="20"/>
          <w:szCs w:val="20"/>
          <w:lang w:eastAsia="en-GB"/>
          <w14:ligatures w14:val="none"/>
        </w:rPr>
        <w:t>While the XGBoost-based model performed well given the features and parameters on which it was trained, there are several avenues that could further enhance forecasting accuracy and scope. Additional features such as US crude-oil inventory levels, OPEC production cuts, and oil-market sentiment metrics could be incorporated to improve the model’s robustness. The analysis could also be extended to high-frequency data (intra-day and hourly price movements) to capture volatility throughout the trading day. By pursuing these improvements in future work, the model could become a more robust, timely, and actionable volatility estimator.</w:t>
      </w:r>
    </w:p>
    <w:p w14:paraId="2C40AC7E" w14:textId="77777777" w:rsidR="00156005" w:rsidRPr="004104CA" w:rsidRDefault="00156005" w:rsidP="00156005">
      <w:pPr>
        <w:spacing w:after="0" w:line="240" w:lineRule="auto"/>
        <w:rPr>
          <w:rFonts w:ascii="Segoe UI" w:eastAsia="Times New Roman" w:hAnsi="Segoe UI" w:cs="Segoe UI"/>
          <w:kern w:val="0"/>
          <w:sz w:val="20"/>
          <w:szCs w:val="20"/>
          <w:lang w:eastAsia="en-GB"/>
          <w14:ligatures w14:val="none"/>
        </w:rPr>
      </w:pPr>
    </w:p>
    <w:p w14:paraId="34E80735" w14:textId="77777777" w:rsidR="0011466D" w:rsidRPr="004104CA" w:rsidRDefault="0011466D" w:rsidP="0011466D">
      <w:pPr>
        <w:spacing w:line="240" w:lineRule="auto"/>
        <w:rPr>
          <w:rFonts w:ascii="Segoe UI" w:eastAsia="Times New Roman" w:hAnsi="Segoe UI" w:cs="Segoe UI"/>
          <w:color w:val="000000"/>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Appendices</w:t>
      </w:r>
    </w:p>
    <w:p w14:paraId="6C2DC432" w14:textId="6F1B788E" w:rsidR="003368B7" w:rsidRPr="004104CA" w:rsidRDefault="003368B7" w:rsidP="0011466D">
      <w:pPr>
        <w:spacing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I. </w:t>
      </w:r>
      <w:r w:rsidR="004104CA" w:rsidRPr="004104CA">
        <w:rPr>
          <w:rFonts w:ascii="Segoe UI" w:eastAsia="Times New Roman" w:hAnsi="Segoe UI" w:cs="Segoe UI"/>
          <w:color w:val="000000"/>
          <w:kern w:val="0"/>
          <w:sz w:val="20"/>
          <w:szCs w:val="20"/>
          <w:lang w:eastAsia="en-GB"/>
          <w14:ligatures w14:val="none"/>
        </w:rPr>
        <w:t>Referenced</w:t>
      </w:r>
      <w:r w:rsidRPr="004104CA">
        <w:rPr>
          <w:rFonts w:ascii="Segoe UI" w:eastAsia="Times New Roman" w:hAnsi="Segoe UI" w:cs="Segoe UI"/>
          <w:color w:val="000000"/>
          <w:kern w:val="0"/>
          <w:sz w:val="20"/>
          <w:szCs w:val="20"/>
          <w:lang w:eastAsia="en-GB"/>
          <w14:ligatures w14:val="none"/>
        </w:rPr>
        <w:t xml:space="preserve"> literature</w:t>
      </w:r>
    </w:p>
    <w:p w14:paraId="44695BF0"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lastRenderedPageBreak/>
        <w:t>[1] Salt Financial, The Layman’s Guide to Volatility Forecasting (New York: Salt Financial, May 2021), [html](https://saltfinancial.com/static/uploads/2021/05/The%20Laymans%20Guide%20to%20Volatility%20Forecasting.pdf).</w:t>
      </w:r>
    </w:p>
    <w:p w14:paraId="18F8DE4E"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[2] Jain, Akshay. “Advantages and Disadvantages of Logistic Regression in Machine Learning.” Medium (blog). July 22, 2020. [html](https://medium.com/@akshayjain_757396/advantages-and-disadvantages-of-logistic-regression-in-machine-learning-a6a247e42b20).</w:t>
      </w:r>
    </w:p>
    <w:p w14:paraId="1E752131"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[3] </w:t>
      </w:r>
      <w:proofErr w:type="spellStart"/>
      <w:r w:rsidRPr="004104CA">
        <w:rPr>
          <w:rFonts w:ascii="Segoe UI" w:eastAsia="Times New Roman" w:hAnsi="Segoe UI" w:cs="Segoe UI"/>
          <w:color w:val="000000"/>
          <w:kern w:val="0"/>
          <w:sz w:val="20"/>
          <w:szCs w:val="20"/>
          <w:lang w:eastAsia="en-GB"/>
          <w14:ligatures w14:val="none"/>
        </w:rPr>
        <w:t>GeeksforGeeks</w:t>
      </w:r>
      <w:proofErr w:type="spellEnd"/>
      <w:r w:rsidRPr="004104CA">
        <w:rPr>
          <w:rFonts w:ascii="Segoe UI" w:eastAsia="Times New Roman" w:hAnsi="Segoe UI" w:cs="Segoe UI"/>
          <w:color w:val="000000"/>
          <w:kern w:val="0"/>
          <w:sz w:val="20"/>
          <w:szCs w:val="20"/>
          <w:lang w:eastAsia="en-GB"/>
          <w14:ligatures w14:val="none"/>
        </w:rPr>
        <w:t xml:space="preserve">. “Understanding Logistic Regression.” </w:t>
      </w:r>
      <w:proofErr w:type="gramStart"/>
      <w:r w:rsidRPr="004104CA">
        <w:rPr>
          <w:rFonts w:ascii="Segoe UI" w:eastAsia="Times New Roman" w:hAnsi="Segoe UI" w:cs="Segoe UI"/>
          <w:color w:val="000000"/>
          <w:kern w:val="0"/>
          <w:sz w:val="20"/>
          <w:szCs w:val="20"/>
          <w:lang w:eastAsia="en-GB"/>
          <w14:ligatures w14:val="none"/>
        </w:rPr>
        <w:t>GeeksforGeeks.[</w:t>
      </w:r>
      <w:proofErr w:type="gramEnd"/>
      <w:r w:rsidRPr="004104CA">
        <w:rPr>
          <w:rFonts w:ascii="Segoe UI" w:eastAsia="Times New Roman" w:hAnsi="Segoe UI" w:cs="Segoe UI"/>
          <w:color w:val="000000"/>
          <w:kern w:val="0"/>
          <w:sz w:val="20"/>
          <w:szCs w:val="20"/>
          <w:lang w:eastAsia="en-GB"/>
          <w14:ligatures w14:val="none"/>
        </w:rPr>
        <w:t>html](https://www.geeksforgeeks.org/understanding-logistic-regression/).</w:t>
      </w:r>
    </w:p>
    <w:p w14:paraId="0E8719E3" w14:textId="5B4A7F17" w:rsidR="0011466D" w:rsidRPr="004104CA" w:rsidRDefault="00636DC3" w:rsidP="0011466D">
      <w:pPr>
        <w:spacing w:line="240" w:lineRule="auto"/>
        <w:ind w:left="720" w:hanging="360"/>
        <w:rPr>
          <w:rFonts w:ascii="Segoe UI" w:eastAsia="Times New Roman" w:hAnsi="Segoe UI" w:cs="Segoe UI"/>
          <w:kern w:val="0"/>
          <w:sz w:val="20"/>
          <w:szCs w:val="20"/>
          <w:lang w:eastAsia="en-GB"/>
          <w14:ligatures w14:val="none"/>
        </w:rPr>
      </w:pPr>
      <w:r>
        <w:rPr>
          <w:rFonts w:ascii="Segoe UI" w:eastAsia="Times New Roman" w:hAnsi="Segoe UI" w:cs="Segoe UI"/>
          <w:color w:val="000000"/>
          <w:kern w:val="0"/>
          <w:sz w:val="20"/>
          <w:szCs w:val="20"/>
          <w:lang w:eastAsia="en-GB"/>
          <w14:ligatures w14:val="none"/>
        </w:rPr>
        <w:t>[4] IBM.</w:t>
      </w:r>
      <w:r w:rsidR="0011466D" w:rsidRPr="004104CA">
        <w:rPr>
          <w:rFonts w:ascii="Segoe UI" w:eastAsia="Times New Roman" w:hAnsi="Segoe UI" w:cs="Segoe UI"/>
          <w:color w:val="000000"/>
          <w:kern w:val="0"/>
          <w:sz w:val="20"/>
          <w:szCs w:val="20"/>
          <w:lang w:eastAsia="en-GB"/>
          <w14:ligatures w14:val="none"/>
        </w:rPr>
        <w:t xml:space="preserve"> “What is the k-nearest </w:t>
      </w:r>
      <w:proofErr w:type="spellStart"/>
      <w:r w:rsidR="0011466D" w:rsidRPr="004104CA">
        <w:rPr>
          <w:rFonts w:ascii="Segoe UI" w:eastAsia="Times New Roman" w:hAnsi="Segoe UI" w:cs="Segoe UI"/>
          <w:color w:val="000000"/>
          <w:kern w:val="0"/>
          <w:sz w:val="20"/>
          <w:szCs w:val="20"/>
          <w:lang w:eastAsia="en-GB"/>
          <w14:ligatures w14:val="none"/>
        </w:rPr>
        <w:t>neighbors</w:t>
      </w:r>
      <w:proofErr w:type="spellEnd"/>
      <w:r w:rsidR="0011466D" w:rsidRPr="004104CA">
        <w:rPr>
          <w:rFonts w:ascii="Segoe UI" w:eastAsia="Times New Roman" w:hAnsi="Segoe UI" w:cs="Segoe UI"/>
          <w:color w:val="000000"/>
          <w:kern w:val="0"/>
          <w:sz w:val="20"/>
          <w:szCs w:val="20"/>
          <w:lang w:eastAsia="en-GB"/>
          <w14:ligatures w14:val="none"/>
        </w:rPr>
        <w:t xml:space="preserve"> (KNN) algorithm?” IBM Think Blog. Accessed March 25, 2025. [html](https://www.ibm.com/think/topics/knn).</w:t>
      </w:r>
    </w:p>
    <w:p w14:paraId="6FF8DF12"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[5] Inside Learning Machines. “Advantages and Disadvantages of Decision Trees.” Inside Learning Machines. [html](https://insidelearningmachines.com/advantages_and_disadvantages_of_decision_trees/).</w:t>
      </w:r>
    </w:p>
    <w:p w14:paraId="3992ABED"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[6] </w:t>
      </w:r>
      <w:proofErr w:type="spellStart"/>
      <w:r w:rsidRPr="004104CA">
        <w:rPr>
          <w:rFonts w:ascii="Segoe UI" w:eastAsia="Times New Roman" w:hAnsi="Segoe UI" w:cs="Segoe UI"/>
          <w:color w:val="000000"/>
          <w:kern w:val="0"/>
          <w:sz w:val="20"/>
          <w:szCs w:val="20"/>
          <w:lang w:eastAsia="en-GB"/>
          <w14:ligatures w14:val="none"/>
        </w:rPr>
        <w:t>GeeksforGeeks</w:t>
      </w:r>
      <w:proofErr w:type="spellEnd"/>
      <w:r w:rsidRPr="004104CA">
        <w:rPr>
          <w:rFonts w:ascii="Segoe UI" w:eastAsia="Times New Roman" w:hAnsi="Segoe UI" w:cs="Segoe UI"/>
          <w:color w:val="000000"/>
          <w:kern w:val="0"/>
          <w:sz w:val="20"/>
          <w:szCs w:val="20"/>
          <w:lang w:eastAsia="en-GB"/>
          <w14:ligatures w14:val="none"/>
        </w:rPr>
        <w:t xml:space="preserve">. “Random Forest Algorithm in Machine Learning.” </w:t>
      </w:r>
      <w:proofErr w:type="spellStart"/>
      <w:r w:rsidRPr="004104CA">
        <w:rPr>
          <w:rFonts w:ascii="Segoe UI" w:eastAsia="Times New Roman" w:hAnsi="Segoe UI" w:cs="Segoe UI"/>
          <w:color w:val="000000"/>
          <w:kern w:val="0"/>
          <w:sz w:val="20"/>
          <w:szCs w:val="20"/>
          <w:lang w:eastAsia="en-GB"/>
          <w14:ligatures w14:val="none"/>
        </w:rPr>
        <w:t>GeeksforGeeks</w:t>
      </w:r>
      <w:proofErr w:type="spellEnd"/>
      <w:r w:rsidRPr="004104CA">
        <w:rPr>
          <w:rFonts w:ascii="Segoe UI" w:eastAsia="Times New Roman" w:hAnsi="Segoe UI" w:cs="Segoe UI"/>
          <w:color w:val="000000"/>
          <w:kern w:val="0"/>
          <w:sz w:val="20"/>
          <w:szCs w:val="20"/>
          <w:lang w:eastAsia="en-GB"/>
          <w14:ligatures w14:val="none"/>
        </w:rPr>
        <w:t>. Last updated January 16, 2025. [html](https://www.geeksforgeeks.org/random-forest-algorithm-in-machine-learning/). </w:t>
      </w:r>
    </w:p>
    <w:p w14:paraId="4ADA7CA3"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[7] </w:t>
      </w:r>
      <w:proofErr w:type="spellStart"/>
      <w:r w:rsidRPr="004104CA">
        <w:rPr>
          <w:rFonts w:ascii="Segoe UI" w:eastAsia="Times New Roman" w:hAnsi="Segoe UI" w:cs="Segoe UI"/>
          <w:color w:val="000000"/>
          <w:kern w:val="0"/>
          <w:sz w:val="20"/>
          <w:szCs w:val="20"/>
          <w:lang w:eastAsia="en-GB"/>
          <w14:ligatures w14:val="none"/>
        </w:rPr>
        <w:t>GeeksforGeeks</w:t>
      </w:r>
      <w:proofErr w:type="spellEnd"/>
      <w:r w:rsidRPr="004104CA">
        <w:rPr>
          <w:rFonts w:ascii="Segoe UI" w:eastAsia="Times New Roman" w:hAnsi="Segoe UI" w:cs="Segoe UI"/>
          <w:color w:val="000000"/>
          <w:kern w:val="0"/>
          <w:sz w:val="20"/>
          <w:szCs w:val="20"/>
          <w:lang w:eastAsia="en-GB"/>
          <w14:ligatures w14:val="none"/>
        </w:rPr>
        <w:t xml:space="preserve">. “Support Vector Machine (SVM) Algorithm.” </w:t>
      </w:r>
      <w:proofErr w:type="spellStart"/>
      <w:r w:rsidRPr="004104CA">
        <w:rPr>
          <w:rFonts w:ascii="Segoe UI" w:eastAsia="Times New Roman" w:hAnsi="Segoe UI" w:cs="Segoe UI"/>
          <w:color w:val="000000"/>
          <w:kern w:val="0"/>
          <w:sz w:val="20"/>
          <w:szCs w:val="20"/>
          <w:lang w:eastAsia="en-GB"/>
          <w14:ligatures w14:val="none"/>
        </w:rPr>
        <w:t>GeeksforGeeks</w:t>
      </w:r>
      <w:proofErr w:type="spellEnd"/>
      <w:r w:rsidRPr="004104CA">
        <w:rPr>
          <w:rFonts w:ascii="Segoe UI" w:eastAsia="Times New Roman" w:hAnsi="Segoe UI" w:cs="Segoe UI"/>
          <w:color w:val="000000"/>
          <w:kern w:val="0"/>
          <w:sz w:val="20"/>
          <w:szCs w:val="20"/>
          <w:lang w:eastAsia="en-GB"/>
          <w14:ligatures w14:val="none"/>
        </w:rPr>
        <w:t>. Last updated January 27, 2025. https://www.geeksforgeeks.org/support-vector-machine-algorithm/. </w:t>
      </w:r>
    </w:p>
    <w:p w14:paraId="3AEC5561"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[8] Analytics Vidhya. “The Mathematics Behind SVM.” Analytics </w:t>
      </w:r>
      <w:proofErr w:type="spellStart"/>
      <w:r w:rsidRPr="004104CA">
        <w:rPr>
          <w:rFonts w:ascii="Segoe UI" w:eastAsia="Times New Roman" w:hAnsi="Segoe UI" w:cs="Segoe UI"/>
          <w:color w:val="000000"/>
          <w:kern w:val="0"/>
          <w:sz w:val="20"/>
          <w:szCs w:val="20"/>
          <w:lang w:eastAsia="en-GB"/>
          <w14:ligatures w14:val="none"/>
        </w:rPr>
        <w:t>Vidhhya</w:t>
      </w:r>
      <w:proofErr w:type="spellEnd"/>
      <w:r w:rsidRPr="004104CA">
        <w:rPr>
          <w:rFonts w:ascii="Segoe UI" w:eastAsia="Times New Roman" w:hAnsi="Segoe UI" w:cs="Segoe UI"/>
          <w:color w:val="000000"/>
          <w:kern w:val="0"/>
          <w:sz w:val="20"/>
          <w:szCs w:val="20"/>
          <w:lang w:eastAsia="en-GB"/>
          <w14:ligatures w14:val="none"/>
        </w:rPr>
        <w:t>, October 2020. https://www.analyticsvidhya.com/blog/2020/10/the-mathematics-behind-svm/. </w:t>
      </w:r>
    </w:p>
    <w:p w14:paraId="17942DC0"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[9] NVIDIA. “XGBoost – What Is It and Why Does It Matter?” NVIDIA Glossary. July 28, 2023. https://www.nvidia.com/en-us/glossary/xgboost/. </w:t>
      </w:r>
    </w:p>
    <w:p w14:paraId="2AABEB7A"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[10] Data Science Team. “What Is Light GBM?” Data Science. Published December 28, 2019. https://datascience.eu/machine-learning/1-what-is-light-gbm/. </w:t>
      </w:r>
    </w:p>
    <w:p w14:paraId="20758129"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[11] Selva Prabhakaran. “How Naive Bayes Algorithm Works? (with example and full code).” Machine Learning Plus. December 3, 2017. https://www.machinelearningplus.com/predictive-modeling/how-naive-bayes-algorithm-works-with-example-and-full-code/. </w:t>
      </w:r>
    </w:p>
    <w:p w14:paraId="56E8D391" w14:textId="1B24ECB9"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[12] IBM. “What Is Linear Discriminant Analysis </w:t>
      </w:r>
      <w:r w:rsidR="00636DC3">
        <w:rPr>
          <w:rFonts w:ascii="Segoe UI" w:eastAsia="Times New Roman" w:hAnsi="Segoe UI" w:cs="Segoe UI"/>
          <w:color w:val="000000"/>
          <w:kern w:val="0"/>
          <w:sz w:val="20"/>
          <w:szCs w:val="20"/>
          <w:lang w:eastAsia="en-GB"/>
          <w14:ligatures w14:val="none"/>
        </w:rPr>
        <w:t>(LDA)?</w:t>
      </w:r>
      <w:r w:rsidRPr="004104CA">
        <w:rPr>
          <w:rFonts w:ascii="Segoe UI" w:eastAsia="Times New Roman" w:hAnsi="Segoe UI" w:cs="Segoe UI"/>
          <w:color w:val="000000"/>
          <w:kern w:val="0"/>
          <w:sz w:val="20"/>
          <w:szCs w:val="20"/>
          <w:lang w:eastAsia="en-GB"/>
          <w14:ligatures w14:val="none"/>
        </w:rPr>
        <w:t>” IBM Think. Published November 27, 2023. https://www.ibm.com/think/topics/linear-discriminant-analysis. </w:t>
      </w:r>
    </w:p>
    <w:p w14:paraId="3D093B11"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[13] Learn Statistics Easily. “What Is: Area Under Curve.” Learn Statistics Easily. 2025. https://statisticseasily.com/glossario/what-is-area-under-curve-a-comprehensive-guide/. </w:t>
      </w:r>
    </w:p>
    <w:p w14:paraId="262BC967" w14:textId="77777777" w:rsidR="0011466D" w:rsidRPr="004104CA" w:rsidRDefault="0011466D" w:rsidP="0011466D">
      <w:pPr>
        <w:spacing w:line="240" w:lineRule="auto"/>
        <w:ind w:left="720" w:hanging="360"/>
        <w:rPr>
          <w:rFonts w:ascii="Segoe UI" w:eastAsia="Times New Roman" w:hAnsi="Segoe UI" w:cs="Segoe UI"/>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[14] Neptune.ai. “Balanced Accuracy.” Neptune.ai (blog). Published October 22, 2024. [html](https://neptune.ai/blog/balanced-accuracy)</w:t>
      </w:r>
    </w:p>
    <w:p w14:paraId="540F2377" w14:textId="5CA020F5" w:rsidR="003368B7" w:rsidRPr="004104CA" w:rsidRDefault="0011466D" w:rsidP="004104CA">
      <w:pPr>
        <w:spacing w:after="240" w:line="240" w:lineRule="auto"/>
        <w:rPr>
          <w:rFonts w:ascii="Segoe UI" w:eastAsia="Times New Roman" w:hAnsi="Segoe UI" w:cs="Segoe UI"/>
          <w:kern w:val="0"/>
          <w:sz w:val="20"/>
          <w:szCs w:val="20"/>
          <w:lang w:eastAsia="en-GB"/>
          <w14:ligatures w14:val="none"/>
        </w:rPr>
      </w:pPr>
      <w:r w:rsidRPr="004104CA">
        <w:rPr>
          <w:rFonts w:ascii="Segoe UI" w:eastAsia="Times New Roman" w:hAnsi="Segoe UI" w:cs="Segoe UI"/>
          <w:kern w:val="0"/>
          <w:sz w:val="20"/>
          <w:szCs w:val="20"/>
          <w:lang w:eastAsia="en-GB"/>
          <w14:ligatures w14:val="none"/>
        </w:rPr>
        <w:br/>
      </w:r>
      <w:r w:rsidR="003368B7" w:rsidRPr="004104CA">
        <w:rPr>
          <w:rFonts w:ascii="Segoe UI" w:hAnsi="Segoe UI" w:cs="Segoe UI"/>
          <w:sz w:val="20"/>
          <w:szCs w:val="20"/>
        </w:rPr>
        <w:t>II. Additional data</w:t>
      </w:r>
    </w:p>
    <w:p w14:paraId="50E7E42C" w14:textId="64FAACAE" w:rsidR="003368B7" w:rsidRPr="004104CA" w:rsidRDefault="00C30FFD" w:rsidP="003368B7">
      <w:pPr>
        <w:spacing w:before="240" w:after="240" w:line="240" w:lineRule="auto"/>
        <w:rPr>
          <w:rFonts w:ascii="Segoe UI" w:eastAsia="Times New Roman" w:hAnsi="Segoe UI" w:cs="Segoe UI"/>
          <w:color w:val="FF0000"/>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[15] </w:t>
      </w:r>
      <w:r w:rsidR="003368B7" w:rsidRPr="004104CA">
        <w:rPr>
          <w:rFonts w:ascii="Segoe UI" w:eastAsia="Times New Roman" w:hAnsi="Segoe UI" w:cs="Segoe UI"/>
          <w:color w:val="FF0000"/>
          <w:kern w:val="0"/>
          <w:sz w:val="20"/>
          <w:szCs w:val="20"/>
          <w:lang w:eastAsia="en-GB"/>
          <w14:ligatures w14:val="none"/>
        </w:rPr>
        <w:t>[</w:t>
      </w:r>
      <w:r w:rsidR="003368B7" w:rsidRPr="004104CA">
        <w:rPr>
          <w:rFonts w:ascii="Segoe UI" w:eastAsia="Times New Roman" w:hAnsi="Segoe UI" w:cs="Segoe UI"/>
          <w:color w:val="000000"/>
          <w:kern w:val="0"/>
          <w:sz w:val="20"/>
          <w:szCs w:val="20"/>
          <w:lang w:val="en-US" w:eastAsia="en-GB"/>
          <w14:ligatures w14:val="none"/>
        </w:rPr>
        <w:t xml:space="preserve">Figure </w:t>
      </w:r>
      <w:r w:rsidR="00962742">
        <w:rPr>
          <w:rFonts w:ascii="Segoe UI" w:eastAsia="Times New Roman" w:hAnsi="Segoe UI" w:cs="Segoe UI"/>
          <w:color w:val="000000"/>
          <w:kern w:val="0"/>
          <w:sz w:val="20"/>
          <w:szCs w:val="20"/>
          <w:lang w:val="en-US" w:eastAsia="en-GB"/>
          <w14:ligatures w14:val="none"/>
        </w:rPr>
        <w:t>25</w:t>
      </w:r>
      <w:r w:rsidR="00636DC3">
        <w:rPr>
          <w:rFonts w:ascii="Segoe UI" w:eastAsia="Times New Roman" w:hAnsi="Segoe UI" w:cs="Segoe UI"/>
          <w:color w:val="000000"/>
          <w:kern w:val="0"/>
          <w:sz w:val="20"/>
          <w:szCs w:val="20"/>
          <w:lang w:val="en-US" w:eastAsia="en-GB"/>
          <w14:ligatures w14:val="none"/>
        </w:rPr>
        <w:t>. Eliminated</w:t>
      </w:r>
      <w:r w:rsidR="003368B7" w:rsidRPr="004104CA">
        <w:rPr>
          <w:rFonts w:ascii="Segoe UI" w:eastAsia="Times New Roman" w:hAnsi="Segoe UI" w:cs="Segoe UI"/>
          <w:color w:val="FF0000"/>
          <w:kern w:val="0"/>
          <w:sz w:val="20"/>
          <w:szCs w:val="20"/>
          <w:lang w:eastAsia="en-GB"/>
          <w14:ligatures w14:val="none"/>
        </w:rPr>
        <w:t xml:space="preserve"> models score summary table]</w:t>
      </w:r>
    </w:p>
    <w:p w14:paraId="297460C2" w14:textId="01047858" w:rsidR="003368B7" w:rsidRPr="004104CA" w:rsidRDefault="00C30FFD" w:rsidP="004104CA">
      <w:pPr>
        <w:spacing w:before="240" w:after="240" w:line="240" w:lineRule="auto"/>
        <w:rPr>
          <w:rFonts w:ascii="Segoe UI" w:eastAsia="Times New Roman" w:hAnsi="Segoe UI" w:cs="Segoe UI"/>
          <w:color w:val="FF0000"/>
          <w:kern w:val="0"/>
          <w:sz w:val="20"/>
          <w:szCs w:val="20"/>
          <w:lang w:eastAsia="en-GB"/>
          <w14:ligatures w14:val="none"/>
        </w:rPr>
      </w:pPr>
      <w:r w:rsidRPr="004104CA">
        <w:rPr>
          <w:rFonts w:ascii="Segoe UI" w:eastAsia="Times New Roman" w:hAnsi="Segoe UI" w:cs="Segoe UI"/>
          <w:color w:val="000000"/>
          <w:kern w:val="0"/>
          <w:sz w:val="20"/>
          <w:szCs w:val="20"/>
          <w:lang w:eastAsia="en-GB"/>
          <w14:ligatures w14:val="none"/>
        </w:rPr>
        <w:t xml:space="preserve">[16] </w:t>
      </w:r>
      <w:r w:rsidR="003368B7" w:rsidRPr="004104CA">
        <w:rPr>
          <w:rFonts w:ascii="Segoe UI" w:eastAsia="Times New Roman" w:hAnsi="Segoe UI" w:cs="Segoe UI"/>
          <w:color w:val="FF0000"/>
          <w:kern w:val="0"/>
          <w:sz w:val="20"/>
          <w:szCs w:val="20"/>
          <w:lang w:eastAsia="en-GB"/>
          <w14:ligatures w14:val="none"/>
        </w:rPr>
        <w:t>[</w:t>
      </w:r>
      <w:r w:rsidR="003368B7" w:rsidRPr="004104CA">
        <w:rPr>
          <w:rFonts w:ascii="Segoe UI" w:eastAsia="Times New Roman" w:hAnsi="Segoe UI" w:cs="Segoe UI"/>
          <w:color w:val="000000"/>
          <w:kern w:val="0"/>
          <w:sz w:val="20"/>
          <w:szCs w:val="20"/>
          <w:lang w:val="en-US" w:eastAsia="en-GB"/>
          <w14:ligatures w14:val="none"/>
        </w:rPr>
        <w:t xml:space="preserve">Figure </w:t>
      </w:r>
      <w:r w:rsidR="00962742">
        <w:rPr>
          <w:rFonts w:ascii="Segoe UI" w:eastAsia="Times New Roman" w:hAnsi="Segoe UI" w:cs="Segoe UI"/>
          <w:color w:val="000000"/>
          <w:kern w:val="0"/>
          <w:sz w:val="20"/>
          <w:szCs w:val="20"/>
          <w:lang w:val="en-US" w:eastAsia="en-GB"/>
          <w14:ligatures w14:val="none"/>
        </w:rPr>
        <w:t>26</w:t>
      </w:r>
      <w:r w:rsidR="00636DC3">
        <w:rPr>
          <w:rFonts w:ascii="Segoe UI" w:eastAsia="Times New Roman" w:hAnsi="Segoe UI" w:cs="Segoe UI"/>
          <w:color w:val="000000"/>
          <w:kern w:val="0"/>
          <w:sz w:val="20"/>
          <w:szCs w:val="20"/>
          <w:lang w:val="en-US" w:eastAsia="en-GB"/>
          <w14:ligatures w14:val="none"/>
        </w:rPr>
        <w:t>. Simulated</w:t>
      </w:r>
      <w:r w:rsidR="003368B7" w:rsidRPr="004104CA">
        <w:rPr>
          <w:rFonts w:ascii="Segoe UI" w:eastAsia="Times New Roman" w:hAnsi="Segoe UI" w:cs="Segoe UI"/>
          <w:color w:val="FF0000"/>
          <w:kern w:val="0"/>
          <w:sz w:val="20"/>
          <w:szCs w:val="20"/>
          <w:lang w:eastAsia="en-GB"/>
          <w14:ligatures w14:val="none"/>
        </w:rPr>
        <w:t xml:space="preserve"> trades table]</w:t>
      </w:r>
    </w:p>
    <w:sectPr w:rsidR="003368B7" w:rsidRPr="004104CA" w:rsidSect="001146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6D"/>
    <w:rsid w:val="0001555E"/>
    <w:rsid w:val="00090040"/>
    <w:rsid w:val="0011466D"/>
    <w:rsid w:val="00155152"/>
    <w:rsid w:val="00156005"/>
    <w:rsid w:val="001B2715"/>
    <w:rsid w:val="003368B7"/>
    <w:rsid w:val="004104CA"/>
    <w:rsid w:val="00482872"/>
    <w:rsid w:val="00636DC3"/>
    <w:rsid w:val="00826721"/>
    <w:rsid w:val="00867376"/>
    <w:rsid w:val="00896DFF"/>
    <w:rsid w:val="008E0429"/>
    <w:rsid w:val="00937781"/>
    <w:rsid w:val="00962742"/>
    <w:rsid w:val="009826AE"/>
    <w:rsid w:val="00A46323"/>
    <w:rsid w:val="00A543C9"/>
    <w:rsid w:val="00A63729"/>
    <w:rsid w:val="00A6539A"/>
    <w:rsid w:val="00C30FFD"/>
    <w:rsid w:val="00E804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56F225"/>
  <w15:chartTrackingRefBased/>
  <w15:docId w15:val="{E152D1B5-E433-044B-B2A0-738178E8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66D"/>
    <w:rPr>
      <w:rFonts w:eastAsiaTheme="majorEastAsia" w:cstheme="majorBidi"/>
      <w:color w:val="272727" w:themeColor="text1" w:themeTint="D8"/>
    </w:rPr>
  </w:style>
  <w:style w:type="paragraph" w:styleId="Title">
    <w:name w:val="Title"/>
    <w:basedOn w:val="Normal"/>
    <w:next w:val="Normal"/>
    <w:link w:val="TitleChar"/>
    <w:uiPriority w:val="10"/>
    <w:qFormat/>
    <w:rsid w:val="0011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66D"/>
    <w:pPr>
      <w:spacing w:before="160"/>
      <w:jc w:val="center"/>
    </w:pPr>
    <w:rPr>
      <w:i/>
      <w:iCs/>
      <w:color w:val="404040" w:themeColor="text1" w:themeTint="BF"/>
    </w:rPr>
  </w:style>
  <w:style w:type="character" w:customStyle="1" w:styleId="QuoteChar">
    <w:name w:val="Quote Char"/>
    <w:basedOn w:val="DefaultParagraphFont"/>
    <w:link w:val="Quote"/>
    <w:uiPriority w:val="29"/>
    <w:rsid w:val="0011466D"/>
    <w:rPr>
      <w:i/>
      <w:iCs/>
      <w:color w:val="404040" w:themeColor="text1" w:themeTint="BF"/>
    </w:rPr>
  </w:style>
  <w:style w:type="paragraph" w:styleId="ListParagraph">
    <w:name w:val="List Paragraph"/>
    <w:basedOn w:val="Normal"/>
    <w:uiPriority w:val="34"/>
    <w:qFormat/>
    <w:rsid w:val="0011466D"/>
    <w:pPr>
      <w:ind w:left="720"/>
      <w:contextualSpacing/>
    </w:pPr>
  </w:style>
  <w:style w:type="character" w:styleId="IntenseEmphasis">
    <w:name w:val="Intense Emphasis"/>
    <w:basedOn w:val="DefaultParagraphFont"/>
    <w:uiPriority w:val="21"/>
    <w:qFormat/>
    <w:rsid w:val="0011466D"/>
    <w:rPr>
      <w:i/>
      <w:iCs/>
      <w:color w:val="0F4761" w:themeColor="accent1" w:themeShade="BF"/>
    </w:rPr>
  </w:style>
  <w:style w:type="paragraph" w:styleId="IntenseQuote">
    <w:name w:val="Intense Quote"/>
    <w:basedOn w:val="Normal"/>
    <w:next w:val="Normal"/>
    <w:link w:val="IntenseQuoteChar"/>
    <w:uiPriority w:val="30"/>
    <w:qFormat/>
    <w:rsid w:val="0011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6D"/>
    <w:rPr>
      <w:i/>
      <w:iCs/>
      <w:color w:val="0F4761" w:themeColor="accent1" w:themeShade="BF"/>
    </w:rPr>
  </w:style>
  <w:style w:type="character" w:styleId="IntenseReference">
    <w:name w:val="Intense Reference"/>
    <w:basedOn w:val="DefaultParagraphFont"/>
    <w:uiPriority w:val="32"/>
    <w:qFormat/>
    <w:rsid w:val="0011466D"/>
    <w:rPr>
      <w:b/>
      <w:bCs/>
      <w:smallCaps/>
      <w:color w:val="0F4761" w:themeColor="accent1" w:themeShade="BF"/>
      <w:spacing w:val="5"/>
    </w:rPr>
  </w:style>
  <w:style w:type="paragraph" w:styleId="NormalWeb">
    <w:name w:val="Normal (Web)"/>
    <w:basedOn w:val="Normal"/>
    <w:uiPriority w:val="99"/>
    <w:semiHidden/>
    <w:unhideWhenUsed/>
    <w:rsid w:val="001146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114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457867">
      <w:bodyDiv w:val="1"/>
      <w:marLeft w:val="0"/>
      <w:marRight w:val="0"/>
      <w:marTop w:val="0"/>
      <w:marBottom w:val="0"/>
      <w:divBdr>
        <w:top w:val="none" w:sz="0" w:space="0" w:color="auto"/>
        <w:left w:val="none" w:sz="0" w:space="0" w:color="auto"/>
        <w:bottom w:val="none" w:sz="0" w:space="0" w:color="auto"/>
        <w:right w:val="none" w:sz="0" w:space="0" w:color="auto"/>
      </w:divBdr>
    </w:div>
    <w:div w:id="207103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Obajemu</dc:creator>
  <cp:keywords/>
  <dc:description/>
  <cp:lastModifiedBy>Michael Obajemu</cp:lastModifiedBy>
  <cp:revision>14</cp:revision>
  <dcterms:created xsi:type="dcterms:W3CDTF">2025-05-10T17:02:00Z</dcterms:created>
  <dcterms:modified xsi:type="dcterms:W3CDTF">2025-05-11T20:40:00Z</dcterms:modified>
</cp:coreProperties>
</file>