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Myrmidon 文档评审报告</w:t>
      </w:r>
    </w:p>
    <w:p>
      <w:pPr>
        <w:jc w:val="left"/>
      </w:pPr>
      <w:r>
        <w:rPr>
          <w:i/>
          <w:color w:val="5A6978"/>
          <w:sz w:val="22"/>
        </w:rPr>
        <w:t>技术架构、研发立项与商业可行性综合评审</w:t>
      </w:r>
    </w:p>
    <w:p>
      <w:r>
        <w:t>版本：0.2（评审修订稿）  |  日期：2026-10-10</w:t>
      </w:r>
    </w:p>
    <w:p>
      <w:pPr>
        <w:pStyle w:val="Heading1"/>
      </w:pPr>
      <w:r>
        <w:t>1. 总体结论</w:t>
      </w:r>
    </w:p>
    <w:p>
      <w:r>
        <w:t>评审结论：建议有条件立项，先做范围严格受控的 MVP，再决定是否扩展为通用 Project OS。原始文档的战略方向有价值，但当前版本把愿景、设计假设和已验证事实混在一起，部分协议与基础设施的职责边界也不够清楚。本文将其整理为可执行的修订建议。</w:t>
      </w:r>
    </w:p>
    <w:tbl>
      <w:tblPr>
        <w:tblStyle w:val="LightShading-Accent1"/>
        <w:tblW w:type="auto" w:w="0"/>
        <w:tblLook w:firstColumn="1" w:firstRow="1" w:lastColumn="0" w:lastRow="0" w:noHBand="0" w:noVBand="1" w:val="04A0"/>
      </w:tblPr>
      <w:tblGrid>
        <w:gridCol w:w="3293"/>
        <w:gridCol w:w="3293"/>
        <w:gridCol w:w="3293"/>
      </w:tblGrid>
      <w:tr>
        <w:tc>
          <w:tcPr>
            <w:tcW w:type="dxa" w:w="3293"/>
          </w:tcPr>
          <w:p>
            <w:r>
              <w:t>评审维度</w:t>
            </w:r>
          </w:p>
        </w:tc>
        <w:tc>
          <w:tcPr>
            <w:tcW w:type="dxa" w:w="3293"/>
          </w:tcPr>
          <w:p>
            <w:r>
              <w:t>结论</w:t>
            </w:r>
          </w:p>
        </w:tc>
        <w:tc>
          <w:tcPr>
            <w:tcW w:type="dxa" w:w="3293"/>
          </w:tcPr>
          <w:p>
            <w:r>
              <w:t>关键判断</w:t>
            </w:r>
          </w:p>
        </w:tc>
      </w:tr>
      <w:tr>
        <w:tc>
          <w:tcPr>
            <w:tcW w:type="dxa" w:w="3293"/>
          </w:tcPr>
          <w:p>
            <w:r>
              <w:t>产品战略</w:t>
            </w:r>
          </w:p>
        </w:tc>
        <w:tc>
          <w:tcPr>
            <w:tcW w:type="dxa" w:w="3293"/>
          </w:tcPr>
          <w:p>
            <w:r>
              <w:t>保留并聚焦</w:t>
            </w:r>
          </w:p>
        </w:tc>
        <w:tc>
          <w:tcPr>
            <w:tcW w:type="dxa" w:w="3293"/>
          </w:tcPr>
          <w:p>
            <w:r>
              <w:t>Project-centric、Evidence-first、Human Authority、Rework/Fork 是核心差异化。</w:t>
            </w:r>
          </w:p>
        </w:tc>
      </w:tr>
      <w:tr>
        <w:tc>
          <w:tcPr>
            <w:tcW w:type="dxa" w:w="3293"/>
          </w:tcPr>
          <w:p>
            <w:r>
              <w:t>领域模型</w:t>
            </w:r>
          </w:p>
        </w:tc>
        <w:tc>
          <w:tcPr>
            <w:tcW w:type="dxa" w:w="3293"/>
          </w:tcPr>
          <w:p>
            <w:r>
              <w:t>需要规范化</w:t>
            </w:r>
          </w:p>
        </w:tc>
        <w:tc>
          <w:tcPr>
            <w:tcW w:type="dxa" w:w="3293"/>
          </w:tcPr>
          <w:p>
            <w:r>
              <w:t>WorkItem、Assignment、Execution、Evidence、Verification、Decision、Acceptance 必须有清晰关系。</w:t>
            </w:r>
          </w:p>
        </w:tc>
      </w:tr>
      <w:tr>
        <w:tc>
          <w:tcPr>
            <w:tcW w:type="dxa" w:w="3293"/>
          </w:tcPr>
          <w:p>
            <w:r>
              <w:t>协议与基础设施</w:t>
            </w:r>
          </w:p>
        </w:tc>
        <w:tc>
          <w:tcPr>
            <w:tcW w:type="dxa" w:w="3293"/>
          </w:tcPr>
          <w:p>
            <w:r>
              <w:t>分层使用</w:t>
            </w:r>
          </w:p>
        </w:tc>
        <w:tc>
          <w:tcPr>
            <w:tcW w:type="dxa" w:w="3293"/>
          </w:tcPr>
          <w:p>
            <w:r>
              <w:t>MCP、A2A、Matrix、runtime、sandbox 不属于同一抽象层，不能混为一体。</w:t>
            </w:r>
          </w:p>
        </w:tc>
      </w:tr>
      <w:tr>
        <w:tc>
          <w:tcPr>
            <w:tcW w:type="dxa" w:w="3293"/>
          </w:tcPr>
          <w:p>
            <w:r>
              <w:t>研发可执行性</w:t>
            </w:r>
          </w:p>
        </w:tc>
        <w:tc>
          <w:tcPr>
            <w:tcW w:type="dxa" w:w="3293"/>
          </w:tcPr>
          <w:p>
            <w:r>
              <w:t>尚未达标</w:t>
            </w:r>
          </w:p>
        </w:tc>
        <w:tc>
          <w:tcPr>
            <w:tcW w:type="dxa" w:w="3293"/>
          </w:tcPr>
          <w:p>
            <w:r>
              <w:t>缺少状态转换表、权限矩阵、幂等与恢复语义、MVP 验收测试。</w:t>
            </w:r>
          </w:p>
        </w:tc>
      </w:tr>
      <w:tr>
        <w:tc>
          <w:tcPr>
            <w:tcW w:type="dxa" w:w="3293"/>
          </w:tcPr>
          <w:p>
            <w:r>
              <w:t>商业可行性</w:t>
            </w:r>
          </w:p>
        </w:tc>
        <w:tc>
          <w:tcPr>
            <w:tcW w:type="dxa" w:w="3293"/>
          </w:tcPr>
          <w:p>
            <w:r>
              <w:t>待验证</w:t>
            </w:r>
          </w:p>
        </w:tc>
        <w:tc>
          <w:tcPr>
            <w:tcW w:type="dxa" w:w="3293"/>
          </w:tcPr>
          <w:p>
            <w:r>
              <w:t>定价、TAM、转化率、毛利与竞争优势均需客户访谈和试点数据支撑。</w:t>
            </w:r>
          </w:p>
        </w:tc>
      </w:tr>
    </w:tbl>
    <w:p/>
    <w:p>
      <w:pPr>
        <w:pStyle w:val="Heading1"/>
      </w:pPr>
      <w:r>
        <w:t>2. 必须修正的关键问题</w:t>
      </w:r>
    </w:p>
    <w:p>
      <w:r>
        <w:rPr>
          <w:b/>
        </w:rPr>
        <w:t>P0 — 完成语义存在歧义：</w:t>
      </w:r>
      <w:r>
        <w:t>区分 Agent 声明完成、自动化验证通过、人工验收通过、项目交付完成。建议 Task 状态与 Project 状态分开建模，避免一个状态机承载所有语义。</w:t>
      </w:r>
    </w:p>
    <w:p>
      <w:r>
        <w:rPr>
          <w:b/>
        </w:rPr>
        <w:t>P0 — Evidence 不是自动等于正确性：</w:t>
      </w:r>
      <w:r>
        <w:t>Evidence 只能支持一个 claim；还需记录来源、完整性、适用范围、验证器版本、验证结果和人工裁决。截图或日志不能单独证明业务正确。</w:t>
      </w:r>
    </w:p>
    <w:p>
      <w:r>
        <w:rPr>
          <w:b/>
        </w:rPr>
        <w:t>P0 — Human Authority 需要落实为授权模型：</w:t>
      </w:r>
      <w:r>
        <w:t>定义谁有权 approve/reject/change scope/deliver；权限应按组织、项目、资源、操作和环境分层，并支持委托、撤销和审计。</w:t>
      </w:r>
    </w:p>
    <w:p>
      <w:r>
        <w:rPr>
          <w:b/>
        </w:rPr>
        <w:t>P0 — Execution Branch 的数据语义不完整：</w:t>
      </w:r>
      <w:r>
        <w:t>代码分支、工作区快照、数据库分支和任务重做并非同一件事。MVP 先支持 execution/workspace branch；数据库分支留作后续能力。</w:t>
      </w:r>
    </w:p>
    <w:p>
      <w:r>
        <w:rPr>
          <w:b/>
        </w:rPr>
        <w:t>P1 — Matrix 不能成为业务状态的唯一真相源：</w:t>
      </w:r>
      <w:r>
        <w:t>Matrix 适合作为协作与消息层。Myrmidon 应拥有规范化的领域数据与事件记录，再通过 adapter 同步房间消息。</w:t>
      </w:r>
    </w:p>
    <w:p>
      <w:r>
        <w:rPr>
          <w:b/>
        </w:rPr>
        <w:t>P1 — A2A/MCP 的边界应保持清晰：</w:t>
      </w:r>
      <w:r>
        <w:t>MCP 用于模型/Agent 与工具、资源交互；A2A 用于异构 Agent 间发现与任务协作。Myrmidon 自身的业务状态和验收语义仍由自己的 API/domain model 定义。</w:t>
      </w:r>
    </w:p>
    <w:p>
      <w:r>
        <w:rPr>
          <w:b/>
        </w:rPr>
        <w:t>P1 — 事件溯源不要过度设计：</w:t>
      </w:r>
      <w:r>
        <w:t>MVP 可以采用 PostgreSQL 事务表、领域事件表和投影。先实现审计与可重建视图，不必一开始引入独立消息平台或全量 Event Sourcing 基础设施。</w:t>
      </w:r>
    </w:p>
    <w:p>
      <w:r>
        <w:rPr>
          <w:b/>
        </w:rPr>
        <w:t>P1 — 不能把 AI reviewer 当作最终权威：</w:t>
      </w:r>
      <w:r>
        <w:t>AI Reviewer 可以做低风险预检或提供建议，但最终业务验收权仍按项目策略交给被授权的人类或明确委托的主体。</w:t>
      </w:r>
    </w:p>
    <w:p>
      <w:r>
        <w:rPr>
          <w:b/>
        </w:rPr>
        <w:t>P1 — 商业文档缺少可证伪假设：</w:t>
      </w:r>
      <w:r>
        <w:t>必须明确目标客户、替代方案、购买触发点、愿意付费的结果，以及 3–5 个可验证的试点指标。</w:t>
      </w:r>
    </w:p>
    <w:p>
      <w:pPr>
        <w:pStyle w:val="Heading1"/>
      </w:pPr>
      <w:r>
        <w:t>3. 建议的 MVP 范围</w:t>
      </w:r>
    </w:p>
    <w:p>
      <w:pPr>
        <w:pStyle w:val="ListBullet"/>
      </w:pPr>
      <w:r>
        <w:t>单组织、单项目工作区；一个项目内支持多个 Human 与多个 Agent。</w:t>
      </w:r>
    </w:p>
    <w:p>
      <w:pPr>
        <w:pStyle w:val="ListBullet"/>
      </w:pPr>
      <w:r>
        <w:t>先支持一个或两个执行器适配器，避免同时维护过多 runtime 集成。</w:t>
      </w:r>
    </w:p>
    <w:p>
      <w:pPr>
        <w:pStyle w:val="ListBullet"/>
      </w:pPr>
      <w:r>
        <w:t>核心对象：Project、Requirement、WorkItem、Assignment、Execution、Artifact、Evidence、Verification、Decision、Acceptance。</w:t>
      </w:r>
    </w:p>
    <w:p>
      <w:pPr>
        <w:pStyle w:val="ListBullet"/>
      </w:pPr>
      <w:r>
        <w:t>完成闭环：Agent claim done → 自动化检查 → needs_human_review → approve/reject → rework → acceptance。</w:t>
      </w:r>
    </w:p>
    <w:p>
      <w:pPr>
        <w:pStyle w:val="ListBullet"/>
      </w:pPr>
      <w:r>
        <w:t>Evidence 先覆盖 Git commit/PR、测试结果、执行日志和人工观察记录。</w:t>
      </w:r>
    </w:p>
    <w:p>
      <w:pPr>
        <w:pStyle w:val="ListBullet"/>
      </w:pPr>
      <w:r>
        <w:t>Execution branch 先实现新工作区/新执行尝试与父子关系，不承诺通用数据库快照或跨运行时 checkpoint。</w:t>
      </w:r>
    </w:p>
    <w:p>
      <w:pPr>
        <w:pStyle w:val="ListBullet"/>
      </w:pPr>
      <w:r>
        <w:t>提供 CLI/TUI 与最小 Web 审核界面；Matrix 先做通知/协作适配器，不作为强依赖。</w:t>
      </w:r>
    </w:p>
    <w:p>
      <w:pPr>
        <w:pStyle w:val="Heading1"/>
      </w:pPr>
      <w:r>
        <w:t>4. 必须补齐的工程规范</w:t>
      </w:r>
    </w:p>
    <w:tbl>
      <w:tblPr>
        <w:tblStyle w:val="LightShading-Accent1"/>
        <w:tblW w:type="auto" w:w="0"/>
        <w:tblLook w:firstColumn="1" w:firstRow="1" w:lastColumn="0" w:lastRow="0" w:noHBand="0" w:noVBand="1" w:val="04A0"/>
      </w:tblPr>
      <w:tblGrid>
        <w:gridCol w:w="4939"/>
        <w:gridCol w:w="4939"/>
      </w:tblGrid>
      <w:tr>
        <w:tc>
          <w:tcPr>
            <w:tcW w:type="dxa" w:w="4939"/>
          </w:tcPr>
          <w:p>
            <w:r>
              <w:t>规范</w:t>
            </w:r>
          </w:p>
        </w:tc>
        <w:tc>
          <w:tcPr>
            <w:tcW w:type="dxa" w:w="4939"/>
          </w:tcPr>
          <w:p>
            <w:r>
              <w:t>最小要求</w:t>
            </w:r>
          </w:p>
        </w:tc>
      </w:tr>
      <w:tr>
        <w:tc>
          <w:tcPr>
            <w:tcW w:type="dxa" w:w="4939"/>
          </w:tcPr>
          <w:p>
            <w:r>
              <w:t>状态机</w:t>
            </w:r>
          </w:p>
        </w:tc>
        <w:tc>
          <w:tcPr>
            <w:tcW w:type="dxa" w:w="4939"/>
          </w:tcPr>
          <w:p>
            <w:r>
              <w:t>每个状态的进入条件、允许动作、退出条件、失败路径与状态所有者。</w:t>
            </w:r>
          </w:p>
        </w:tc>
      </w:tr>
      <w:tr>
        <w:tc>
          <w:tcPr>
            <w:tcW w:type="dxa" w:w="4939"/>
          </w:tcPr>
          <w:p>
            <w:r>
              <w:t>权限</w:t>
            </w:r>
          </w:p>
        </w:tc>
        <w:tc>
          <w:tcPr>
            <w:tcW w:type="dxa" w:w="4939"/>
          </w:tcPr>
          <w:p>
            <w:r>
              <w:t>主体 × 资源 × 动作 × 环境的权限矩阵；拒绝默认优先。</w:t>
            </w:r>
          </w:p>
        </w:tc>
      </w:tr>
      <w:tr>
        <w:tc>
          <w:tcPr>
            <w:tcW w:type="dxa" w:w="4939"/>
          </w:tcPr>
          <w:p>
            <w:r>
              <w:t>Evidence</w:t>
            </w:r>
          </w:p>
        </w:tc>
        <w:tc>
          <w:tcPr>
            <w:tcW w:type="dxa" w:w="4939"/>
          </w:tcPr>
          <w:p>
            <w:r>
              <w:t>claim、evidence type、producer、timestamp、content hash、verifier/version、result、limitations。</w:t>
            </w:r>
          </w:p>
        </w:tc>
      </w:tr>
      <w:tr>
        <w:tc>
          <w:tcPr>
            <w:tcW w:type="dxa" w:w="4939"/>
          </w:tcPr>
          <w:p>
            <w:r>
              <w:t>并发</w:t>
            </w:r>
          </w:p>
        </w:tc>
        <w:tc>
          <w:tcPr>
            <w:tcW w:type="dxa" w:w="4939"/>
          </w:tcPr>
          <w:p>
            <w:r>
              <w:t>task lease、过期回收、幂等命令、重复事件处理、冲突解决策略。</w:t>
            </w:r>
          </w:p>
        </w:tc>
      </w:tr>
      <w:tr>
        <w:tc>
          <w:tcPr>
            <w:tcW w:type="dxa" w:w="4939"/>
          </w:tcPr>
          <w:p>
            <w:r>
              <w:t>恢复</w:t>
            </w:r>
          </w:p>
        </w:tc>
        <w:tc>
          <w:tcPr>
            <w:tcW w:type="dxa" w:w="4939"/>
          </w:tcPr>
          <w:p>
            <w:r>
              <w:t>进程崩溃、runtime 不可用、执行超时、部分产物、人工暂停后的恢复规则。</w:t>
            </w:r>
          </w:p>
        </w:tc>
      </w:tr>
      <w:tr>
        <w:tc>
          <w:tcPr>
            <w:tcW w:type="dxa" w:w="4939"/>
          </w:tcPr>
          <w:p>
            <w:r>
              <w:t>审计</w:t>
            </w:r>
          </w:p>
        </w:tc>
        <w:tc>
          <w:tcPr>
            <w:tcW w:type="dxa" w:w="4939"/>
          </w:tcPr>
          <w:p>
            <w:r>
              <w:t>谁在何时对什么对象做了什么决定、理由是什么、引用了哪些证据。</w:t>
            </w:r>
          </w:p>
        </w:tc>
      </w:tr>
      <w:tr>
        <w:tc>
          <w:tcPr>
            <w:tcW w:type="dxa" w:w="4939"/>
          </w:tcPr>
          <w:p>
            <w:r>
              <w:t>安全</w:t>
            </w:r>
          </w:p>
        </w:tc>
        <w:tc>
          <w:tcPr>
            <w:tcW w:type="dxa" w:w="4939"/>
          </w:tcPr>
          <w:p>
            <w:r>
              <w:t>密钥隔离、最小权限、执行沙箱、危险操作确认、日志脱敏。</w:t>
            </w:r>
          </w:p>
        </w:tc>
      </w:tr>
      <w:tr>
        <w:tc>
          <w:tcPr>
            <w:tcW w:type="dxa" w:w="4939"/>
          </w:tcPr>
          <w:p>
            <w:r>
              <w:t>测试</w:t>
            </w:r>
          </w:p>
        </w:tc>
        <w:tc>
          <w:tcPr>
            <w:tcW w:type="dxa" w:w="4939"/>
          </w:tcPr>
          <w:p>
            <w:r>
              <w:t>状态机单元测试、权限负向测试、adapter contract tests、端到端验收流程。</w:t>
            </w:r>
          </w:p>
        </w:tc>
      </w:tr>
    </w:tbl>
    <w:p/>
    <w:p>
      <w:pPr>
        <w:pStyle w:val="Heading1"/>
      </w:pPr>
      <w:r>
        <w:t>5. 商业计划书应如何改</w:t>
      </w:r>
    </w:p>
    <w:p>
      <w:pPr>
        <w:pStyle w:val="ListBullet"/>
      </w:pPr>
      <w:r>
        <w:t>删除未经验证的 TAM/市场份额暗示；先用自下而上的客户数、合同额和销售周期建立模型。</w:t>
      </w:r>
    </w:p>
    <w:p>
      <w:pPr>
        <w:pStyle w:val="ListBullet"/>
      </w:pPr>
      <w:r>
        <w:t>把定价区间标记为假设，而不是市场事实；通过 10–15 次客户访谈和 3 个付费/准付费试点验证。</w:t>
      </w:r>
    </w:p>
    <w:p>
      <w:pPr>
        <w:pStyle w:val="ListBullet"/>
      </w:pPr>
      <w:r>
        <w:t>明确首发 ICP：AI 软件工作室、软件外包团队或内部 AI 工程团队，三者不要同时作为同等优先级。</w:t>
      </w:r>
    </w:p>
    <w:p>
      <w:pPr>
        <w:pStyle w:val="ListBullet"/>
      </w:pPr>
      <w:r>
        <w:t>将竞争优势表述为待验证假设：跨 runtime 的项目状态、证据链、人工裁决与重做分支。</w:t>
      </w:r>
    </w:p>
    <w:p>
      <w:pPr>
        <w:pStyle w:val="ListBullet"/>
      </w:pPr>
      <w:r>
        <w:t>优先衡量 cost per accepted deliverable、first-pass acceptance rate、human attention minutes、rework cycle time。</w:t>
      </w:r>
    </w:p>
    <w:p>
      <w:pPr>
        <w:pStyle w:val="ListBullet"/>
      </w:pPr>
      <w:r>
        <w:t>不要过早承诺 Agent Marketplace、跨组织联邦、Agent 声誉经济和完整企业治理；这些属于后续期权。</w:t>
      </w:r>
    </w:p>
    <w:p>
      <w:pPr>
        <w:pStyle w:val="Heading1"/>
      </w:pPr>
      <w:r>
        <w:t>6. 推荐决策</w:t>
      </w:r>
    </w:p>
    <w:p>
      <w:r>
        <w:t>建议：有条件立项。用 6–8 周完成可演示 MVP，并以一个真实软件项目作为试点。只有在闭环可运行、状态与证据可追溯、人工验收负担可量化之后，才扩大到 Matrix 深度集成、A2A 网络、远程 Agent 市场和企业级 IAM。</w:t>
      </w:r>
    </w:p>
    <w:p>
      <w:pPr>
        <w:pStyle w:val="Heading1"/>
      </w:pPr>
      <w:r>
        <w:t>7. MVP 验收门槛（建议）</w:t>
      </w:r>
    </w:p>
    <w:tbl>
      <w:tblPr>
        <w:tblStyle w:val="LightShading-Accent1"/>
        <w:tblW w:type="auto" w:w="0"/>
        <w:tblLook w:firstColumn="1" w:firstRow="1" w:lastColumn="0" w:lastRow="0" w:noHBand="0" w:noVBand="1" w:val="04A0"/>
      </w:tblPr>
      <w:tblGrid>
        <w:gridCol w:w="3293"/>
        <w:gridCol w:w="3293"/>
        <w:gridCol w:w="3293"/>
      </w:tblGrid>
      <w:tr>
        <w:tc>
          <w:tcPr>
            <w:tcW w:type="dxa" w:w="3293"/>
          </w:tcPr>
          <w:p>
            <w:r>
              <w:t>指标</w:t>
            </w:r>
          </w:p>
        </w:tc>
        <w:tc>
          <w:tcPr>
            <w:tcW w:type="dxa" w:w="3293"/>
          </w:tcPr>
          <w:p>
            <w:r>
              <w:t>建议门槛</w:t>
            </w:r>
          </w:p>
        </w:tc>
        <w:tc>
          <w:tcPr>
            <w:tcW w:type="dxa" w:w="3293"/>
          </w:tcPr>
          <w:p>
            <w:r>
              <w:t>说明</w:t>
            </w:r>
          </w:p>
        </w:tc>
      </w:tr>
      <w:tr>
        <w:tc>
          <w:tcPr>
            <w:tcW w:type="dxa" w:w="3293"/>
          </w:tcPr>
          <w:p>
            <w:r>
              <w:t>闭环完整率</w:t>
            </w:r>
          </w:p>
        </w:tc>
        <w:tc>
          <w:tcPr>
            <w:tcW w:type="dxa" w:w="3293"/>
          </w:tcPr>
          <w:p>
            <w:r>
              <w:t>100% 的终态任务有明确终态与审计记录</w:t>
            </w:r>
          </w:p>
        </w:tc>
        <w:tc>
          <w:tcPr>
            <w:tcW w:type="dxa" w:w="3293"/>
          </w:tcPr>
          <w:p>
            <w:r>
              <w:t>不允许静默跳过验证/验收。</w:t>
            </w:r>
          </w:p>
        </w:tc>
      </w:tr>
      <w:tr>
        <w:tc>
          <w:tcPr>
            <w:tcW w:type="dxa" w:w="3293"/>
          </w:tcPr>
          <w:p>
            <w:r>
              <w:t>证据覆盖率</w:t>
            </w:r>
          </w:p>
        </w:tc>
        <w:tc>
          <w:tcPr>
            <w:tcW w:type="dxa" w:w="3293"/>
          </w:tcPr>
          <w:p>
            <w:r>
              <w:t>≥90% 的已提交任务具有至少一项可检查证据</w:t>
            </w:r>
          </w:p>
        </w:tc>
        <w:tc>
          <w:tcPr>
            <w:tcW w:type="dxa" w:w="3293"/>
          </w:tcPr>
          <w:p>
            <w:r>
              <w:t>人工观察可作为证据类型，但需标记来源。</w:t>
            </w:r>
          </w:p>
        </w:tc>
      </w:tr>
      <w:tr>
        <w:tc>
          <w:tcPr>
            <w:tcW w:type="dxa" w:w="3293"/>
          </w:tcPr>
          <w:p>
            <w:r>
              <w:t>恢复能力</w:t>
            </w:r>
          </w:p>
        </w:tc>
        <w:tc>
          <w:tcPr>
            <w:tcW w:type="dxa" w:w="3293"/>
          </w:tcPr>
          <w:p>
            <w:r>
              <w:t>模拟 runtime 中断后可恢复或明确失败</w:t>
            </w:r>
          </w:p>
        </w:tc>
        <w:tc>
          <w:tcPr>
            <w:tcW w:type="dxa" w:w="3293"/>
          </w:tcPr>
          <w:p>
            <w:r>
              <w:t>不要求任意执行都能从 token 级 checkpoint 恢复。</w:t>
            </w:r>
          </w:p>
        </w:tc>
      </w:tr>
      <w:tr>
        <w:tc>
          <w:tcPr>
            <w:tcW w:type="dxa" w:w="3293"/>
          </w:tcPr>
          <w:p>
            <w:r>
              <w:t>权限安全</w:t>
            </w:r>
          </w:p>
        </w:tc>
        <w:tc>
          <w:tcPr>
            <w:tcW w:type="dxa" w:w="3293"/>
          </w:tcPr>
          <w:p>
            <w:r>
              <w:t>所有越权负向测试通过</w:t>
            </w:r>
          </w:p>
        </w:tc>
        <w:tc>
          <w:tcPr>
            <w:tcW w:type="dxa" w:w="3293"/>
          </w:tcPr>
          <w:p>
            <w:r>
              <w:t>尤其是 approve、deliver、scope change、production access。</w:t>
            </w:r>
          </w:p>
        </w:tc>
      </w:tr>
      <w:tr>
        <w:tc>
          <w:tcPr>
            <w:tcW w:type="dxa" w:w="3293"/>
          </w:tcPr>
          <w:p>
            <w:r>
              <w:t>客户价值</w:t>
            </w:r>
          </w:p>
        </w:tc>
        <w:tc>
          <w:tcPr>
            <w:tcW w:type="dxa" w:w="3293"/>
          </w:tcPr>
          <w:p>
            <w:r>
              <w:t>至少 3 个试点团队中 2 个愿意继续使用或付费</w:t>
            </w:r>
          </w:p>
        </w:tc>
        <w:tc>
          <w:tcPr>
            <w:tcW w:type="dxa" w:w="3293"/>
          </w:tcPr>
          <w:p>
            <w:r>
              <w:t>可按团队阶段调整，但必须有行为证据。</w:t>
            </w:r>
          </w:p>
        </w:tc>
      </w:tr>
    </w:tbl>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6B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6B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