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Myrmidon：面向 Agent 组织的项目执行与治理控制层</w:t>
      </w:r>
    </w:p>
    <w:p>
      <w:pPr>
        <w:jc w:val="left"/>
      </w:pPr>
      <w:r>
        <w:rPr>
          <w:i/>
          <w:color w:val="5A6978"/>
          <w:sz w:val="22"/>
        </w:rPr>
        <w:t>概念论文 / 研究与设计提案</w:t>
      </w:r>
    </w:p>
    <w:p>
      <w:r>
        <w:t>版本：0.2（评审修订稿）  |  日期：2026-10-10</w:t>
      </w:r>
    </w:p>
    <w:p>
      <w:pPr>
        <w:pStyle w:val="Heading1"/>
      </w:pPr>
      <w:r>
        <w:t>摘要</w:t>
      </w:r>
    </w:p>
    <w:p>
      <w:r>
        <w:t>本文提出 Myrmidon：一种位于异构 Agent runtime、工具协议和协作系统之上的项目执行与治理控制层。它以 Project 为核心聚合目标、工作项、执行、证据、决策、验收与交付，并明确区分 Agent 的完成声明与被授权主体的验收。本文将其作为系统设计提案，而非已被实验验证的新理论。</w:t>
      </w:r>
    </w:p>
    <w:p>
      <w:pPr>
        <w:pStyle w:val="Heading1"/>
      </w:pPr>
      <w:r>
        <w:t>1. 问题定义</w:t>
      </w:r>
    </w:p>
    <w:p>
      <w:r>
        <w:t>现有 Agent 系统可以生成计划、调用工具、委派子任务并产出工件，但真实项目的成功还依赖需求澄清、责任分配、执行可观测性、证据质量、权限约束、返工与客户验收。单纯的 Agent orchestration 无法自动保证交付结果满足业务要求。</w:t>
      </w:r>
    </w:p>
    <w:p>
      <w:pPr>
        <w:pStyle w:val="Heading1"/>
      </w:pPr>
      <w:r>
        <w:t>2. 核心主张</w:t>
      </w:r>
    </w:p>
    <w:p>
      <w:pPr>
        <w:pStyle w:val="ListBullet"/>
      </w:pPr>
      <w:r>
        <w:t>Project-centric：Project 是目标、约束、工作、决策与交付的聚合边界。</w:t>
      </w:r>
    </w:p>
    <w:p>
      <w:pPr>
        <w:pStyle w:val="ListBullet"/>
      </w:pPr>
      <w:r>
        <w:t>Human authority：人类或经明确授权的主体拥有业务裁决权；审批是权限动作，不是 UI 按钮。</w:t>
      </w:r>
    </w:p>
    <w:p>
      <w:pPr>
        <w:pStyle w:val="ListBullet"/>
      </w:pPr>
      <w:r>
        <w:t>Evidence-linked claims：完成声明应关联证据与验证结果，但证据本身不自动保证正确性。</w:t>
      </w:r>
    </w:p>
    <w:p>
      <w:pPr>
        <w:pStyle w:val="ListBullet"/>
      </w:pPr>
      <w:r>
        <w:t>Branchable rework：质量拒绝、策略变更、执行故障和范围变更应分别处理，不应统一为 retry。</w:t>
      </w:r>
    </w:p>
    <w:p>
      <w:pPr>
        <w:pStyle w:val="ListBullet"/>
      </w:pPr>
      <w:r>
        <w:t>Protocol-neutral：Myrmidon 通过 adapter 使用外部 runtime、MCP、A2A 与协作系统，不把它们替代掉。</w:t>
      </w:r>
    </w:p>
    <w:p>
      <w:pPr>
        <w:pStyle w:val="ListBullet"/>
      </w:pPr>
      <w:r>
        <w:t>Auditable state transitions：关键领域动作可追溯，状态变化有明确的授权主体与理由。</w:t>
      </w:r>
    </w:p>
    <w:p>
      <w:pPr>
        <w:pStyle w:val="Heading1"/>
      </w:pPr>
      <w:r>
        <w:t>3. 领域模型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对象</w:t>
            </w:r>
          </w:p>
        </w:tc>
        <w:tc>
          <w:tcPr>
            <w:tcW w:type="dxa" w:w="4939"/>
          </w:tcPr>
          <w:p>
            <w:r>
              <w:t>职责</w:t>
            </w:r>
          </w:p>
        </w:tc>
      </w:tr>
      <w:tr>
        <w:tc>
          <w:tcPr>
            <w:tcW w:type="dxa" w:w="4939"/>
          </w:tcPr>
          <w:p>
            <w:r>
              <w:t>Project</w:t>
            </w:r>
          </w:p>
        </w:tc>
        <w:tc>
          <w:tcPr>
            <w:tcW w:type="dxa" w:w="4939"/>
          </w:tcPr>
          <w:p>
            <w:r>
              <w:t>目标、范围、策略、生命周期和交付边界。</w:t>
            </w:r>
          </w:p>
        </w:tc>
      </w:tr>
      <w:tr>
        <w:tc>
          <w:tcPr>
            <w:tcW w:type="dxa" w:w="4939"/>
          </w:tcPr>
          <w:p>
            <w:r>
              <w:t>Requirement</w:t>
            </w:r>
          </w:p>
        </w:tc>
        <w:tc>
          <w:tcPr>
            <w:tcW w:type="dxa" w:w="4939"/>
          </w:tcPr>
          <w:p>
            <w:r>
              <w:t>可追踪的需求、约束、验收条件与变更历史。</w:t>
            </w:r>
          </w:p>
        </w:tc>
      </w:tr>
      <w:tr>
        <w:tc>
          <w:tcPr>
            <w:tcW w:type="dxa" w:w="4939"/>
          </w:tcPr>
          <w:p>
            <w:r>
              <w:t>WorkItem</w:t>
            </w:r>
          </w:p>
        </w:tc>
        <w:tc>
          <w:tcPr>
            <w:tcW w:type="dxa" w:w="4939"/>
          </w:tcPr>
          <w:p>
            <w:r>
              <w:t>可分配、可执行、可验证的工作单元。</w:t>
            </w:r>
          </w:p>
        </w:tc>
      </w:tr>
      <w:tr>
        <w:tc>
          <w:tcPr>
            <w:tcW w:type="dxa" w:w="4939"/>
          </w:tcPr>
          <w:p>
            <w:r>
              <w:t>Assignment</w:t>
            </w:r>
          </w:p>
        </w:tc>
        <w:tc>
          <w:tcPr>
            <w:tcW w:type="dxa" w:w="4939"/>
          </w:tcPr>
          <w:p>
            <w:r>
              <w:t>将工作与主体、角色、权限和时间范围关联。</w:t>
            </w:r>
          </w:p>
        </w:tc>
      </w:tr>
      <w:tr>
        <w:tc>
          <w:tcPr>
            <w:tcW w:type="dxa" w:w="4939"/>
          </w:tcPr>
          <w:p>
            <w:r>
              <w:t>Execution</w:t>
            </w:r>
          </w:p>
        </w:tc>
        <w:tc>
          <w:tcPr>
            <w:tcW w:type="dxa" w:w="4939"/>
          </w:tcPr>
          <w:p>
            <w:r>
              <w:t>一次具体运行，记录 runtime、输入、环境、产物与结果。</w:t>
            </w:r>
          </w:p>
        </w:tc>
      </w:tr>
      <w:tr>
        <w:tc>
          <w:tcPr>
            <w:tcW w:type="dxa" w:w="4939"/>
          </w:tcPr>
          <w:p>
            <w:r>
              <w:t>Artifact</w:t>
            </w:r>
          </w:p>
        </w:tc>
        <w:tc>
          <w:tcPr>
            <w:tcW w:type="dxa" w:w="4939"/>
          </w:tcPr>
          <w:p>
            <w:r>
              <w:t>执行产物，如代码、PR、文档、部署版本。</w:t>
            </w:r>
          </w:p>
        </w:tc>
      </w:tr>
      <w:tr>
        <w:tc>
          <w:tcPr>
            <w:tcW w:type="dxa" w:w="4939"/>
          </w:tcPr>
          <w:p>
            <w:r>
              <w:t>Evidence</w:t>
            </w:r>
          </w:p>
        </w:tc>
        <w:tc>
          <w:tcPr>
            <w:tcW w:type="dxa" w:w="4939"/>
          </w:tcPr>
          <w:p>
            <w:r>
              <w:t>支持或反驳 claim 的可审查材料。</w:t>
            </w:r>
          </w:p>
        </w:tc>
      </w:tr>
      <w:tr>
        <w:tc>
          <w:tcPr>
            <w:tcW w:type="dxa" w:w="4939"/>
          </w:tcPr>
          <w:p>
            <w:r>
              <w:t>Verification</w:t>
            </w:r>
          </w:p>
        </w:tc>
        <w:tc>
          <w:tcPr>
            <w:tcW w:type="dxa" w:w="4939"/>
          </w:tcPr>
          <w:p>
            <w:r>
              <w:t>使用特定规则/工具/版本检查 claim 或 artifact 的结果。</w:t>
            </w:r>
          </w:p>
        </w:tc>
      </w:tr>
      <w:tr>
        <w:tc>
          <w:tcPr>
            <w:tcW w:type="dxa" w:w="4939"/>
          </w:tcPr>
          <w:p>
            <w:r>
              <w:t>Decision</w:t>
            </w:r>
          </w:p>
        </w:tc>
        <w:tc>
          <w:tcPr>
            <w:tcW w:type="dxa" w:w="4939"/>
          </w:tcPr>
          <w:p>
            <w:r>
              <w:t>由具备权限的主体做出的 approve、reject、scope change 等决定。</w:t>
            </w:r>
          </w:p>
        </w:tc>
      </w:tr>
      <w:tr>
        <w:tc>
          <w:tcPr>
            <w:tcW w:type="dxa" w:w="4939"/>
          </w:tcPr>
          <w:p>
            <w:r>
              <w:t>Acceptance / Delivery</w:t>
            </w:r>
          </w:p>
        </w:tc>
        <w:tc>
          <w:tcPr>
            <w:tcW w:type="dxa" w:w="4939"/>
          </w:tcPr>
          <w:p>
            <w:r>
              <w:t>项目成果的正式接受与交付记录。</w:t>
            </w:r>
          </w:p>
        </w:tc>
      </w:tr>
    </w:tbl>
    <w:p/>
    <w:p>
      <w:pPr>
        <w:pStyle w:val="Heading1"/>
      </w:pPr>
      <w:r>
        <w:t>4. 完成语义与状态机</w:t>
      </w:r>
    </w:p>
    <w:p>
      <w:r>
        <w:t>建议将 WorkItem 状态与 Project 状态分开。WorkItem 的建议生命周期：READY → CLAIMED → IN_PROGRESS → AGENT_CLAIMED_DONE → VERIFYING → NEEDS_HUMAN_REVIEW → ACCEPTED；验证失败进入 REWORK，执行器故障进入 EXECUTION_FAILED，依赖问题进入 BLOCKED，取消进入 CANCELLED。</w:t>
      </w:r>
    </w:p>
    <w:p>
      <w:r>
        <w:t>Project 的交付状态不能仅由所有任务状态推导。项目还需满足范围、验收标准、交付物完整性和授权决策等条件。</w:t>
      </w:r>
    </w:p>
    <w:p>
      <w:pPr>
        <w:pStyle w:val="Heading1"/>
      </w:pPr>
      <w:r>
        <w:t>5. 失败分类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类别</w:t>
            </w:r>
          </w:p>
        </w:tc>
        <w:tc>
          <w:tcPr>
            <w:tcW w:type="dxa" w:w="4939"/>
          </w:tcPr>
          <w:p>
            <w:r>
              <w:t>典型处理</w:t>
            </w:r>
          </w:p>
        </w:tc>
      </w:tr>
      <w:tr>
        <w:tc>
          <w:tcPr>
            <w:tcW w:type="dxa" w:w="4939"/>
          </w:tcPr>
          <w:p>
            <w:r>
              <w:t>Execution failure</w:t>
            </w:r>
          </w:p>
        </w:tc>
        <w:tc>
          <w:tcPr>
            <w:tcW w:type="dxa" w:w="4939"/>
          </w:tcPr>
          <w:p>
            <w:r>
              <w:t>诊断 runtime/环境故障；按策略重试、修复或转交。</w:t>
            </w:r>
          </w:p>
        </w:tc>
      </w:tr>
      <w:tr>
        <w:tc>
          <w:tcPr>
            <w:tcW w:type="dxa" w:w="4939"/>
          </w:tcPr>
          <w:p>
            <w:r>
              <w:t>Quality rejection</w:t>
            </w:r>
          </w:p>
        </w:tc>
        <w:tc>
          <w:tcPr>
            <w:tcW w:type="dxa" w:w="4939"/>
          </w:tcPr>
          <w:p>
            <w:r>
              <w:t>保留原结果与证据，创建 rework work item 或新 execution。</w:t>
            </w:r>
          </w:p>
        </w:tc>
      </w:tr>
      <w:tr>
        <w:tc>
          <w:tcPr>
            <w:tcW w:type="dxa" w:w="4939"/>
          </w:tcPr>
          <w:p>
            <w:r>
              <w:t>Scope change</w:t>
            </w:r>
          </w:p>
        </w:tc>
        <w:tc>
          <w:tcPr>
            <w:tcW w:type="dxa" w:w="4939"/>
          </w:tcPr>
          <w:p>
            <w:r>
              <w:t>创建变更记录，更新需求基线；必要时建立新 project branch。</w:t>
            </w:r>
          </w:p>
        </w:tc>
      </w:tr>
      <w:tr>
        <w:tc>
          <w:tcPr>
            <w:tcW w:type="dxa" w:w="4939"/>
          </w:tcPr>
          <w:p>
            <w:r>
              <w:t>Strategy change</w:t>
            </w:r>
          </w:p>
        </w:tc>
        <w:tc>
          <w:tcPr>
            <w:tcW w:type="dxa" w:w="4939"/>
          </w:tcPr>
          <w:p>
            <w:r>
              <w:t>保留旧方案，创建替代执行分支并比较证据。</w:t>
            </w:r>
          </w:p>
        </w:tc>
      </w:tr>
      <w:tr>
        <w:tc>
          <w:tcPr>
            <w:tcW w:type="dxa" w:w="4939"/>
          </w:tcPr>
          <w:p>
            <w:r>
              <w:t>Blocked / uncertainty</w:t>
            </w:r>
          </w:p>
        </w:tc>
        <w:tc>
          <w:tcPr>
            <w:tcW w:type="dxa" w:w="4939"/>
          </w:tcPr>
          <w:p>
            <w:r>
              <w:t>请求澄清、等待依赖或升级给授权主体。</w:t>
            </w:r>
          </w:p>
        </w:tc>
      </w:tr>
    </w:tbl>
    <w:p/>
    <w:p>
      <w:pPr>
        <w:pStyle w:val="Heading1"/>
      </w:pPr>
      <w:r>
        <w:t>6. 协议与基础设施边界</w:t>
      </w:r>
    </w:p>
    <w:p>
      <w:pPr>
        <w:pStyle w:val="ListBullet"/>
      </w:pPr>
      <w:r>
        <w:t>MCP：工具与资源连接层，不承担项目领域状态的权威定义。</w:t>
      </w:r>
    </w:p>
    <w:p>
      <w:pPr>
        <w:pStyle w:val="ListBullet"/>
      </w:pPr>
      <w:r>
        <w:t>A2A：异构 Agent 之间的发现与任务协作协议；项目级责任和验收仍由 Myrmidon 管理。</w:t>
      </w:r>
    </w:p>
    <w:p>
      <w:pPr>
        <w:pStyle w:val="ListBullet"/>
      </w:pPr>
      <w:r>
        <w:t>Matrix：可选协作/事件传输层；不作为业务状态的唯一数据库。</w:t>
      </w:r>
    </w:p>
    <w:p>
      <w:pPr>
        <w:pStyle w:val="ListBullet"/>
      </w:pPr>
      <w:r>
        <w:t>Agent runtime：可替换的执行器，通过 adapter 统一启动、观测、停止和结果回收能力。</w:t>
      </w:r>
    </w:p>
    <w:p>
      <w:pPr>
        <w:pStyle w:val="ListBullet"/>
      </w:pPr>
      <w:r>
        <w:t>Sandbox / VM / container：执行隔离与资源控制，不等同于 Project 或 Execution 的领域模型。</w:t>
      </w:r>
    </w:p>
    <w:p>
      <w:pPr>
        <w:pStyle w:val="ListBullet"/>
      </w:pPr>
      <w:r>
        <w:t>PostgreSQL：MVP 的事务与审计基础；在真实负载出现前不引入复杂分布式事件基础设施。</w:t>
      </w:r>
    </w:p>
    <w:p>
      <w:pPr>
        <w:pStyle w:val="Heading1"/>
      </w:pPr>
      <w:r>
        <w:t>7. 安全与治理</w:t>
      </w:r>
    </w:p>
    <w:p>
      <w:r>
        <w:t>权限应采用最小授权原则，至少覆盖 observe、execute、assign、verify、approve、reject、change_scope、pause、stop、merge、deliver 与 administer。敏感动作需记录 actor、authority source、resource、reason、evidence references 和 timestamp。Agent 不应默认拥有交付、范围变更或生产环境权限。</w:t>
      </w:r>
    </w:p>
    <w:p>
      <w:pPr>
        <w:pStyle w:val="Heading1"/>
      </w:pPr>
      <w:r>
        <w:t>8. 可验证的研究问题</w:t>
      </w:r>
    </w:p>
    <w:p>
      <w:pPr>
        <w:pStyle w:val="ListNumber"/>
      </w:pPr>
      <w:r>
        <w:t>与只使用 Agent runtime/任务看板相比，Evidence-linked workflow 是否提高首次验收率？</w:t>
      </w:r>
    </w:p>
    <w:p>
      <w:pPr>
        <w:pStyle w:val="ListNumber"/>
      </w:pPr>
      <w:r>
        <w:t>Execution branch 是否减少错误方案反复覆盖和上下文丢失？</w:t>
      </w:r>
    </w:p>
    <w:p>
      <w:pPr>
        <w:pStyle w:val="ListNumber"/>
      </w:pPr>
      <w:r>
        <w:t>项目级状态与决策审计能否降低人类监督成本？</w:t>
      </w:r>
    </w:p>
    <w:p>
      <w:pPr>
        <w:pStyle w:val="ListNumber"/>
      </w:pPr>
      <w:r>
        <w:t>不同 runtime 的适配成本是否能被统一 Execution contract 显著降低？</w:t>
      </w:r>
    </w:p>
    <w:p>
      <w:pPr>
        <w:pStyle w:val="ListNumber"/>
      </w:pPr>
      <w:r>
        <w:t>哪些任务可以由自动验证完成，哪些必须保留人工裁决？</w:t>
      </w:r>
    </w:p>
    <w:p>
      <w:pPr>
        <w:pStyle w:val="Heading1"/>
      </w:pPr>
      <w:r>
        <w:t>9. 评估方法</w:t>
      </w:r>
    </w:p>
    <w:p>
      <w:r>
        <w:t>使用真实软件交付试点，对比基线与 Myrmidon：记录任务接受率、返工次数、每个已接受交付物的成本、人工介入分钟数、交付周期、证据覆盖率与越权事件。报告样本量、项目复杂度、模型/runtime 版本和评估限制，避免把单个演示当成普遍结论。</w:t>
      </w:r>
    </w:p>
    <w:p>
      <w:pPr>
        <w:pStyle w:val="Heading1"/>
      </w:pPr>
      <w:r>
        <w:t>10. 结论</w:t>
      </w:r>
    </w:p>
    <w:p>
      <w:r>
        <w:t>Myrmidon 的可辩护定位不是新的 Agent Runtime，而是连接项目目标、异构执行、证据、权限决策与最终交付的控制层。其价值需要通过真实项目中的验收质量与监督成本数据验证。</w:t>
      </w:r>
    </w:p>
    <w:p>
      <w:pPr>
        <w:pStyle w:val="Heading1"/>
      </w:pPr>
      <w:r>
        <w:t>参考规范与生态（实施前核验版本）</w:t>
      </w:r>
    </w:p>
    <w:p>
      <w:pPr>
        <w:pStyle w:val="ListBullet"/>
      </w:pPr>
      <w:r>
        <w:t>Model Context Protocol (MCP) specification</w:t>
      </w:r>
    </w:p>
    <w:p>
      <w:pPr>
        <w:pStyle w:val="ListBullet"/>
      </w:pPr>
      <w:r>
        <w:t>Agent2Agent (A2A) protocol specification</w:t>
      </w:r>
    </w:p>
    <w:p>
      <w:pPr>
        <w:pStyle w:val="ListBullet"/>
      </w:pPr>
      <w:r>
        <w:t>Matrix specification</w:t>
      </w:r>
    </w:p>
    <w:p>
      <w:pPr>
        <w:pStyle w:val="ListBullet"/>
      </w:pPr>
      <w:r>
        <w:t>OpenTelemetry semantic conventions</w:t>
      </w:r>
    </w:p>
    <w:p>
      <w:pPr>
        <w:pStyle w:val="ListBullet"/>
      </w:pPr>
      <w:r>
        <w:t>OCI image/runtime ecosystem</w:t>
      </w:r>
    </w:p>
    <w:p>
      <w:pPr>
        <w:pStyle w:val="ListBullet"/>
      </w:pPr>
      <w:r>
        <w:t>Git and CI provider APIs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