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Myrmidon 立项与研发基线</w:t>
      </w:r>
    </w:p>
    <w:p>
      <w:pPr>
        <w:jc w:val="left"/>
      </w:pPr>
      <w:r>
        <w:rPr>
          <w:i/>
          <w:color w:val="5A6978"/>
          <w:sz w:val="22"/>
        </w:rPr>
        <w:t>从概念方向到可验收 MVP</w:t>
      </w:r>
    </w:p>
    <w:p>
      <w:r>
        <w:t>版本：0.2（评审修订稿）  |  日期：2026-10-10</w:t>
      </w:r>
    </w:p>
    <w:p>
      <w:pPr>
        <w:pStyle w:val="Heading1"/>
      </w:pPr>
      <w:r>
        <w:t>1. 立项建议</w:t>
      </w:r>
    </w:p>
    <w:p>
      <w:r>
        <w:t>建议有条件立项，MVP 目标是让一个小型软件团队用多个 Agent 完成真实功能开发，并通过证据、自动检查与人类验收形成可追溯闭环。MVP 不以 Agent 数量、协议数量或 UI 丰富度作为成功标准。</w:t>
      </w:r>
    </w:p>
    <w:p>
      <w:pPr>
        <w:pStyle w:val="Heading1"/>
      </w:pPr>
      <w:r>
        <w:t>2. 产品定位</w:t>
      </w:r>
    </w:p>
    <w:p>
      <w:r>
        <w:t>Myrmidon 是跨 Agent runtime 的 Project Execution &amp; Governance Control Plane。它负责项目状态、工作分配、执行记录、证据、验证、人工决策、返工和交付；不负责训练模型，也不在第一阶段重建通用 Agent runtime、聊天协议或工作流引擎。</w:t>
      </w:r>
    </w:p>
    <w:p>
      <w:pPr>
        <w:pStyle w:val="Heading1"/>
      </w:pPr>
      <w:r>
        <w:t>3. MVP 范围</w:t>
      </w:r>
    </w:p>
    <w:p>
      <w:pPr>
        <w:pStyle w:val="ListBullet"/>
      </w:pPr>
      <w:r>
        <w:t>单组织；项目、需求、工作项、Agent/人类参与者和执行记录。</w:t>
      </w:r>
    </w:p>
    <w:p>
      <w:pPr>
        <w:pStyle w:val="ListBullet"/>
      </w:pPr>
      <w:r>
        <w:t>CLI/TUI 为主要操作入口，提供最小 Web 审核页面。</w:t>
      </w:r>
    </w:p>
    <w:p>
      <w:pPr>
        <w:pStyle w:val="ListBullet"/>
      </w:pPr>
      <w:r>
        <w:t>一个主要 runtime adapter，第二个 adapter 作为验证可替换性的扩展目标。</w:t>
      </w:r>
    </w:p>
    <w:p>
      <w:pPr>
        <w:pStyle w:val="ListBullet"/>
      </w:pPr>
      <w:r>
        <w:t>Git commit/PR、测试报告、执行日志和人工观察作为 Evidence 类型。</w:t>
      </w:r>
    </w:p>
    <w:p>
      <w:pPr>
        <w:pStyle w:val="ListBullet"/>
      </w:pPr>
      <w:r>
        <w:t>人类可 approve、reject、request changes、pause、resume、reassign。</w:t>
      </w:r>
    </w:p>
    <w:p>
      <w:pPr>
        <w:pStyle w:val="ListBullet"/>
      </w:pPr>
      <w:r>
        <w:t>拒绝后生成 rework work item 或新的 execution branch，并保留历史证据。</w:t>
      </w:r>
    </w:p>
    <w:p>
      <w:pPr>
        <w:pStyle w:val="ListBullet"/>
      </w:pPr>
      <w:r>
        <w:t>PostgreSQL 保存规范化业务状态、领域事件与审计记录；对象存储可后续加入。</w:t>
      </w:r>
    </w:p>
    <w:p>
      <w:pPr>
        <w:pStyle w:val="Heading1"/>
      </w:pPr>
      <w:r>
        <w:t>4. 非目标</w:t>
      </w:r>
    </w:p>
    <w:p>
      <w:pPr>
        <w:pStyle w:val="ListBullet"/>
      </w:pPr>
      <w:r>
        <w:t>自建 LLM 或模型训练。</w:t>
      </w:r>
    </w:p>
    <w:p>
      <w:pPr>
        <w:pStyle w:val="ListBullet"/>
      </w:pPr>
      <w:r>
        <w:t>完整 Agent Marketplace。</w:t>
      </w:r>
    </w:p>
    <w:p>
      <w:pPr>
        <w:pStyle w:val="ListBullet"/>
      </w:pPr>
      <w:r>
        <w:t>通用跨公司联邦与经济结算。</w:t>
      </w:r>
    </w:p>
    <w:p>
      <w:pPr>
        <w:pStyle w:val="ListBullet"/>
      </w:pPr>
      <w:r>
        <w:t>第一阶段实现完整 Matrix homeserver/federation。</w:t>
      </w:r>
    </w:p>
    <w:p>
      <w:pPr>
        <w:pStyle w:val="ListBullet"/>
      </w:pPr>
      <w:r>
        <w:t>通用数据库分支、任意 runtime 的 token 级 checkpoint。</w:t>
      </w:r>
    </w:p>
    <w:p>
      <w:pPr>
        <w:pStyle w:val="ListBullet"/>
      </w:pPr>
      <w:r>
        <w:t>完全自动的项目报价、合同签订与最终业务验收。</w:t>
      </w:r>
    </w:p>
    <w:p>
      <w:pPr>
        <w:pStyle w:val="Heading1"/>
      </w:pPr>
      <w:r>
        <w:t>5. 领域对象与关系</w:t>
      </w:r>
    </w:p>
    <w:p>
      <w:r>
        <w:t>Project → Requirement → WorkItem；WorkItem 可有多个 Assignment 和 Execution；Execution 产出 Artifact 与 Evidence；Verification 针对 claim/artifact 生成检查结果；Decision 记录授权主体的裁决；Acceptance 与 Delivery 分别记录正式接受和交付。</w:t>
      </w:r>
    </w:p>
    <w:p>
      <w:pPr>
        <w:pStyle w:val="Heading1"/>
      </w:pPr>
      <w:r>
        <w:t>6. 关键状态规范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对象</w:t>
            </w:r>
          </w:p>
        </w:tc>
        <w:tc>
          <w:tcPr>
            <w:tcW w:type="dxa" w:w="3293"/>
          </w:tcPr>
          <w:p>
            <w:r>
              <w:t>状态/结果</w:t>
            </w:r>
          </w:p>
        </w:tc>
        <w:tc>
          <w:tcPr>
            <w:tcW w:type="dxa" w:w="3293"/>
          </w:tcPr>
          <w:p>
            <w:r>
              <w:t>约束</w:t>
            </w:r>
          </w:p>
        </w:tc>
      </w:tr>
      <w:tr>
        <w:tc>
          <w:tcPr>
            <w:tcW w:type="dxa" w:w="3293"/>
          </w:tcPr>
          <w:p>
            <w:r>
              <w:t>WorkItem</w:t>
            </w:r>
          </w:p>
        </w:tc>
        <w:tc>
          <w:tcPr>
            <w:tcW w:type="dxa" w:w="3293"/>
          </w:tcPr>
          <w:p>
            <w:r>
              <w:t>READY / CLAIMED / IN_PROGRESS / AGENT_CLAIMED_DONE / VERIFYING / NEEDS_HUMAN_REVIEW / ACCEPTED / REWORK / BLOCKED / EXECUTION_FAILED / CANCELLED</w:t>
            </w:r>
          </w:p>
        </w:tc>
        <w:tc>
          <w:tcPr>
            <w:tcW w:type="dxa" w:w="3293"/>
          </w:tcPr>
          <w:p>
            <w:r>
              <w:t>Agent 只能提交完成声明，不能自行转为 ACCEPTED。</w:t>
            </w:r>
          </w:p>
        </w:tc>
      </w:tr>
      <w:tr>
        <w:tc>
          <w:tcPr>
            <w:tcW w:type="dxa" w:w="3293"/>
          </w:tcPr>
          <w:p>
            <w:r>
              <w:t>Execution</w:t>
            </w:r>
          </w:p>
        </w:tc>
        <w:tc>
          <w:tcPr>
            <w:tcW w:type="dxa" w:w="3293"/>
          </w:tcPr>
          <w:p>
            <w:r>
              <w:t>CREATED / RUNNING / PAUSED / SUCCEEDED / FAILED / INTERRUPTED / CANCELLED</w:t>
            </w:r>
          </w:p>
        </w:tc>
        <w:tc>
          <w:tcPr>
            <w:tcW w:type="dxa" w:w="3293"/>
          </w:tcPr>
          <w:p>
            <w:r>
              <w:t>SUCCEEDED 仅表示执行器层结果，不代表业务验收通过。</w:t>
            </w:r>
          </w:p>
        </w:tc>
      </w:tr>
      <w:tr>
        <w:tc>
          <w:tcPr>
            <w:tcW w:type="dxa" w:w="3293"/>
          </w:tcPr>
          <w:p>
            <w:r>
              <w:t>Verification</w:t>
            </w:r>
          </w:p>
        </w:tc>
        <w:tc>
          <w:tcPr>
            <w:tcW w:type="dxa" w:w="3293"/>
          </w:tcPr>
          <w:p>
            <w:r>
              <w:t>PENDING / PASSED / FAILED / INCONCLUSIVE</w:t>
            </w:r>
          </w:p>
        </w:tc>
        <w:tc>
          <w:tcPr>
            <w:tcW w:type="dxa" w:w="3293"/>
          </w:tcPr>
          <w:p>
            <w:r>
              <w:t>记录规则、工具版本、输入证据与检查输出。</w:t>
            </w:r>
          </w:p>
        </w:tc>
      </w:tr>
      <w:tr>
        <w:tc>
          <w:tcPr>
            <w:tcW w:type="dxa" w:w="3293"/>
          </w:tcPr>
          <w:p>
            <w:r>
              <w:t>Decision</w:t>
            </w:r>
          </w:p>
        </w:tc>
        <w:tc>
          <w:tcPr>
            <w:tcW w:type="dxa" w:w="3293"/>
          </w:tcPr>
          <w:p>
            <w:r>
              <w:t>APPROVE / REJECT / REQUEST_CHANGES / PAUSE / RESUME / SCOPE_CHANGE</w:t>
            </w:r>
          </w:p>
        </w:tc>
        <w:tc>
          <w:tcPr>
            <w:tcW w:type="dxa" w:w="3293"/>
          </w:tcPr>
          <w:p>
            <w:r>
              <w:t>每个决定必须验证调用者权限并记录理由。</w:t>
            </w:r>
          </w:p>
        </w:tc>
      </w:tr>
      <w:tr>
        <w:tc>
          <w:tcPr>
            <w:tcW w:type="dxa" w:w="3293"/>
          </w:tcPr>
          <w:p>
            <w:r>
              <w:t>Project</w:t>
            </w:r>
          </w:p>
        </w:tc>
        <w:tc>
          <w:tcPr>
            <w:tcW w:type="dxa" w:w="3293"/>
          </w:tcPr>
          <w:p>
            <w:r>
              <w:t>INTAKE / DISCOVERY / PLANNING / ACTIVE / BLOCKED / ACCEPTANCE_PENDING / DELIVERED / CLOSED / CANCELLED</w:t>
            </w:r>
          </w:p>
        </w:tc>
        <w:tc>
          <w:tcPr>
            <w:tcW w:type="dxa" w:w="3293"/>
          </w:tcPr>
          <w:p>
            <w:r>
              <w:t>项目状态由项目规则与授权决策决定，不能仅由任务状态机械推导。</w:t>
            </w:r>
          </w:p>
        </w:tc>
      </w:tr>
    </w:tbl>
    <w:p/>
    <w:p>
      <w:pPr>
        <w:pStyle w:val="Heading1"/>
      </w:pPr>
      <w:r>
        <w:t>7. 权限最小集合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动作</w:t>
            </w:r>
          </w:p>
        </w:tc>
        <w:tc>
          <w:tcPr>
            <w:tcW w:type="dxa" w:w="3293"/>
          </w:tcPr>
          <w:p>
            <w:r>
              <w:t>Agent 默认</w:t>
            </w:r>
          </w:p>
        </w:tc>
        <w:tc>
          <w:tcPr>
            <w:tcW w:type="dxa" w:w="3293"/>
          </w:tcPr>
          <w:p>
            <w:r>
              <w:t>项目负责人/授权人</w:t>
            </w:r>
          </w:p>
        </w:tc>
      </w:tr>
      <w:tr>
        <w:tc>
          <w:tcPr>
            <w:tcW w:type="dxa" w:w="3293"/>
          </w:tcPr>
          <w:p>
            <w:r>
              <w:t>读取项目与任务</w:t>
            </w:r>
          </w:p>
        </w:tc>
        <w:tc>
          <w:tcPr>
            <w:tcW w:type="dxa" w:w="3293"/>
          </w:tcPr>
          <w:p>
            <w:r>
              <w:t>按范围允许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</w:tr>
      <w:tr>
        <w:tc>
          <w:tcPr>
            <w:tcW w:type="dxa" w:w="3293"/>
          </w:tcPr>
          <w:p>
            <w:r>
              <w:t>执行已分配任务</w:t>
            </w:r>
          </w:p>
        </w:tc>
        <w:tc>
          <w:tcPr>
            <w:tcW w:type="dxa" w:w="3293"/>
          </w:tcPr>
          <w:p>
            <w:r>
              <w:t>允许且受沙箱约束</w:t>
            </w:r>
          </w:p>
        </w:tc>
        <w:tc>
          <w:tcPr>
            <w:tcW w:type="dxa" w:w="3293"/>
          </w:tcPr>
          <w:p>
            <w:r>
              <w:t>允许/可委派</w:t>
            </w:r>
          </w:p>
        </w:tc>
      </w:tr>
      <w:tr>
        <w:tc>
          <w:tcPr>
            <w:tcW w:type="dxa" w:w="3293"/>
          </w:tcPr>
          <w:p>
            <w:r>
              <w:t>提交 Evidence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</w:tr>
      <w:tr>
        <w:tc>
          <w:tcPr>
            <w:tcW w:type="dxa" w:w="3293"/>
          </w:tcPr>
          <w:p>
            <w:r>
              <w:t>验证自动化规则</w:t>
            </w:r>
          </w:p>
        </w:tc>
        <w:tc>
          <w:tcPr>
            <w:tcW w:type="dxa" w:w="3293"/>
          </w:tcPr>
          <w:p>
            <w:r>
              <w:t>按策略允许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</w:tr>
      <w:tr>
        <w:tc>
          <w:tcPr>
            <w:tcW w:type="dxa" w:w="3293"/>
          </w:tcPr>
          <w:p>
            <w:r>
              <w:t>业务 approve/reject</w:t>
            </w:r>
          </w:p>
        </w:tc>
        <w:tc>
          <w:tcPr>
            <w:tcW w:type="dxa" w:w="3293"/>
          </w:tcPr>
          <w:p>
            <w:r>
              <w:t>默认禁止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</w:tr>
      <w:tr>
        <w:tc>
          <w:tcPr>
            <w:tcW w:type="dxa" w:w="3293"/>
          </w:tcPr>
          <w:p>
            <w:r>
              <w:t>变更项目范围/合同</w:t>
            </w:r>
          </w:p>
        </w:tc>
        <w:tc>
          <w:tcPr>
            <w:tcW w:type="dxa" w:w="3293"/>
          </w:tcPr>
          <w:p>
            <w:r>
              <w:t>禁止</w:t>
            </w:r>
          </w:p>
        </w:tc>
        <w:tc>
          <w:tcPr>
            <w:tcW w:type="dxa" w:w="3293"/>
          </w:tcPr>
          <w:p>
            <w:r>
              <w:t>按授权允许</w:t>
            </w:r>
          </w:p>
        </w:tc>
      </w:tr>
      <w:tr>
        <w:tc>
          <w:tcPr>
            <w:tcW w:type="dxa" w:w="3293"/>
          </w:tcPr>
          <w:p>
            <w:r>
              <w:t>访问生产密钥/生产环境</w:t>
            </w:r>
          </w:p>
        </w:tc>
        <w:tc>
          <w:tcPr>
            <w:tcW w:type="dxa" w:w="3293"/>
          </w:tcPr>
          <w:p>
            <w:r>
              <w:t>默认禁止</w:t>
            </w:r>
          </w:p>
        </w:tc>
        <w:tc>
          <w:tcPr>
            <w:tcW w:type="dxa" w:w="3293"/>
          </w:tcPr>
          <w:p>
            <w:r>
              <w:t>单独授权与审计</w:t>
            </w:r>
          </w:p>
        </w:tc>
      </w:tr>
      <w:tr>
        <w:tc>
          <w:tcPr>
            <w:tcW w:type="dxa" w:w="3293"/>
          </w:tcPr>
          <w:p>
            <w:r>
              <w:t>正式交付</w:t>
            </w:r>
          </w:p>
        </w:tc>
        <w:tc>
          <w:tcPr>
            <w:tcW w:type="dxa" w:w="3293"/>
          </w:tcPr>
          <w:p>
            <w:r>
              <w:t>默认禁止</w:t>
            </w:r>
          </w:p>
        </w:tc>
        <w:tc>
          <w:tcPr>
            <w:tcW w:type="dxa" w:w="3293"/>
          </w:tcPr>
          <w:p>
            <w:r>
              <w:t>允许</w:t>
            </w:r>
          </w:p>
        </w:tc>
      </w:tr>
    </w:tbl>
    <w:p/>
    <w:p>
      <w:pPr>
        <w:pStyle w:val="Heading1"/>
      </w:pPr>
      <w:r>
        <w:t>8. 建议技术基线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层</w:t>
            </w:r>
          </w:p>
        </w:tc>
        <w:tc>
          <w:tcPr>
            <w:tcW w:type="dxa" w:w="3293"/>
          </w:tcPr>
          <w:p>
            <w:r>
              <w:t>MVP 建议</w:t>
            </w:r>
          </w:p>
        </w:tc>
        <w:tc>
          <w:tcPr>
            <w:tcW w:type="dxa" w:w="3293"/>
          </w:tcPr>
          <w:p>
            <w:r>
              <w:t>选型原则</w:t>
            </w:r>
          </w:p>
        </w:tc>
      </w:tr>
      <w:tr>
        <w:tc>
          <w:tcPr>
            <w:tcW w:type="dxa" w:w="3293"/>
          </w:tcPr>
          <w:p>
            <w:r>
              <w:t>CLI/TUI</w:t>
            </w:r>
          </w:p>
        </w:tc>
        <w:tc>
          <w:tcPr>
            <w:tcW w:type="dxa" w:w="3293"/>
          </w:tcPr>
          <w:p>
            <w:r>
              <w:t>Go 或 Rust</w:t>
            </w:r>
          </w:p>
        </w:tc>
        <w:tc>
          <w:tcPr>
            <w:tcW w:type="dxa" w:w="3293"/>
          </w:tcPr>
          <w:p>
            <w:r>
              <w:t>优先可部署、可测试与跨平台。</w:t>
            </w:r>
          </w:p>
        </w:tc>
      </w:tr>
      <w:tr>
        <w:tc>
          <w:tcPr>
            <w:tcW w:type="dxa" w:w="3293"/>
          </w:tcPr>
          <w:p>
            <w:r>
              <w:t>API/UI</w:t>
            </w:r>
          </w:p>
        </w:tc>
        <w:tc>
          <w:tcPr>
            <w:tcW w:type="dxa" w:w="3293"/>
          </w:tcPr>
          <w:p>
            <w:r>
              <w:t>REST + SSE/WebSocket；轻量 Web UI</w:t>
            </w:r>
          </w:p>
        </w:tc>
        <w:tc>
          <w:tcPr>
            <w:tcW w:type="dxa" w:w="3293"/>
          </w:tcPr>
          <w:p>
            <w:r>
              <w:t>先保证状态一致性和审核体验。</w:t>
            </w:r>
          </w:p>
        </w:tc>
      </w:tr>
      <w:tr>
        <w:tc>
          <w:tcPr>
            <w:tcW w:type="dxa" w:w="3293"/>
          </w:tcPr>
          <w:p>
            <w:r>
              <w:t>Domain/Storage</w:t>
            </w:r>
          </w:p>
        </w:tc>
        <w:tc>
          <w:tcPr>
            <w:tcW w:type="dxa" w:w="3293"/>
          </w:tcPr>
          <w:p>
            <w:r>
              <w:t>PostgreSQL</w:t>
            </w:r>
          </w:p>
        </w:tc>
        <w:tc>
          <w:tcPr>
            <w:tcW w:type="dxa" w:w="3293"/>
          </w:tcPr>
          <w:p>
            <w:r>
              <w:t>事务、约束、审计和可查询性优先。</w:t>
            </w:r>
          </w:p>
        </w:tc>
      </w:tr>
      <w:tr>
        <w:tc>
          <w:tcPr>
            <w:tcW w:type="dxa" w:w="3293"/>
          </w:tcPr>
          <w:p>
            <w:r>
              <w:t>Execution</w:t>
            </w:r>
          </w:p>
        </w:tc>
        <w:tc>
          <w:tcPr>
            <w:tcW w:type="dxa" w:w="3293"/>
          </w:tcPr>
          <w:p>
            <w:r>
              <w:t>单一容器/本地执行器 adapter</w:t>
            </w:r>
          </w:p>
        </w:tc>
        <w:tc>
          <w:tcPr>
            <w:tcW w:type="dxa" w:w="3293"/>
          </w:tcPr>
          <w:p>
            <w:r>
              <w:t>隔离与可观测性优先，不追求多云。</w:t>
            </w:r>
          </w:p>
        </w:tc>
      </w:tr>
      <w:tr>
        <w:tc>
          <w:tcPr>
            <w:tcW w:type="dxa" w:w="3293"/>
          </w:tcPr>
          <w:p>
            <w:r>
              <w:t>Protocols</w:t>
            </w:r>
          </w:p>
        </w:tc>
        <w:tc>
          <w:tcPr>
            <w:tcW w:type="dxa" w:w="3293"/>
          </w:tcPr>
          <w:p>
            <w:r>
              <w:t>MCP/A2A 按具体集成需求加入</w:t>
            </w:r>
          </w:p>
        </w:tc>
        <w:tc>
          <w:tcPr>
            <w:tcW w:type="dxa" w:w="3293"/>
          </w:tcPr>
          <w:p>
            <w:r>
              <w:t>先做领域 API 与 adapter contract。</w:t>
            </w:r>
          </w:p>
        </w:tc>
      </w:tr>
      <w:tr>
        <w:tc>
          <w:tcPr>
            <w:tcW w:type="dxa" w:w="3293"/>
          </w:tcPr>
          <w:p>
            <w:r>
              <w:t>Collaboration</w:t>
            </w:r>
          </w:p>
        </w:tc>
        <w:tc>
          <w:tcPr>
            <w:tcW w:type="dxa" w:w="3293"/>
          </w:tcPr>
          <w:p>
            <w:r>
              <w:t>Matrix 可选适配器</w:t>
            </w:r>
          </w:p>
        </w:tc>
        <w:tc>
          <w:tcPr>
            <w:tcW w:type="dxa" w:w="3293"/>
          </w:tcPr>
          <w:p>
            <w:r>
              <w:t>不作为 MVP 的强依赖。</w:t>
            </w:r>
          </w:p>
        </w:tc>
      </w:tr>
      <w:tr>
        <w:tc>
          <w:tcPr>
            <w:tcW w:type="dxa" w:w="3293"/>
          </w:tcPr>
          <w:p>
            <w:r>
              <w:t>Observability</w:t>
            </w:r>
          </w:p>
        </w:tc>
        <w:tc>
          <w:tcPr>
            <w:tcW w:type="dxa" w:w="3293"/>
          </w:tcPr>
          <w:p>
            <w:r>
              <w:t>结构化日志；后续接 OpenTelemetry</w:t>
            </w:r>
          </w:p>
        </w:tc>
        <w:tc>
          <w:tcPr>
            <w:tcW w:type="dxa" w:w="3293"/>
          </w:tcPr>
          <w:p>
            <w:r>
              <w:t>先记录 project/task/execution correlation IDs。</w:t>
            </w:r>
          </w:p>
        </w:tc>
      </w:tr>
    </w:tbl>
    <w:p/>
    <w:p>
      <w:pPr>
        <w:pStyle w:val="Heading1"/>
      </w:pPr>
      <w:r>
        <w:t>9. 8 周执行计划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周期</w:t>
            </w:r>
          </w:p>
        </w:tc>
        <w:tc>
          <w:tcPr>
            <w:tcW w:type="dxa" w:w="3293"/>
          </w:tcPr>
          <w:p>
            <w:r>
              <w:t>交付物</w:t>
            </w:r>
          </w:p>
        </w:tc>
        <w:tc>
          <w:tcPr>
            <w:tcW w:type="dxa" w:w="3293"/>
          </w:tcPr>
          <w:p>
            <w:r>
              <w:t>退出标准</w:t>
            </w:r>
          </w:p>
        </w:tc>
      </w:tr>
      <w:tr>
        <w:tc>
          <w:tcPr>
            <w:tcW w:type="dxa" w:w="3293"/>
          </w:tcPr>
          <w:p>
            <w:r>
              <w:t>第 1 周</w:t>
            </w:r>
          </w:p>
        </w:tc>
        <w:tc>
          <w:tcPr>
            <w:tcW w:type="dxa" w:w="3293"/>
          </w:tcPr>
          <w:p>
            <w:r>
              <w:t>领域模型、状态机、权限矩阵、ADR</w:t>
            </w:r>
          </w:p>
        </w:tc>
        <w:tc>
          <w:tcPr>
            <w:tcW w:type="dxa" w:w="3293"/>
          </w:tcPr>
          <w:p>
            <w:r>
              <w:t>团队对状态语义与边界达成一致。</w:t>
            </w:r>
          </w:p>
        </w:tc>
      </w:tr>
      <w:tr>
        <w:tc>
          <w:tcPr>
            <w:tcW w:type="dxa" w:w="3293"/>
          </w:tcPr>
          <w:p>
            <w:r>
              <w:t>第 2 周</w:t>
            </w:r>
          </w:p>
        </w:tc>
        <w:tc>
          <w:tcPr>
            <w:tcW w:type="dxa" w:w="3293"/>
          </w:tcPr>
          <w:p>
            <w:r>
              <w:t>数据库 schema、API、审计事件</w:t>
            </w:r>
          </w:p>
        </w:tc>
        <w:tc>
          <w:tcPr>
            <w:tcW w:type="dxa" w:w="3293"/>
          </w:tcPr>
          <w:p>
            <w:r>
              <w:t>关键状态可持久化并可追踪。</w:t>
            </w:r>
          </w:p>
        </w:tc>
      </w:tr>
      <w:tr>
        <w:tc>
          <w:tcPr>
            <w:tcW w:type="dxa" w:w="3293"/>
          </w:tcPr>
          <w:p>
            <w:r>
              <w:t>第 3 周</w:t>
            </w:r>
          </w:p>
        </w:tc>
        <w:tc>
          <w:tcPr>
            <w:tcW w:type="dxa" w:w="3293"/>
          </w:tcPr>
          <w:p>
            <w:r>
              <w:t>CLI/TUI 项目与任务操作</w:t>
            </w:r>
          </w:p>
        </w:tc>
        <w:tc>
          <w:tcPr>
            <w:tcW w:type="dxa" w:w="3293"/>
          </w:tcPr>
          <w:p>
            <w:r>
              <w:t>可创建项目、分配任务、查看状态。</w:t>
            </w:r>
          </w:p>
        </w:tc>
      </w:tr>
      <w:tr>
        <w:tc>
          <w:tcPr>
            <w:tcW w:type="dxa" w:w="3293"/>
          </w:tcPr>
          <w:p>
            <w:r>
              <w:t>第 4 周</w:t>
            </w:r>
          </w:p>
        </w:tc>
        <w:tc>
          <w:tcPr>
            <w:tcW w:type="dxa" w:w="3293"/>
          </w:tcPr>
          <w:p>
            <w:r>
              <w:t>Runtime adapter 与执行记录</w:t>
            </w:r>
          </w:p>
        </w:tc>
        <w:tc>
          <w:tcPr>
            <w:tcW w:type="dxa" w:w="3293"/>
          </w:tcPr>
          <w:p>
            <w:r>
              <w:t>可启动、停止、收集产物并记录失败。</w:t>
            </w:r>
          </w:p>
        </w:tc>
      </w:tr>
      <w:tr>
        <w:tc>
          <w:tcPr>
            <w:tcW w:type="dxa" w:w="3293"/>
          </w:tcPr>
          <w:p>
            <w:r>
              <w:t>第 5 周</w:t>
            </w:r>
          </w:p>
        </w:tc>
        <w:tc>
          <w:tcPr>
            <w:tcW w:type="dxa" w:w="3293"/>
          </w:tcPr>
          <w:p>
            <w:r>
              <w:t>Evidence 与自动验证</w:t>
            </w:r>
          </w:p>
        </w:tc>
        <w:tc>
          <w:tcPr>
            <w:tcW w:type="dxa" w:w="3293"/>
          </w:tcPr>
          <w:p>
            <w:r>
              <w:t>测试/PR/日志可绑定到任务与执行。</w:t>
            </w:r>
          </w:p>
        </w:tc>
      </w:tr>
      <w:tr>
        <w:tc>
          <w:tcPr>
            <w:tcW w:type="dxa" w:w="3293"/>
          </w:tcPr>
          <w:p>
            <w:r>
              <w:t>第 6 周</w:t>
            </w:r>
          </w:p>
        </w:tc>
        <w:tc>
          <w:tcPr>
            <w:tcW w:type="dxa" w:w="3293"/>
          </w:tcPr>
          <w:p>
            <w:r>
              <w:t>Human review 与 rework</w:t>
            </w:r>
          </w:p>
        </w:tc>
        <w:tc>
          <w:tcPr>
            <w:tcW w:type="dxa" w:w="3293"/>
          </w:tcPr>
          <w:p>
            <w:r>
              <w:t>reject 能生成可追溯的返工路径。</w:t>
            </w:r>
          </w:p>
        </w:tc>
      </w:tr>
      <w:tr>
        <w:tc>
          <w:tcPr>
            <w:tcW w:type="dxa" w:w="3293"/>
          </w:tcPr>
          <w:p>
            <w:r>
              <w:t>第 7 周</w:t>
            </w:r>
          </w:p>
        </w:tc>
        <w:tc>
          <w:tcPr>
            <w:tcW w:type="dxa" w:w="3293"/>
          </w:tcPr>
          <w:p>
            <w:r>
              <w:t>端到端演示与故障测试</w:t>
            </w:r>
          </w:p>
        </w:tc>
        <w:tc>
          <w:tcPr>
            <w:tcW w:type="dxa" w:w="3293"/>
          </w:tcPr>
          <w:p>
            <w:r>
              <w:t>中断、重复命令、权限拒绝测试通过。</w:t>
            </w:r>
          </w:p>
        </w:tc>
      </w:tr>
      <w:tr>
        <w:tc>
          <w:tcPr>
            <w:tcW w:type="dxa" w:w="3293"/>
          </w:tcPr>
          <w:p>
            <w:r>
              <w:t>第 8 周</w:t>
            </w:r>
          </w:p>
        </w:tc>
        <w:tc>
          <w:tcPr>
            <w:tcW w:type="dxa" w:w="3293"/>
          </w:tcPr>
          <w:p>
            <w:r>
              <w:t>真实项目试点与评估</w:t>
            </w:r>
          </w:p>
        </w:tc>
        <w:tc>
          <w:tcPr>
            <w:tcW w:type="dxa" w:w="3293"/>
          </w:tcPr>
          <w:p>
            <w:r>
              <w:t>形成成本、验收率、人工介入数据与下一阶段决策。</w:t>
            </w:r>
          </w:p>
        </w:tc>
      </w:tr>
    </w:tbl>
    <w:p/>
    <w:p>
      <w:pPr>
        <w:pStyle w:val="Heading1"/>
      </w:pPr>
      <w:r>
        <w:t>10. MVP 验收标准</w:t>
      </w:r>
    </w:p>
    <w:p>
      <w:pPr>
        <w:pStyle w:val="ListBullet"/>
      </w:pPr>
      <w:r>
        <w:t>Agent 的完成声明与 ACCEPTED 状态不可混淆。</w:t>
      </w:r>
    </w:p>
    <w:p>
      <w:pPr>
        <w:pStyle w:val="ListBullet"/>
      </w:pPr>
      <w:r>
        <w:t>关键决策必须记录操作者、权限来源、理由与相关证据。</w:t>
      </w:r>
    </w:p>
    <w:p>
      <w:pPr>
        <w:pStyle w:val="ListBullet"/>
      </w:pPr>
      <w:r>
        <w:t>拒绝后能产生新的返工/执行尝试，旧产物不被静默覆盖。</w:t>
      </w:r>
    </w:p>
    <w:p>
      <w:pPr>
        <w:pStyle w:val="ListBullet"/>
      </w:pPr>
      <w:r>
        <w:t>runtime 中断会进入明确状态，并可恢复或人工处理。</w:t>
      </w:r>
    </w:p>
    <w:p>
      <w:pPr>
        <w:pStyle w:val="ListBullet"/>
      </w:pPr>
      <w:r>
        <w:t>重复提交命令不会产生重复的关键业务动作，或有明确幂等键策略。</w:t>
      </w:r>
    </w:p>
    <w:p>
      <w:pPr>
        <w:pStyle w:val="ListBullet"/>
      </w:pPr>
      <w:r>
        <w:t>至少一个真实项目完成从需求到交付的完整闭环。</w:t>
      </w:r>
    </w:p>
    <w:p>
      <w:pPr>
        <w:pStyle w:val="ListBullet"/>
      </w:pPr>
      <w:r>
        <w:t>越权审批、越权交付和越权范围变更测试全部通过。</w:t>
      </w:r>
    </w:p>
    <w:p>
      <w:pPr>
        <w:pStyle w:val="Heading1"/>
      </w:pPr>
      <w:r>
        <w:t>11. 风险与缓解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风险</w:t>
            </w:r>
          </w:p>
        </w:tc>
        <w:tc>
          <w:tcPr>
            <w:tcW w:type="dxa" w:w="4939"/>
          </w:tcPr>
          <w:p>
            <w:r>
              <w:t>缓解措施</w:t>
            </w:r>
          </w:p>
        </w:tc>
      </w:tr>
      <w:tr>
        <w:tc>
          <w:tcPr>
            <w:tcW w:type="dxa" w:w="4939"/>
          </w:tcPr>
          <w:p>
            <w:r>
              <w:t>Agent/runtime API 变化</w:t>
            </w:r>
          </w:p>
        </w:tc>
        <w:tc>
          <w:tcPr>
            <w:tcW w:type="dxa" w:w="4939"/>
          </w:tcPr>
          <w:p>
            <w:r>
              <w:t>适配器隔离、contract tests、限定首发支持范围。</w:t>
            </w:r>
          </w:p>
        </w:tc>
      </w:tr>
      <w:tr>
        <w:tc>
          <w:tcPr>
            <w:tcW w:type="dxa" w:w="4939"/>
          </w:tcPr>
          <w:p>
            <w:r>
              <w:t>项目状态机膨胀</w:t>
            </w:r>
          </w:p>
        </w:tc>
        <w:tc>
          <w:tcPr>
            <w:tcW w:type="dxa" w:w="4939"/>
          </w:tcPr>
          <w:p>
            <w:r>
              <w:t>WorkItem、Execution、Project 分开建模。</w:t>
            </w:r>
          </w:p>
        </w:tc>
      </w:tr>
      <w:tr>
        <w:tc>
          <w:tcPr>
            <w:tcW w:type="dxa" w:w="4939"/>
          </w:tcPr>
          <w:p>
            <w:r>
              <w:t>证据数量多但质量差</w:t>
            </w:r>
          </w:p>
        </w:tc>
        <w:tc>
          <w:tcPr>
            <w:tcW w:type="dxa" w:w="4939"/>
          </w:tcPr>
          <w:p>
            <w:r>
              <w:t>记录 evidence provenance、验证器版本与局限。</w:t>
            </w:r>
          </w:p>
        </w:tc>
      </w:tr>
      <w:tr>
        <w:tc>
          <w:tcPr>
            <w:tcW w:type="dxa" w:w="4939"/>
          </w:tcPr>
          <w:p>
            <w:r>
              <w:t>人工审核成为瓶颈</w:t>
            </w:r>
          </w:p>
        </w:tc>
        <w:tc>
          <w:tcPr>
            <w:tcW w:type="dxa" w:w="4939"/>
          </w:tcPr>
          <w:p>
            <w:r>
              <w:t>先量化人工介入时间，再逐步自动化低风险检查。</w:t>
            </w:r>
          </w:p>
        </w:tc>
      </w:tr>
      <w:tr>
        <w:tc>
          <w:tcPr>
            <w:tcW w:type="dxa" w:w="4939"/>
          </w:tcPr>
          <w:p>
            <w:r>
              <w:t>范围失控</w:t>
            </w:r>
          </w:p>
        </w:tc>
        <w:tc>
          <w:tcPr>
            <w:tcW w:type="dxa" w:w="4939"/>
          </w:tcPr>
          <w:p>
            <w:r>
              <w:t>把 Marketplace、联邦、通用 DB branching 列为非目标。</w:t>
            </w:r>
          </w:p>
        </w:tc>
      </w:tr>
    </w:tbl>
    <w:p/>
    <w:p>
      <w:pPr>
        <w:pStyle w:val="Heading1"/>
      </w:pPr>
      <w:r>
        <w:t>12. 立项决策</w:t>
      </w:r>
    </w:p>
    <w:p>
      <w:r>
        <w:t>批准进入 8 周 MVP 阶段，但在进入开发前，必须完成状态机、权限矩阵、领域 schema 和 runtime adapter contract 的技术评审。第 8 周以试点数据决定继续投入、调整定位或停止扩张。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B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