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Myrmidon 商业计划书</w:t>
      </w:r>
    </w:p>
    <w:p>
      <w:pPr>
        <w:jc w:val="left"/>
      </w:pPr>
      <w:r>
        <w:rPr>
          <w:i/>
          <w:color w:val="5A6978"/>
          <w:sz w:val="22"/>
        </w:rPr>
        <w:t>早期商业假设与验证计划</w:t>
      </w:r>
    </w:p>
    <w:p>
      <w:r>
        <w:t>版本：0.2（评审修订稿）  |  日期：2026-10-10</w:t>
      </w:r>
    </w:p>
    <w:p>
      <w:pPr>
        <w:pStyle w:val="Heading1"/>
      </w:pPr>
      <w:r>
        <w:t>1. 执行摘要</w:t>
      </w:r>
    </w:p>
    <w:p>
      <w:r>
        <w:t>Myrmidon 面向使用多个 AI Agent 执行真实项目的团队，提供跨 runtime 的项目状态、执行追踪、证据、人工裁决、返工和交付控制。商业主张不是“更多 Agent”，而是让组织更可靠地交付被接受的工作。当前商业论点仍属待验证假设，建议先从 AI 软件工作室或软件服务团队切入。</w:t>
      </w:r>
    </w:p>
    <w:p>
      <w:pPr>
        <w:pStyle w:val="Heading1"/>
      </w:pPr>
      <w:r>
        <w:t>2. 首发客户与问题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ICP</w:t>
            </w:r>
          </w:p>
        </w:tc>
        <w:tc>
          <w:tcPr>
            <w:tcW w:type="dxa" w:w="3293"/>
          </w:tcPr>
          <w:p>
            <w:r>
              <w:t>痛点</w:t>
            </w:r>
          </w:p>
        </w:tc>
        <w:tc>
          <w:tcPr>
            <w:tcW w:type="dxa" w:w="3293"/>
          </w:tcPr>
          <w:p>
            <w:r>
              <w:t>购买触发点</w:t>
            </w:r>
          </w:p>
        </w:tc>
      </w:tr>
      <w:tr>
        <w:tc>
          <w:tcPr>
            <w:tcW w:type="dxa" w:w="3293"/>
          </w:tcPr>
          <w:p>
            <w:r>
              <w:t>AI 软件工作室/软件外包团队</w:t>
            </w:r>
          </w:p>
        </w:tc>
        <w:tc>
          <w:tcPr>
            <w:tcW w:type="dxa" w:w="3293"/>
          </w:tcPr>
          <w:p>
            <w:r>
              <w:t>Agent 产出难验收、返工分散、客户交付缺乏可追溯性</w:t>
            </w:r>
          </w:p>
        </w:tc>
        <w:tc>
          <w:tcPr>
            <w:tcW w:type="dxa" w:w="3293"/>
          </w:tcPr>
          <w:p>
            <w:r>
              <w:t>项目数量增加、客户要求审计/验收、负责人监督成本过高。</w:t>
            </w:r>
          </w:p>
        </w:tc>
      </w:tr>
      <w:tr>
        <w:tc>
          <w:tcPr>
            <w:tcW w:type="dxa" w:w="3293"/>
          </w:tcPr>
          <w:p>
            <w:r>
              <w:t>AI-native 产品团队</w:t>
            </w:r>
          </w:p>
        </w:tc>
        <w:tc>
          <w:tcPr>
            <w:tcW w:type="dxa" w:w="3293"/>
          </w:tcPr>
          <w:p>
            <w:r>
              <w:t>多个 coding agents 并行造成任务冲突和上下文丢失</w:t>
            </w:r>
          </w:p>
        </w:tc>
        <w:tc>
          <w:tcPr>
            <w:tcW w:type="dxa" w:w="3293"/>
          </w:tcPr>
          <w:p>
            <w:r>
              <w:t>Agent 使用规模扩大但工程效率没有同步提升。</w:t>
            </w:r>
          </w:p>
        </w:tc>
      </w:tr>
      <w:tr>
        <w:tc>
          <w:tcPr>
            <w:tcW w:type="dxa" w:w="3293"/>
          </w:tcPr>
          <w:p>
            <w:r>
              <w:t>企业 AI 工程团队</w:t>
            </w:r>
          </w:p>
        </w:tc>
        <w:tc>
          <w:tcPr>
            <w:tcW w:type="dxa" w:w="3293"/>
          </w:tcPr>
          <w:p>
            <w:r>
              <w:t>执行权限、审计、成本与合规难统一</w:t>
            </w:r>
          </w:p>
        </w:tc>
        <w:tc>
          <w:tcPr>
            <w:tcW w:type="dxa" w:w="3293"/>
          </w:tcPr>
          <w:p>
            <w:r>
              <w:t>开始把 Agent 接入敏感系统或关键业务流程。</w:t>
            </w:r>
          </w:p>
        </w:tc>
      </w:tr>
    </w:tbl>
    <w:p/>
    <w:p>
      <w:r>
        <w:t>建议首发只选一个 ICP。最贴近 Myrmidon 原始乙方入口设想的是 AI 软件工作室/软件服务团队，因为其项目交付、返工和客户验收问题最直接。</w:t>
      </w:r>
    </w:p>
    <w:p>
      <w:pPr>
        <w:pStyle w:val="Heading1"/>
      </w:pPr>
      <w:r>
        <w:t>3. 价值主张</w:t>
      </w:r>
    </w:p>
    <w:p>
      <w:pPr>
        <w:pStyle w:val="ListBullet"/>
      </w:pPr>
      <w:r>
        <w:t>把 Agent 的执行结果变成可追溯的项目工作，而不是散落在多个终端和聊天窗口。</w:t>
      </w:r>
    </w:p>
    <w:p>
      <w:pPr>
        <w:pStyle w:val="ListBullet"/>
      </w:pPr>
      <w:r>
        <w:t>将完成声明、自动化验证和业务验收分开。</w:t>
      </w:r>
    </w:p>
    <w:p>
      <w:pPr>
        <w:pStyle w:val="ListBullet"/>
      </w:pPr>
      <w:r>
        <w:t>让拒绝与返工保留原因、证据和历史执行，而不是简单重跑。</w:t>
      </w:r>
    </w:p>
    <w:p>
      <w:pPr>
        <w:pStyle w:val="ListBullet"/>
      </w:pPr>
      <w:r>
        <w:t>支持不同 Agent runtime，降低单一厂商锁定风险。</w:t>
      </w:r>
    </w:p>
    <w:p>
      <w:pPr>
        <w:pStyle w:val="ListBullet"/>
      </w:pPr>
      <w:r>
        <w:t>帮助负责人量化每个已接受交付物的成本与人工监督时间。</w:t>
      </w:r>
    </w:p>
    <w:p>
      <w:pPr>
        <w:pStyle w:val="Heading1"/>
      </w:pPr>
      <w:r>
        <w:t>4. 替代方案与竞争定位</w:t>
      </w:r>
    </w:p>
    <w:p>
      <w:r>
        <w:t>替代方案包括现有 issue/project 管理工具、coding agent 自带的任务能力、自建脚本与工作流、Agent team/orchestration 项目，以及企业内部平台。Myrmidon 的差异化假设是：将项目领域状态、证据、授权决策、返工和交付统一为跨 runtime 的控制层。该差异化必须通过客户访谈和试点验证，不能仅凭功能列表断言竞争优势。</w:t>
      </w:r>
    </w:p>
    <w:p>
      <w:pPr>
        <w:pStyle w:val="Heading1"/>
      </w:pPr>
      <w:r>
        <w:t>5. 商业模式（假设）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方案</w:t>
            </w:r>
          </w:p>
        </w:tc>
        <w:tc>
          <w:tcPr>
            <w:tcW w:type="dxa" w:w="3293"/>
          </w:tcPr>
          <w:p>
            <w:r>
              <w:t>建议测试价格</w:t>
            </w:r>
          </w:p>
        </w:tc>
        <w:tc>
          <w:tcPr>
            <w:tcW w:type="dxa" w:w="3293"/>
          </w:tcPr>
          <w:p>
            <w:r>
              <w:t>说明</w:t>
            </w:r>
          </w:p>
        </w:tc>
      </w:tr>
      <w:tr>
        <w:tc>
          <w:tcPr>
            <w:tcW w:type="dxa" w:w="3293"/>
          </w:tcPr>
          <w:p>
            <w:r>
              <w:t>Open Source Core</w:t>
            </w:r>
          </w:p>
        </w:tc>
        <w:tc>
          <w:tcPr>
            <w:tcW w:type="dxa" w:w="3293"/>
          </w:tcPr>
          <w:p>
            <w:r>
              <w:t>免费</w:t>
            </w:r>
          </w:p>
        </w:tc>
        <w:tc>
          <w:tcPr>
            <w:tcW w:type="dxa" w:w="3293"/>
          </w:tcPr>
          <w:p>
            <w:r>
              <w:t>CLI、核心领域模型、单机执行、基础证据与人工门禁。</w:t>
            </w:r>
          </w:p>
        </w:tc>
      </w:tr>
      <w:tr>
        <w:tc>
          <w:tcPr>
            <w:tcW w:type="dxa" w:w="3293"/>
          </w:tcPr>
          <w:p>
            <w:r>
              <w:t>Team Cloud</w:t>
            </w:r>
          </w:p>
        </w:tc>
        <w:tc>
          <w:tcPr>
            <w:tcW w:type="dxa" w:w="3293"/>
          </w:tcPr>
          <w:p>
            <w:r>
              <w:t>$20–50 / 用户 / 月</w:t>
            </w:r>
          </w:p>
        </w:tc>
        <w:tc>
          <w:tcPr>
            <w:tcW w:type="dxa" w:w="3293"/>
          </w:tcPr>
          <w:p>
            <w:r>
              <w:t>仅作为价格实验区间；需验证团队愿付金额与计算资源成本。</w:t>
            </w:r>
          </w:p>
        </w:tc>
      </w:tr>
      <w:tr>
        <w:tc>
          <w:tcPr>
            <w:tcW w:type="dxa" w:w="3293"/>
          </w:tcPr>
          <w:p>
            <w:r>
              <w:t>Business</w:t>
            </w:r>
          </w:p>
        </w:tc>
        <w:tc>
          <w:tcPr>
            <w:tcW w:type="dxa" w:w="3293"/>
          </w:tcPr>
          <w:p>
            <w:r>
              <w:t>$100–300 / 用户 / 月或组织套餐</w:t>
            </w:r>
          </w:p>
        </w:tc>
        <w:tc>
          <w:tcPr>
            <w:tcW w:type="dxa" w:w="3293"/>
          </w:tcPr>
          <w:p>
            <w:r>
              <w:t>审计、权限、团队管理、保留策略与客户协作；避免在价值未验证前承诺。</w:t>
            </w:r>
          </w:p>
        </w:tc>
      </w:tr>
      <w:tr>
        <w:tc>
          <w:tcPr>
            <w:tcW w:type="dxa" w:w="3293"/>
          </w:tcPr>
          <w:p>
            <w:r>
              <w:t>Enterprise</w:t>
            </w:r>
          </w:p>
        </w:tc>
        <w:tc>
          <w:tcPr>
            <w:tcW w:type="dxa" w:w="3293"/>
          </w:tcPr>
          <w:p>
            <w:r>
              <w:t>定制报价</w:t>
            </w:r>
          </w:p>
        </w:tc>
        <w:tc>
          <w:tcPr>
            <w:tcW w:type="dxa" w:w="3293"/>
          </w:tcPr>
          <w:p>
            <w:r>
              <w:t>私有部署、SSO、审计、合规、支持与集成。</w:t>
            </w:r>
          </w:p>
        </w:tc>
      </w:tr>
      <w:tr>
        <w:tc>
          <w:tcPr>
            <w:tcW w:type="dxa" w:w="3293"/>
          </w:tcPr>
          <w:p>
            <w:r>
              <w:t>AI Delivery Services</w:t>
            </w:r>
          </w:p>
        </w:tc>
        <w:tc>
          <w:tcPr>
            <w:tcW w:type="dxa" w:w="3293"/>
          </w:tcPr>
          <w:p>
            <w:r>
              <w:t>按项目报价</w:t>
            </w:r>
          </w:p>
        </w:tc>
        <w:tc>
          <w:tcPr>
            <w:tcW w:type="dxa" w:w="3293"/>
          </w:tcPr>
          <w:p>
            <w:r>
              <w:t>早期可作为内部试验和收入来源，但要避免服务业务吞噬产品研发。</w:t>
            </w:r>
          </w:p>
        </w:tc>
      </w:tr>
    </w:tbl>
    <w:p/>
    <w:p>
      <w:pPr>
        <w:pStyle w:val="Heading1"/>
      </w:pPr>
      <w:r>
        <w:t>6. 早期验证计划</w:t>
      </w:r>
    </w:p>
    <w:p>
      <w:pPr>
        <w:pStyle w:val="ListNumber"/>
      </w:pPr>
      <w:r>
        <w:t>访谈 10–15 位目标客户，聚焦当前 Agent 项目失败、返工、监督与验收成本。</w:t>
      </w:r>
    </w:p>
    <w:p>
      <w:pPr>
        <w:pStyle w:val="ListNumber"/>
      </w:pPr>
      <w:r>
        <w:t>观察至少 3 个真实项目，不只演示；记录基线工具链、工作流程和人工介入时间。</w:t>
      </w:r>
    </w:p>
    <w:p>
      <w:pPr>
        <w:pStyle w:val="ListNumber"/>
      </w:pPr>
      <w:r>
        <w:t>选择 2–3 个试点团队，测试从任务到证据、拒绝、返工和交付的完整闭环。</w:t>
      </w:r>
    </w:p>
    <w:p>
      <w:pPr>
        <w:pStyle w:val="ListNumber"/>
      </w:pPr>
      <w:r>
        <w:t>测试两种收费方式：按用户/团队订阅与按项目/执行量收费。</w:t>
      </w:r>
    </w:p>
    <w:p>
      <w:pPr>
        <w:pStyle w:val="ListNumber"/>
      </w:pPr>
      <w:r>
        <w:t>要求试点客户提供行为承诺：持续使用、介绍下一位客户或付费，而不是只给正面反馈。</w:t>
      </w:r>
    </w:p>
    <w:p>
      <w:pPr>
        <w:pStyle w:val="Heading1"/>
      </w:pPr>
      <w:r>
        <w:t>7. 核心指标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指标</w:t>
            </w:r>
          </w:p>
        </w:tc>
        <w:tc>
          <w:tcPr>
            <w:tcW w:type="dxa" w:w="3293"/>
          </w:tcPr>
          <w:p>
            <w:r>
              <w:t>定义</w:t>
            </w:r>
          </w:p>
        </w:tc>
        <w:tc>
          <w:tcPr>
            <w:tcW w:type="dxa" w:w="3293"/>
          </w:tcPr>
          <w:p>
            <w:r>
              <w:t>用途</w:t>
            </w:r>
          </w:p>
        </w:tc>
      </w:tr>
      <w:tr>
        <w:tc>
          <w:tcPr>
            <w:tcW w:type="dxa" w:w="3293"/>
          </w:tcPr>
          <w:p>
            <w:r>
              <w:t>Cost per Accepted Deliverable</w:t>
            </w:r>
          </w:p>
        </w:tc>
        <w:tc>
          <w:tcPr>
            <w:tcW w:type="dxa" w:w="3293"/>
          </w:tcPr>
          <w:p>
            <w:r>
              <w:t>AI、算力与平台成本 / 被接受的交付物数量</w:t>
            </w:r>
          </w:p>
        </w:tc>
        <w:tc>
          <w:tcPr>
            <w:tcW w:type="dxa" w:w="3293"/>
          </w:tcPr>
          <w:p>
            <w:r>
              <w:t>衡量交付经济性。</w:t>
            </w:r>
          </w:p>
        </w:tc>
      </w:tr>
      <w:tr>
        <w:tc>
          <w:tcPr>
            <w:tcW w:type="dxa" w:w="3293"/>
          </w:tcPr>
          <w:p>
            <w:r>
              <w:t>First-pass Acceptance Rate</w:t>
            </w:r>
          </w:p>
        </w:tc>
        <w:tc>
          <w:tcPr>
            <w:tcW w:type="dxa" w:w="3293"/>
          </w:tcPr>
          <w:p>
            <w:r>
              <w:t>首次提交即被接受的工作项比例</w:t>
            </w:r>
          </w:p>
        </w:tc>
        <w:tc>
          <w:tcPr>
            <w:tcW w:type="dxa" w:w="3293"/>
          </w:tcPr>
          <w:p>
            <w:r>
              <w:t>衡量初次质量。</w:t>
            </w:r>
          </w:p>
        </w:tc>
      </w:tr>
      <w:tr>
        <w:tc>
          <w:tcPr>
            <w:tcW w:type="dxa" w:w="3293"/>
          </w:tcPr>
          <w:p>
            <w:r>
              <w:t>Human Attention Minutes</w:t>
            </w:r>
          </w:p>
        </w:tc>
        <w:tc>
          <w:tcPr>
            <w:tcW w:type="dxa" w:w="3293"/>
          </w:tcPr>
          <w:p>
            <w:r>
              <w:t>每个被接受交付物消耗的人类监督分钟数</w:t>
            </w:r>
          </w:p>
        </w:tc>
        <w:tc>
          <w:tcPr>
            <w:tcW w:type="dxa" w:w="3293"/>
          </w:tcPr>
          <w:p>
            <w:r>
              <w:t>衡量监督负担。</w:t>
            </w:r>
          </w:p>
        </w:tc>
      </w:tr>
      <w:tr>
        <w:tc>
          <w:tcPr>
            <w:tcW w:type="dxa" w:w="3293"/>
          </w:tcPr>
          <w:p>
            <w:r>
              <w:t>Rework Cycle Time</w:t>
            </w:r>
          </w:p>
        </w:tc>
        <w:tc>
          <w:tcPr>
            <w:tcW w:type="dxa" w:w="3293"/>
          </w:tcPr>
          <w:p>
            <w:r>
              <w:t>拒绝到重新提交/接受的时间</w:t>
            </w:r>
          </w:p>
        </w:tc>
        <w:tc>
          <w:tcPr>
            <w:tcW w:type="dxa" w:w="3293"/>
          </w:tcPr>
          <w:p>
            <w:r>
              <w:t>衡量返工效率。</w:t>
            </w:r>
          </w:p>
        </w:tc>
      </w:tr>
      <w:tr>
        <w:tc>
          <w:tcPr>
            <w:tcW w:type="dxa" w:w="3293"/>
          </w:tcPr>
          <w:p>
            <w:r>
              <w:t>Evidence Coverage</w:t>
            </w:r>
          </w:p>
        </w:tc>
        <w:tc>
          <w:tcPr>
            <w:tcW w:type="dxa" w:w="3293"/>
          </w:tcPr>
          <w:p>
            <w:r>
              <w:t>具备可审查证据的已提交工作项比例</w:t>
            </w:r>
          </w:p>
        </w:tc>
        <w:tc>
          <w:tcPr>
            <w:tcW w:type="dxa" w:w="3293"/>
          </w:tcPr>
          <w:p>
            <w:r>
              <w:t>衡量可审计性。</w:t>
            </w:r>
          </w:p>
        </w:tc>
      </w:tr>
      <w:tr>
        <w:tc>
          <w:tcPr>
            <w:tcW w:type="dxa" w:w="3293"/>
          </w:tcPr>
          <w:p>
            <w:r>
              <w:t>Pilot-to-Paid Conversion</w:t>
            </w:r>
          </w:p>
        </w:tc>
        <w:tc>
          <w:tcPr>
            <w:tcW w:type="dxa" w:w="3293"/>
          </w:tcPr>
          <w:p>
            <w:r>
              <w:t>转为付费的试点客户比例</w:t>
            </w:r>
          </w:p>
        </w:tc>
        <w:tc>
          <w:tcPr>
            <w:tcW w:type="dxa" w:w="3293"/>
          </w:tcPr>
          <w:p>
            <w:r>
              <w:t>验证商业需求。</w:t>
            </w:r>
          </w:p>
        </w:tc>
      </w:tr>
    </w:tbl>
    <w:p/>
    <w:p>
      <w:pPr>
        <w:pStyle w:val="Heading1"/>
      </w:pPr>
      <w:r>
        <w:t>8. Go-to-Market</w:t>
      </w:r>
    </w:p>
    <w:p>
      <w:pPr>
        <w:pStyle w:val="ListBullet"/>
      </w:pPr>
      <w:r>
        <w:t>开发者社区：以 CLI/TUI、公开路线图和可复现 demo 获取早期用户。</w:t>
      </w:r>
    </w:p>
    <w:p>
      <w:pPr>
        <w:pStyle w:val="ListBullet"/>
      </w:pPr>
      <w:r>
        <w:t>标杆场景：演示一个真实功能从需求、执行、测试、人工拒绝、返工到交付的完整链路。</w:t>
      </w:r>
    </w:p>
    <w:p>
      <w:pPr>
        <w:pStyle w:val="ListBullet"/>
      </w:pPr>
      <w:r>
        <w:t>设计合作伙伴：与少量 AI 软件工作室共创，不先追求广泛市场覆盖。</w:t>
      </w:r>
    </w:p>
    <w:p>
      <w:pPr>
        <w:pStyle w:val="ListBullet"/>
      </w:pPr>
      <w:r>
        <w:t>内容策略：发布项目级 Agent 交付评估、验收率与人工监督成本的实测报告。</w:t>
      </w:r>
    </w:p>
    <w:p>
      <w:pPr>
        <w:pStyle w:val="Heading1"/>
      </w:pPr>
      <w:r>
        <w:t>9. 财务与定价纪律</w:t>
      </w:r>
    </w:p>
    <w:p>
      <w:r>
        <w:t>目前没有足够证据支持可靠的 TAM、ARR 或五年收入预测，因此本稿不编造收入预测。下一版财务模型应以可验证输入建立：目标客户数量、付费转化、平均合同额、销售周期、支持成本、云成本、毛利率和流失率，并提供保守/基准/乐观三种情景。</w:t>
      </w:r>
    </w:p>
    <w:p>
      <w:pPr>
        <w:pStyle w:val="Heading1"/>
      </w:pPr>
      <w:r>
        <w:t>10. 风险</w:t>
      </w:r>
    </w:p>
    <w:p>
      <w:pPr>
        <w:pStyle w:val="ListBullet"/>
      </w:pPr>
      <w:r>
        <w:t>平台厂商可能把类似能力内置到 Agent 产品中。</w:t>
      </w:r>
    </w:p>
    <w:p>
      <w:pPr>
        <w:pStyle w:val="ListBullet"/>
      </w:pPr>
      <w:r>
        <w:t>客户可能认为现有 Git/issue/chat 工具加脚本已经足够。</w:t>
      </w:r>
    </w:p>
    <w:p>
      <w:pPr>
        <w:pStyle w:val="ListBullet"/>
      </w:pPr>
      <w:r>
        <w:t>人工验收仍是瓶颈，平台可能只增加管理开销。</w:t>
      </w:r>
    </w:p>
    <w:p>
      <w:pPr>
        <w:pStyle w:val="ListBullet"/>
      </w:pPr>
      <w:r>
        <w:t>多 runtime 支持的维护成本可能高于用户价值。</w:t>
      </w:r>
    </w:p>
    <w:p>
      <w:pPr>
        <w:pStyle w:val="ListBullet"/>
      </w:pPr>
      <w:r>
        <w:t>企业采购周期长，早期应避免过早进入复杂合规销售。</w:t>
      </w:r>
    </w:p>
    <w:p>
      <w:pPr>
        <w:pStyle w:val="Heading1"/>
      </w:pPr>
      <w:r>
        <w:t>11. 里程碑与投资门槛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阶段</w:t>
            </w:r>
          </w:p>
        </w:tc>
        <w:tc>
          <w:tcPr>
            <w:tcW w:type="dxa" w:w="3293"/>
          </w:tcPr>
          <w:p>
            <w:r>
              <w:t>目标</w:t>
            </w:r>
          </w:p>
        </w:tc>
        <w:tc>
          <w:tcPr>
            <w:tcW w:type="dxa" w:w="3293"/>
          </w:tcPr>
          <w:p>
            <w:r>
              <w:t>继续投入门槛</w:t>
            </w:r>
          </w:p>
        </w:tc>
      </w:tr>
      <w:tr>
        <w:tc>
          <w:tcPr>
            <w:tcW w:type="dxa" w:w="3293"/>
          </w:tcPr>
          <w:p>
            <w:r>
              <w:t>0–2 个月</w:t>
            </w:r>
          </w:p>
        </w:tc>
        <w:tc>
          <w:tcPr>
            <w:tcW w:type="dxa" w:w="3293"/>
          </w:tcPr>
          <w:p>
            <w:r>
              <w:t>MVP 与 1 个真实项目</w:t>
            </w:r>
          </w:p>
        </w:tc>
        <w:tc>
          <w:tcPr>
            <w:tcW w:type="dxa" w:w="3293"/>
          </w:tcPr>
          <w:p>
            <w:r>
              <w:t>闭环稳定，关键状态和证据可追溯。</w:t>
            </w:r>
          </w:p>
        </w:tc>
      </w:tr>
      <w:tr>
        <w:tc>
          <w:tcPr>
            <w:tcW w:type="dxa" w:w="3293"/>
          </w:tcPr>
          <w:p>
            <w:r>
              <w:t>2–4 个月</w:t>
            </w:r>
          </w:p>
        </w:tc>
        <w:tc>
          <w:tcPr>
            <w:tcW w:type="dxa" w:w="3293"/>
          </w:tcPr>
          <w:p>
            <w:r>
              <w:t>3 个设计伙伴试点</w:t>
            </w:r>
          </w:p>
        </w:tc>
        <w:tc>
          <w:tcPr>
            <w:tcW w:type="dxa" w:w="3293"/>
          </w:tcPr>
          <w:p>
            <w:r>
              <w:t>至少 2 个团队持续使用；至少 1 个有付费意愿或付费。</w:t>
            </w:r>
          </w:p>
        </w:tc>
      </w:tr>
      <w:tr>
        <w:tc>
          <w:tcPr>
            <w:tcW w:type="dxa" w:w="3293"/>
          </w:tcPr>
          <w:p>
            <w:r>
              <w:t>4–6 个月</w:t>
            </w:r>
          </w:p>
        </w:tc>
        <w:tc>
          <w:tcPr>
            <w:tcW w:type="dxa" w:w="3293"/>
          </w:tcPr>
          <w:p>
            <w:r>
              <w:t>验证价值与定价</w:t>
            </w:r>
          </w:p>
        </w:tc>
        <w:tc>
          <w:tcPr>
            <w:tcW w:type="dxa" w:w="3293"/>
          </w:tcPr>
          <w:p>
            <w:r>
              <w:t>能够量化人工介入、返工或验收效率改善。</w:t>
            </w:r>
          </w:p>
        </w:tc>
      </w:tr>
      <w:tr>
        <w:tc>
          <w:tcPr>
            <w:tcW w:type="dxa" w:w="3293"/>
          </w:tcPr>
          <w:p>
            <w:r>
              <w:t>6 个月后</w:t>
            </w:r>
          </w:p>
        </w:tc>
        <w:tc>
          <w:tcPr>
            <w:tcW w:type="dxa" w:w="3293"/>
          </w:tcPr>
          <w:p>
            <w:r>
              <w:t>决定 SaaS/企业化投入</w:t>
            </w:r>
          </w:p>
        </w:tc>
        <w:tc>
          <w:tcPr>
            <w:tcW w:type="dxa" w:w="3293"/>
          </w:tcPr>
          <w:p>
            <w:r>
              <w:t>客户需求与单位经济性支持继续扩张。</w:t>
            </w:r>
          </w:p>
        </w:tc>
      </w:tr>
    </w:tbl>
    <w:p/>
    <w:p>
      <w:pPr>
        <w:pStyle w:val="Heading1"/>
      </w:pPr>
      <w:r>
        <w:t>12. 投资人叙事（审慎版）</w:t>
      </w:r>
    </w:p>
    <w:p>
      <w:r>
        <w:t>Myrmidon 正在探索 Agent 经济中的项目控制层：当多个异构 Agent 执行真实工作时，组织需要统一管理目标、执行、证据、授权决策与交付。我们的早期策略是从软件项目交付切入，以可验证的验收质量和人类监督成本证明价值，再扩展到更广泛的企业 Agent 工作。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6B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36B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