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Productive Asset Finance Partnership Agreement</w:t>
      </w:r>
    </w:p>
    <w:p>
      <w:pPr>
        <w:pStyle w:val="Subtitle"/>
      </w:pPr>
      <w:r>
        <w:rPr>
          <w:color w:val="2D5A3F"/>
          <w:sz w:val="32"/>
        </w:rPr>
        <w:t>AgriShield Asset Access</w:t>
      </w:r>
    </w:p>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2448"/>
            <w:shd w:fill="123B2A"/>
            <w:tcMar>
              <w:top w:w="120" w:type="dxa"/>
              <w:start w:w="140" w:type="dxa"/>
              <w:bottom w:w="120" w:type="dxa"/>
              <w:end w:w="140" w:type="dxa"/>
            </w:tcMar>
            <w:vAlign w:val="center"/>
          </w:tcPr>
          <w:p>
            <w:r>
              <w:rPr>
                <w:b/>
                <w:color w:val="FFFFFF"/>
                <w:sz w:val="18"/>
              </w:rPr>
              <w:t>Document status</w:t>
            </w:r>
          </w:p>
        </w:tc>
        <w:tc>
          <w:tcPr>
            <w:tcW w:type="dxa" w:w="2376"/>
            <w:shd w:fill="123B2A"/>
            <w:tcMar>
              <w:top w:w="120" w:type="dxa"/>
              <w:start w:w="140" w:type="dxa"/>
              <w:bottom w:w="120" w:type="dxa"/>
              <w:end w:w="140" w:type="dxa"/>
            </w:tcMar>
            <w:vAlign w:val="center"/>
          </w:tcPr>
          <w:p>
            <w:r>
              <w:rPr>
                <w:b/>
                <w:color w:val="FFFFFF"/>
                <w:sz w:val="18"/>
              </w:rPr>
              <w:t>Prepared for</w:t>
            </w:r>
          </w:p>
        </w:tc>
        <w:tc>
          <w:tcPr>
            <w:tcW w:type="dxa" w:w="4536"/>
            <w:shd w:fill="123B2A"/>
            <w:tcMar>
              <w:top w:w="120" w:type="dxa"/>
              <w:start w:w="140" w:type="dxa"/>
              <w:bottom w:w="120" w:type="dxa"/>
              <w:end w:w="140" w:type="dxa"/>
            </w:tcMar>
            <w:vAlign w:val="center"/>
          </w:tcPr>
          <w:p>
            <w:r>
              <w:rPr>
                <w:b/>
                <w:color w:val="FFFFFF"/>
                <w:sz w:val="18"/>
              </w:rPr>
              <w:t>Proposed counterparties</w:t>
            </w:r>
          </w:p>
        </w:tc>
      </w:tr>
      <w:tr>
        <w:trPr>
          <w:cantSplit/>
        </w:trPr>
        <w:tc>
          <w:tcPr>
            <w:tcW w:type="dxa" w:w="2448"/>
            <w:tcMar>
              <w:top w:w="120" w:type="dxa"/>
              <w:start w:w="140" w:type="dxa"/>
              <w:bottom w:w="120" w:type="dxa"/>
              <w:end w:w="140" w:type="dxa"/>
            </w:tcMar>
            <w:vAlign w:val="center"/>
          </w:tcPr>
          <w:p>
            <w:pPr>
              <w:spacing w:after="0"/>
            </w:pPr>
            <w:r>
              <w:rPr>
                <w:sz w:val="18"/>
              </w:rPr>
              <w:t>Draft for discussion and independent legal review</w:t>
            </w:r>
          </w:p>
        </w:tc>
        <w:tc>
          <w:tcPr>
            <w:tcW w:type="dxa" w:w="2376"/>
            <w:tcMar>
              <w:top w:w="120" w:type="dxa"/>
              <w:start w:w="140" w:type="dxa"/>
              <w:bottom w:w="120" w:type="dxa"/>
              <w:end w:w="140" w:type="dxa"/>
            </w:tcMar>
            <w:vAlign w:val="center"/>
          </w:tcPr>
          <w:p>
            <w:pPr>
              <w:spacing w:after="0"/>
            </w:pPr>
            <w:r>
              <w:rPr>
                <w:sz w:val="18"/>
              </w:rPr>
              <w:t>AgriShield AI Ltd</w:t>
            </w:r>
          </w:p>
        </w:tc>
        <w:tc>
          <w:tcPr>
            <w:tcW w:type="dxa" w:w="4536"/>
            <w:tcMar>
              <w:top w:w="120" w:type="dxa"/>
              <w:start w:w="140" w:type="dxa"/>
              <w:bottom w:w="120" w:type="dxa"/>
              <w:end w:w="140" w:type="dxa"/>
            </w:tcMar>
            <w:vAlign w:val="center"/>
          </w:tcPr>
          <w:p>
            <w:pPr>
              <w:spacing w:after="0"/>
            </w:pPr>
            <w:r>
              <w:rPr>
                <w:sz w:val="18"/>
              </w:rPr>
              <w:t>Jaiz Bank Plc</w:t>
              <w:br/>
              <w:t>TAJBank Limited</w:t>
              <w:br/>
              <w:t>Bank of Agriculture Limited</w:t>
            </w:r>
          </w:p>
        </w:tc>
      </w:tr>
    </w:tbl>
    <w:p>
      <w:pPr>
        <w:spacing w:after="0"/>
      </w:pPr>
    </w:p>
    <w:p/>
    <w:p>
      <w:r>
        <w:rPr>
          <w:b/>
        </w:rPr>
        <w:t xml:space="preserve">Important status notice. </w:t>
      </w:r>
      <w:r>
        <w:t>This draft does not state or imply that any named bank has agreed to partner with AgriShield. No programme may be marketed, launched or represented as approved until the relevant bank and AgriShield execute a final agreement and obtain all required internal and regulatory approvals.</w:t>
      </w:r>
    </w:p>
    <w:p>
      <w:r>
        <w:rPr>
          <w:b/>
        </w:rPr>
        <w:t xml:space="preserve">Purpose. </w:t>
      </w:r>
      <w:r>
        <w:t>This agreement creates a framework under which AgriShield may receive farmer-authorised applications for productive crop assets, prepare verified farm and crop context, transmit approved data to a regulated finance partner, and monitor delivery and programme outcomes. The finance partner retains sole responsibility for customer acceptance, underwriting, financing terms, disbursement, repayment and collections.</w:t>
      </w:r>
    </w:p>
    <w:p>
      <w:pPr>
        <w:pStyle w:val="Heading1"/>
        <w:keepNext/>
      </w:pPr>
      <w:r>
        <w:t>How to use this agreement pack</w:t>
      </w:r>
    </w:p>
    <w:p>
      <w:pPr>
        <w:pStyle w:val="ListBullet"/>
        <w:ind w:left="648"/>
      </w:pPr>
      <w:r>
        <w:t>Complete the party details, addresses, signatories, commercial terms and approved product schedule for one bank.</w:t>
      </w:r>
    </w:p>
    <w:p>
      <w:pPr>
        <w:pStyle w:val="ListBullet"/>
        <w:ind w:left="648"/>
      </w:pPr>
      <w:r>
        <w:t>Delete the schedules for banks that are not parties to the final agreement.</w:t>
      </w:r>
    </w:p>
    <w:p>
      <w:pPr>
        <w:pStyle w:val="ListBullet"/>
        <w:ind w:left="648"/>
      </w:pPr>
      <w:r>
        <w:t>Obtain Nigerian legal, regulatory, data protection and tax advice before signature.</w:t>
      </w:r>
    </w:p>
    <w:p>
      <w:pPr>
        <w:pStyle w:val="ListBullet"/>
        <w:ind w:left="648"/>
      </w:pPr>
      <w:r>
        <w:t>For Jaiz Bank or TAJBank, obtain written approval from the bank's internal Shariah governance function for each financing structure and customer document.</w:t>
      </w:r>
    </w:p>
    <w:p>
      <w:r>
        <w:br w:type="page"/>
      </w:r>
    </w:p>
    <w:p>
      <w:pPr>
        <w:pStyle w:val="Heading1"/>
        <w:keepNext/>
      </w:pPr>
      <w:r>
        <w:t>Parties and effective date</w:t>
      </w:r>
    </w:p>
    <w:p>
      <w:r>
        <w:t>This Productive Asset Finance Partnership Agreement is made on [date] between:</w:t>
      </w:r>
    </w:p>
    <w:p>
      <w:r>
        <w:t>1. AgriShield AI Ltd, a company incorporated under the laws of the Federal Republic of Nigeria with registered number [insert] and registered address at [insert] (AgriShield); and</w:t>
      </w:r>
    </w:p>
    <w:p>
      <w:r>
        <w:t>2. [Jaiz Bank Plc / TAJBank Limited / Bank of Agriculture Limited], with registered office at [insert] (Bank).</w:t>
      </w:r>
    </w:p>
    <w:p>
      <w:r>
        <w:t>AgriShield and the Bank are each a Party and together the Parties.</w:t>
      </w:r>
    </w:p>
    <w:p>
      <w:pPr>
        <w:pStyle w:val="Heading1"/>
        <w:keepNext/>
      </w:pPr>
      <w:r>
        <w:t>1  Definitions</w:t>
      </w:r>
    </w:p>
    <w:p>
      <w:pPr>
        <w:ind w:left="317" w:hanging="317"/>
      </w:pPr>
      <w:r>
        <w:rPr>
          <w:b/>
        </w:rPr>
        <w:t xml:space="preserve">1.1 </w:t>
      </w:r>
      <w:r>
        <w:t>Application means a farmer-authorised request for finance for an Approved Asset submitted through the AgriShield platform and transmitted to the Bank.</w:t>
      </w:r>
    </w:p>
    <w:p>
      <w:pPr>
        <w:ind w:left="317" w:hanging="317"/>
      </w:pPr>
      <w:r>
        <w:rPr>
          <w:b/>
        </w:rPr>
        <w:t xml:space="preserve">1.2 </w:t>
      </w:r>
      <w:r>
        <w:t>Approved Asset means a durable crop-production, irrigation, storage, mechanisation or processing asset listed in the signed Programme Schedule.</w:t>
      </w:r>
    </w:p>
    <w:p>
      <w:pPr>
        <w:ind w:left="317" w:hanging="317"/>
      </w:pPr>
      <w:r>
        <w:rPr>
          <w:b/>
        </w:rPr>
        <w:t xml:space="preserve">1.3 </w:t>
      </w:r>
      <w:r>
        <w:t>Customer means the farmer, cooperative, agribusiness or other applicant whose Application the Bank accepts for assessment.</w:t>
      </w:r>
    </w:p>
    <w:p>
      <w:pPr>
        <w:ind w:left="317" w:hanging="317"/>
      </w:pPr>
      <w:r>
        <w:rPr>
          <w:b/>
        </w:rPr>
        <w:t xml:space="preserve">1.4 </w:t>
      </w:r>
      <w:r>
        <w:t>Customer Data means personal data, farm records, crop records, voice records, images, geospatial information and finance-related information processed under this Agreement.</w:t>
      </w:r>
    </w:p>
    <w:p>
      <w:pPr>
        <w:ind w:left="317" w:hanging="317"/>
      </w:pPr>
      <w:r>
        <w:rPr>
          <w:b/>
        </w:rPr>
        <w:t xml:space="preserve">1.5 </w:t>
      </w:r>
      <w:r>
        <w:t>Programme means the productive asset finance arrangement described in a signed Programme Schedule.</w:t>
      </w:r>
    </w:p>
    <w:p>
      <w:pPr>
        <w:ind w:left="317" w:hanging="317"/>
      </w:pPr>
      <w:r>
        <w:rPr>
          <w:b/>
        </w:rPr>
        <w:t xml:space="preserve">1.6 </w:t>
      </w:r>
      <w:r>
        <w:t>Supplier means a vendor approved under the Programme to supply, install or service an Approved Asset.</w:t>
      </w:r>
    </w:p>
    <w:p>
      <w:pPr>
        <w:pStyle w:val="Heading1"/>
        <w:keepNext/>
      </w:pPr>
      <w:r>
        <w:t>2  Purpose and legal relationship</w:t>
      </w:r>
    </w:p>
    <w:p>
      <w:pPr>
        <w:ind w:left="317" w:hanging="317"/>
      </w:pPr>
      <w:r>
        <w:rPr>
          <w:b/>
        </w:rPr>
        <w:t xml:space="preserve">2.1 </w:t>
      </w:r>
      <w:r>
        <w:t>The Parties will cooperate to design and operate Programmes that improve access to productive assets for eligible crop farmers and agricultural organisations.</w:t>
      </w:r>
    </w:p>
    <w:p>
      <w:pPr>
        <w:ind w:left="317" w:hanging="317"/>
      </w:pPr>
      <w:r>
        <w:rPr>
          <w:b/>
        </w:rPr>
        <w:t xml:space="preserve">2.2 </w:t>
      </w:r>
      <w:r>
        <w:t>AgriShield provides technology, application preparation, consent records, farm-context verification, workflow tracking and monitoring services. AgriShield is not a lender, deposit-taking institution, credit bureau, guarantor, debt collector or agent authorised to bind the Bank.</w:t>
      </w:r>
    </w:p>
    <w:p>
      <w:pPr>
        <w:ind w:left="317" w:hanging="317"/>
      </w:pPr>
      <w:r>
        <w:rPr>
          <w:b/>
        </w:rPr>
        <w:t xml:space="preserve">2.3 </w:t>
      </w:r>
      <w:r>
        <w:t>The Bank remains the sole provider of any financing and has exclusive control over underwriting, customer due diligence, pricing, approval, documentation, disbursement, repayment arrangements, restructuring and recovery.</w:t>
      </w:r>
    </w:p>
    <w:p>
      <w:pPr>
        <w:ind w:left="317" w:hanging="317"/>
      </w:pPr>
      <w:r>
        <w:rPr>
          <w:b/>
        </w:rPr>
        <w:t xml:space="preserve">2.4 </w:t>
      </w:r>
      <w:r>
        <w:t>Nothing in this Agreement creates a legal partnership, joint venture, fiduciary relationship, employment relationship or authority for either Party to bind the other.</w:t>
      </w:r>
    </w:p>
    <w:p>
      <w:pPr>
        <w:pStyle w:val="Heading1"/>
        <w:keepNext/>
      </w:pPr>
      <w:r>
        <w:t>3  Conditions before launch</w:t>
      </w:r>
    </w:p>
    <w:p>
      <w:pPr>
        <w:ind w:left="317" w:hanging="317"/>
      </w:pPr>
      <w:r>
        <w:rPr>
          <w:b/>
        </w:rPr>
        <w:t xml:space="preserve">3.1 </w:t>
      </w:r>
      <w:r>
        <w:t>A Programme may launch only after the Parties sign its Programme Schedule, approve customer-facing materials, complete privacy and security review, agree operating procedures and confirm the required regulatory approvals.</w:t>
      </w:r>
    </w:p>
    <w:p>
      <w:pPr>
        <w:ind w:left="317" w:hanging="317"/>
      </w:pPr>
      <w:r>
        <w:rPr>
          <w:b/>
        </w:rPr>
        <w:t xml:space="preserve">3.2 </w:t>
      </w:r>
      <w:r>
        <w:t>The Parties will not publish a bank logo, product name, pricing statement, approval claim or partnership announcement without the Bank's prior written approval.</w:t>
      </w:r>
    </w:p>
    <w:p>
      <w:pPr>
        <w:ind w:left="317" w:hanging="317"/>
      </w:pPr>
      <w:r>
        <w:rPr>
          <w:b/>
        </w:rPr>
        <w:t xml:space="preserve">3.3 </w:t>
      </w:r>
      <w:r>
        <w:t>The Bank will confirm that it is authorised to provide the proposed financing and will identify any registration, notification or approval required under applicable banking, consumer lending or sector rules.</w:t>
      </w:r>
    </w:p>
    <w:p>
      <w:pPr>
        <w:pStyle w:val="Heading1"/>
        <w:keepNext/>
      </w:pPr>
      <w:r>
        <w:t>4  AgriShield responsibilities</w:t>
      </w:r>
    </w:p>
    <w:p>
      <w:pPr>
        <w:ind w:left="317" w:hanging="317"/>
      </w:pPr>
      <w:r>
        <w:rPr>
          <w:b/>
        </w:rPr>
        <w:t xml:space="preserve">4.1 </w:t>
      </w:r>
      <w:r>
        <w:t>Maintain the Asset Access workflow, organisation access controls, application records, consent evidence, audit history and role-based permissions.</w:t>
      </w:r>
    </w:p>
    <w:p>
      <w:pPr>
        <w:ind w:left="317" w:hanging="317"/>
      </w:pPr>
      <w:r>
        <w:rPr>
          <w:b/>
        </w:rPr>
        <w:t xml:space="preserve">4.2 </w:t>
      </w:r>
      <w:r>
        <w:t>Collect only the information approved in the Data Sharing Schedule and transmit it through the agreed secure channel.</w:t>
      </w:r>
    </w:p>
    <w:p>
      <w:pPr>
        <w:ind w:left="317" w:hanging="317"/>
      </w:pPr>
      <w:r>
        <w:rPr>
          <w:b/>
        </w:rPr>
        <w:t xml:space="preserve">4.3 </w:t>
      </w:r>
      <w:r>
        <w:t>Confirm that each submitted farm belongs to the participating organisation and, where available, associate the Application with an active crop season.</w:t>
      </w:r>
    </w:p>
    <w:p>
      <w:pPr>
        <w:ind w:left="317" w:hanging="317"/>
      </w:pPr>
      <w:r>
        <w:rPr>
          <w:b/>
        </w:rPr>
        <w:t xml:space="preserve">4.4 </w:t>
      </w:r>
      <w:r>
        <w:t>Support farmer and field-team communication through approved channels, including local-language or voice-assisted intake where configured.</w:t>
      </w:r>
    </w:p>
    <w:p>
      <w:pPr>
        <w:ind w:left="317" w:hanging="317"/>
      </w:pPr>
      <w:r>
        <w:rPr>
          <w:b/>
        </w:rPr>
        <w:t xml:space="preserve">4.5 </w:t>
      </w:r>
      <w:r>
        <w:t>Record supplier delivery evidence and programme monitoring data without representing that such evidence replaces the Bank's required verification.</w:t>
      </w:r>
    </w:p>
    <w:p>
      <w:pPr>
        <w:ind w:left="317" w:hanging="317"/>
      </w:pPr>
      <w:r>
        <w:rPr>
          <w:b/>
        </w:rPr>
        <w:t xml:space="preserve">4.6 </w:t>
      </w:r>
      <w:r>
        <w:t>Display clear notices that the Bank makes all financing decisions and that submission does not guarantee approval.</w:t>
      </w:r>
    </w:p>
    <w:p>
      <w:pPr>
        <w:pStyle w:val="Heading1"/>
        <w:keepNext/>
      </w:pPr>
      <w:r>
        <w:t>5  Bank responsibilities</w:t>
      </w:r>
    </w:p>
    <w:p>
      <w:pPr>
        <w:ind w:left="317" w:hanging="317"/>
      </w:pPr>
      <w:r>
        <w:rPr>
          <w:b/>
        </w:rPr>
        <w:t xml:space="preserve">5.1 </w:t>
      </w:r>
      <w:r>
        <w:t>Design and approve the financing product, eligibility rules, customer documents, pricing or profit terms, tenor, security requirements and repayment structure.</w:t>
      </w:r>
    </w:p>
    <w:p>
      <w:pPr>
        <w:ind w:left="317" w:hanging="317"/>
      </w:pPr>
      <w:r>
        <w:rPr>
          <w:b/>
        </w:rPr>
        <w:t xml:space="preserve">5.2 </w:t>
      </w:r>
      <w:r>
        <w:t>Perform all identity, KYC, AML, sanctions, credit bureau, affordability, fraud and other checks required by law and the Bank's policies.</w:t>
      </w:r>
    </w:p>
    <w:p>
      <w:pPr>
        <w:ind w:left="317" w:hanging="317"/>
      </w:pPr>
      <w:r>
        <w:rPr>
          <w:b/>
        </w:rPr>
        <w:t xml:space="preserve">5.3 </w:t>
      </w:r>
      <w:r>
        <w:t>Issue the credit or financing decision directly or through an approved integration and give the Customer all mandatory disclosures before acceptance.</w:t>
      </w:r>
    </w:p>
    <w:p>
      <w:pPr>
        <w:ind w:left="317" w:hanging="317"/>
      </w:pPr>
      <w:r>
        <w:rPr>
          <w:b/>
        </w:rPr>
        <w:t xml:space="preserve">5.4 </w:t>
      </w:r>
      <w:r>
        <w:t>Disburse funds or settle an Approved Asset purchase only under Bank-controlled procedures.</w:t>
      </w:r>
    </w:p>
    <w:p>
      <w:pPr>
        <w:ind w:left="317" w:hanging="317"/>
      </w:pPr>
      <w:r>
        <w:rPr>
          <w:b/>
        </w:rPr>
        <w:t xml:space="preserve">5.5 </w:t>
      </w:r>
      <w:r>
        <w:t>Manage repayments, arrears, restructuring, complaints concerning finance terms and all collection activity in a lawful and respectful manner.</w:t>
      </w:r>
    </w:p>
    <w:p>
      <w:pPr>
        <w:ind w:left="317" w:hanging="317"/>
      </w:pPr>
      <w:r>
        <w:rPr>
          <w:b/>
        </w:rPr>
        <w:t xml:space="preserve">5.6 </w:t>
      </w:r>
      <w:r>
        <w:t>Provide AgriShield with the minimum status information required for authorised programme tracking.</w:t>
      </w:r>
    </w:p>
    <w:p>
      <w:pPr>
        <w:pStyle w:val="Heading1"/>
        <w:keepNext/>
      </w:pPr>
      <w:r>
        <w:t>6  Customer journey</w:t>
      </w:r>
    </w:p>
    <w:p>
      <w:pPr>
        <w:ind w:left="317" w:hanging="317"/>
      </w:pPr>
      <w:r>
        <w:rPr>
          <w:b/>
        </w:rPr>
        <w:t xml:space="preserve">6.1 </w:t>
      </w:r>
      <w:r>
        <w:t>A participating organisation identifies a registered crop farm and an Approved Asset relevant to the farm's current or planned crop activity.</w:t>
      </w:r>
    </w:p>
    <w:p>
      <w:pPr>
        <w:ind w:left="317" w:hanging="317"/>
      </w:pPr>
      <w:r>
        <w:rPr>
          <w:b/>
        </w:rPr>
        <w:t xml:space="preserve">6.2 </w:t>
      </w:r>
      <w:r>
        <w:t>AgriShield records the applicant's express consent before creating an Application and identifies the data that may be shared with the Bank.</w:t>
      </w:r>
    </w:p>
    <w:p>
      <w:pPr>
        <w:ind w:left="317" w:hanging="317"/>
      </w:pPr>
      <w:r>
        <w:rPr>
          <w:b/>
        </w:rPr>
        <w:t xml:space="preserve">6.3 </w:t>
      </w:r>
      <w:r>
        <w:t>AgriShield transmits the Application to the Bank. The Bank acknowledges receipt and assigns a reference where operationally available.</w:t>
      </w:r>
    </w:p>
    <w:p>
      <w:pPr>
        <w:ind w:left="317" w:hanging="317"/>
      </w:pPr>
      <w:r>
        <w:rPr>
          <w:b/>
        </w:rPr>
        <w:t xml:space="preserve">6.4 </w:t>
      </w:r>
      <w:r>
        <w:t>The Bank conducts independent assessment and communicates approval, decline or a request for further information. AgriShield will not alter or obscure that decision.</w:t>
      </w:r>
    </w:p>
    <w:p>
      <w:pPr>
        <w:ind w:left="317" w:hanging="317"/>
      </w:pPr>
      <w:r>
        <w:rPr>
          <w:b/>
        </w:rPr>
        <w:t xml:space="preserve">6.5 </w:t>
      </w:r>
      <w:r>
        <w:t>Following approval and fulfilment of conditions, the Bank authorises purchase or disbursement. The Supplier delivers the asset and the agreed party verifies delivery.</w:t>
      </w:r>
    </w:p>
    <w:p>
      <w:pPr>
        <w:ind w:left="317" w:hanging="317"/>
      </w:pPr>
      <w:r>
        <w:rPr>
          <w:b/>
        </w:rPr>
        <w:t xml:space="preserve">6.6 </w:t>
      </w:r>
      <w:r>
        <w:t>The Bank services the financing. AgriShield may display repayment status only when the Bank supplies it and the Customer has consented to that use.</w:t>
      </w:r>
    </w:p>
    <w:p>
      <w:pPr>
        <w:pStyle w:val="Heading1"/>
        <w:keepNext/>
      </w:pPr>
      <w:r>
        <w:t>7  Underwriting and automated processing</w:t>
      </w:r>
    </w:p>
    <w:p>
      <w:pPr>
        <w:ind w:left="317" w:hanging="317"/>
      </w:pPr>
      <w:r>
        <w:rPr>
          <w:b/>
        </w:rPr>
        <w:t xml:space="preserve">7.1 </w:t>
      </w:r>
      <w:r>
        <w:t>Farm, crop, weather, satellite, advisory or voice information supplied by AgriShield is contextual information and not a credit decision or guarantee of accuracy, yield, income or repayment.</w:t>
      </w:r>
    </w:p>
    <w:p>
      <w:pPr>
        <w:ind w:left="317" w:hanging="317"/>
      </w:pPr>
      <w:r>
        <w:rPr>
          <w:b/>
        </w:rPr>
        <w:t xml:space="preserve">7.2 </w:t>
      </w:r>
      <w:r>
        <w:t>The Bank will not use an AgriShield-generated score as the sole basis for a material adverse decision unless the Parties have documented the model, lawful basis, validation, human review, explanation and complaint process required by applicable law.</w:t>
      </w:r>
    </w:p>
    <w:p>
      <w:pPr>
        <w:ind w:left="317" w:hanging="317"/>
      </w:pPr>
      <w:r>
        <w:rPr>
          <w:b/>
        </w:rPr>
        <w:t xml:space="preserve">7.3 </w:t>
      </w:r>
      <w:r>
        <w:t>AgriShield will not infer protected or sensitive characteristics for credit assessment and will not sell Customer Data to data brokers.</w:t>
      </w:r>
    </w:p>
    <w:p>
      <w:pPr>
        <w:pStyle w:val="Heading1"/>
        <w:keepNext/>
      </w:pPr>
      <w:r>
        <w:t>8  Suppliers and assets</w:t>
      </w:r>
    </w:p>
    <w:p>
      <w:pPr>
        <w:ind w:left="317" w:hanging="317"/>
      </w:pPr>
      <w:r>
        <w:rPr>
          <w:b/>
        </w:rPr>
        <w:t xml:space="preserve">8.1 </w:t>
      </w:r>
      <w:r>
        <w:t>The Programme Schedule will list asset specifications, approved Suppliers, warranties, installation obligations, maintenance arrangements and verification requirements.</w:t>
      </w:r>
    </w:p>
    <w:p>
      <w:pPr>
        <w:ind w:left="317" w:hanging="317"/>
      </w:pPr>
      <w:r>
        <w:rPr>
          <w:b/>
        </w:rPr>
        <w:t xml:space="preserve">8.2 </w:t>
      </w:r>
      <w:r>
        <w:t>The Bank or its appointed party is responsible for supplier due diligence and purchase authorisation. AgriShield may maintain the approved catalogue but does not warrant a Supplier or asset unless expressly agreed in writing.</w:t>
      </w:r>
    </w:p>
    <w:p>
      <w:pPr>
        <w:ind w:left="317" w:hanging="317"/>
      </w:pPr>
      <w:r>
        <w:rPr>
          <w:b/>
        </w:rPr>
        <w:t xml:space="preserve">8.3 </w:t>
      </w:r>
      <w:r>
        <w:t>Consumable inputs may be included only where the Bank approves their financing structure. They must not be described as recoverable asset collateral when they have no residual value.</w:t>
      </w:r>
    </w:p>
    <w:p>
      <w:pPr>
        <w:pStyle w:val="Heading1"/>
        <w:keepNext/>
      </w:pPr>
      <w:r>
        <w:t>9  Data protection and consent</w:t>
      </w:r>
    </w:p>
    <w:p>
      <w:pPr>
        <w:ind w:left="317" w:hanging="317"/>
      </w:pPr>
      <w:r>
        <w:rPr>
          <w:b/>
        </w:rPr>
        <w:t xml:space="preserve">9.1 </w:t>
      </w:r>
      <w:r>
        <w:t>Each Party will comply with the Nigeria Data Protection Act 2023, applicable regulations and its stated role as controller, joint controller or processor for each processing activity.</w:t>
      </w:r>
    </w:p>
    <w:p>
      <w:pPr>
        <w:ind w:left="317" w:hanging="317"/>
      </w:pPr>
      <w:r>
        <w:rPr>
          <w:b/>
        </w:rPr>
        <w:t xml:space="preserve">9.2 </w:t>
      </w:r>
      <w:r>
        <w:t>Consent must be freely given, specific, informed and unambiguous. The Customer will receive a plain-language notice identifying the Bank, data categories, purposes, retention period, complaint channels and withdrawal consequences.</w:t>
      </w:r>
    </w:p>
    <w:p>
      <w:pPr>
        <w:ind w:left="317" w:hanging="317"/>
      </w:pPr>
      <w:r>
        <w:rPr>
          <w:b/>
        </w:rPr>
        <w:t xml:space="preserve">9.3 </w:t>
      </w:r>
      <w:r>
        <w:t>The Parties will execute any required data processing or joint-controller terms before exchanging Customer Data.</w:t>
      </w:r>
    </w:p>
    <w:p>
      <w:pPr>
        <w:ind w:left="317" w:hanging="317"/>
      </w:pPr>
      <w:r>
        <w:rPr>
          <w:b/>
        </w:rPr>
        <w:t xml:space="preserve">9.4 </w:t>
      </w:r>
      <w:r>
        <w:t>Neither Party may reuse Customer Data for unrelated marketing, profiling or sale without a separate lawful basis and any required consent.</w:t>
      </w:r>
    </w:p>
    <w:p>
      <w:pPr>
        <w:ind w:left="317" w:hanging="317"/>
      </w:pPr>
      <w:r>
        <w:rPr>
          <w:b/>
        </w:rPr>
        <w:t xml:space="preserve">9.5 </w:t>
      </w:r>
      <w:r>
        <w:t>A Party receiving a data subject request or complaint concerning shared processing will notify the other Party promptly and cooperate within the applicable response period.</w:t>
      </w:r>
    </w:p>
    <w:p>
      <w:pPr>
        <w:pStyle w:val="Heading1"/>
        <w:keepNext/>
      </w:pPr>
      <w:r>
        <w:t>10  Information security and incidents</w:t>
      </w:r>
    </w:p>
    <w:p>
      <w:pPr>
        <w:ind w:left="317" w:hanging="317"/>
      </w:pPr>
      <w:r>
        <w:rPr>
          <w:b/>
        </w:rPr>
        <w:t xml:space="preserve">10.1 </w:t>
      </w:r>
      <w:r>
        <w:t>Each Party will maintain proportionate administrative, technical and physical safeguards, including least-privilege access, encryption in transit, secure credential management, monitoring, backups and staff confidentiality duties.</w:t>
      </w:r>
    </w:p>
    <w:p>
      <w:pPr>
        <w:ind w:left="317" w:hanging="317"/>
      </w:pPr>
      <w:r>
        <w:rPr>
          <w:b/>
        </w:rPr>
        <w:t xml:space="preserve">10.2 </w:t>
      </w:r>
      <w:r>
        <w:t>Customer Data may be exchanged only through the approved API, secure file transfer or another documented channel. Consumer messaging applications may not be used for bulk transfer of applications or identity records.</w:t>
      </w:r>
    </w:p>
    <w:p>
      <w:pPr>
        <w:ind w:left="317" w:hanging="317"/>
      </w:pPr>
      <w:r>
        <w:rPr>
          <w:b/>
        </w:rPr>
        <w:t xml:space="preserve">10.3 </w:t>
      </w:r>
      <w:r>
        <w:t>A Party will notify the other without undue delay after confirming an incident that affects shared Customer Data and will provide the information reasonably required for containment, investigation and regulatory notification.</w:t>
      </w:r>
    </w:p>
    <w:p>
      <w:pPr>
        <w:pStyle w:val="Heading1"/>
        <w:keepNext/>
      </w:pPr>
      <w:r>
        <w:t>11  Consumer protection and complaints</w:t>
      </w:r>
    </w:p>
    <w:p>
      <w:pPr>
        <w:ind w:left="317" w:hanging="317"/>
      </w:pPr>
      <w:r>
        <w:rPr>
          <w:b/>
        </w:rPr>
        <w:t xml:space="preserve">11.1 </w:t>
      </w:r>
      <w:r>
        <w:t>Customer-facing terms must use clear language and disclose all required rates or profit amounts, fees, repayment dates, security, default consequences and complaint channels before acceptance.</w:t>
      </w:r>
    </w:p>
    <w:p>
      <w:pPr>
        <w:ind w:left="317" w:hanging="317"/>
      </w:pPr>
      <w:r>
        <w:rPr>
          <w:b/>
        </w:rPr>
        <w:t xml:space="preserve">11.2 </w:t>
      </w:r>
      <w:r>
        <w:t>The Bank owns complaints about financing decisions, terms, disbursement, repayments and collections. AgriShield owns complaints about platform access, data capture and workflow records. The Parties will route misdirected complaints within two business days.</w:t>
      </w:r>
    </w:p>
    <w:p>
      <w:pPr>
        <w:ind w:left="317" w:hanging="317"/>
      </w:pPr>
      <w:r>
        <w:rPr>
          <w:b/>
        </w:rPr>
        <w:t xml:space="preserve">11.3 </w:t>
      </w:r>
      <w:r>
        <w:t>Neither Party may harass, shame, threaten or unlawfully contact a Customer or the Customer's contacts. AgriShield will not provide address-book, unrelated contact or device data for collections.</w:t>
      </w:r>
    </w:p>
    <w:p>
      <w:pPr>
        <w:pStyle w:val="Heading1"/>
        <w:keepNext/>
      </w:pPr>
      <w:r>
        <w:t>12  Non interest finance governance</w:t>
      </w:r>
    </w:p>
    <w:p>
      <w:pPr>
        <w:ind w:left="317" w:hanging="317"/>
      </w:pPr>
      <w:r>
        <w:rPr>
          <w:b/>
        </w:rPr>
        <w:t xml:space="preserve">12.1 </w:t>
      </w:r>
      <w:r>
        <w:t>Where the Bank is a non-interest bank, the Bank will select and approve the applicable structure, which may include Murabahah, Ijarah or another structure approved by its governance process.</w:t>
      </w:r>
    </w:p>
    <w:p>
      <w:pPr>
        <w:ind w:left="317" w:hanging="317"/>
      </w:pPr>
      <w:r>
        <w:rPr>
          <w:b/>
        </w:rPr>
        <w:t xml:space="preserve">12.2 </w:t>
      </w:r>
      <w:r>
        <w:t>No Programme will be described as Shariah-compliant until the Bank's authorised Shariah governance function has approved the structure, contracts, fees, ownership sequence, asset risk allocation and customer communications.</w:t>
      </w:r>
    </w:p>
    <w:p>
      <w:pPr>
        <w:ind w:left="317" w:hanging="317"/>
      </w:pPr>
      <w:r>
        <w:rPr>
          <w:b/>
        </w:rPr>
        <w:t xml:space="preserve">12.3 </w:t>
      </w:r>
      <w:r>
        <w:t>AgriShield will implement only the product labels and workflow steps approved in writing by the Bank.</w:t>
      </w:r>
    </w:p>
    <w:p>
      <w:pPr>
        <w:pStyle w:val="Heading1"/>
        <w:keepNext/>
      </w:pPr>
      <w:r>
        <w:t>13  Fees and commercial terms</w:t>
      </w:r>
    </w:p>
    <w:p>
      <w:pPr>
        <w:ind w:left="317" w:hanging="317"/>
      </w:pPr>
      <w:r>
        <w:rPr>
          <w:b/>
        </w:rPr>
        <w:t xml:space="preserve">13.1 </w:t>
      </w:r>
      <w:r>
        <w:t>The Bank will not pay AgriShield any fee unless stated in the signed Programme Schedule. Fees may cover implementation, platform access, verified application processing, monitoring or agreed support services.</w:t>
      </w:r>
    </w:p>
    <w:p>
      <w:pPr>
        <w:ind w:left="317" w:hanging="317"/>
      </w:pPr>
      <w:r>
        <w:rPr>
          <w:b/>
        </w:rPr>
        <w:t xml:space="preserve">13.2 </w:t>
      </w:r>
      <w:r>
        <w:t>No AgriShield fee will be added to a Customer's financing obligation unless the Bank approves it, the law permits it and the Customer receives the required disclosure before acceptance.</w:t>
      </w:r>
    </w:p>
    <w:p>
      <w:pPr>
        <w:ind w:left="317" w:hanging="317"/>
      </w:pPr>
      <w:r>
        <w:rPr>
          <w:b/>
        </w:rPr>
        <w:t xml:space="preserve">13.3 </w:t>
      </w:r>
      <w:r>
        <w:t>Each Party bears its own taxes and costs except where the Programme Schedule states otherwise.</w:t>
      </w:r>
    </w:p>
    <w:p>
      <w:pPr>
        <w:pStyle w:val="Heading1"/>
        <w:keepNext/>
      </w:pPr>
      <w:r>
        <w:t>14  Monitoring and reporting</w:t>
      </w:r>
    </w:p>
    <w:p>
      <w:pPr>
        <w:ind w:left="317" w:hanging="317"/>
      </w:pPr>
      <w:r>
        <w:rPr>
          <w:b/>
        </w:rPr>
        <w:t xml:space="preserve">14.1 </w:t>
      </w:r>
      <w:r>
        <w:t>The Parties will agree baseline, operating and outcome indicators before launch. Reports may cover application completion, decision time, approval, delivery, asset use, repayment status, complaints and crop-production outcomes.</w:t>
      </w:r>
    </w:p>
    <w:p>
      <w:pPr>
        <w:ind w:left="317" w:hanging="317"/>
      </w:pPr>
      <w:r>
        <w:rPr>
          <w:b/>
        </w:rPr>
        <w:t xml:space="preserve">14.2 </w:t>
      </w:r>
      <w:r>
        <w:t>Impact reporting will distinguish measured results from estimates and will not attribute yield or income changes to the Programme without an agreed evaluation method.</w:t>
      </w:r>
    </w:p>
    <w:p>
      <w:pPr>
        <w:ind w:left="317" w:hanging="317"/>
      </w:pPr>
      <w:r>
        <w:rPr>
          <w:b/>
        </w:rPr>
        <w:t xml:space="preserve">14.3 </w:t>
      </w:r>
      <w:r>
        <w:t>Published reports must use aggregated or anonymised information unless the Customer has given specific consent and the Parties have approved the publication.</w:t>
      </w:r>
    </w:p>
    <w:p>
      <w:pPr>
        <w:pStyle w:val="Heading1"/>
        <w:keepNext/>
      </w:pPr>
      <w:r>
        <w:t>15  Confidentiality</w:t>
      </w:r>
    </w:p>
    <w:p>
      <w:pPr>
        <w:ind w:left="317" w:hanging="317"/>
      </w:pPr>
      <w:r>
        <w:rPr>
          <w:b/>
        </w:rPr>
        <w:t xml:space="preserve">15.1 </w:t>
      </w:r>
      <w:r>
        <w:t>Each Party will protect confidential information using at least the care it uses for its own information of similar sensitivity and will disclose it only to personnel and advisers who need it and are bound by confidentiality duties.</w:t>
      </w:r>
    </w:p>
    <w:p>
      <w:pPr>
        <w:ind w:left="317" w:hanging="317"/>
      </w:pPr>
      <w:r>
        <w:rPr>
          <w:b/>
        </w:rPr>
        <w:t xml:space="preserve">15.2 </w:t>
      </w:r>
      <w:r>
        <w:t>Confidentiality does not apply to information lawfully public, already known without restriction, independently developed or lawfully obtained from a third party.</w:t>
      </w:r>
    </w:p>
    <w:p>
      <w:pPr>
        <w:ind w:left="317" w:hanging="317"/>
      </w:pPr>
      <w:r>
        <w:rPr>
          <w:b/>
        </w:rPr>
        <w:t xml:space="preserve">15.3 </w:t>
      </w:r>
      <w:r>
        <w:t>A legally compelled disclosure is permitted if the receiving Party gives prior notice where lawful and limits disclosure to what is required.</w:t>
      </w:r>
    </w:p>
    <w:p>
      <w:pPr>
        <w:pStyle w:val="Heading1"/>
        <w:keepNext/>
      </w:pPr>
      <w:r>
        <w:t>16  Intellectual property and branding</w:t>
      </w:r>
    </w:p>
    <w:p>
      <w:pPr>
        <w:ind w:left="317" w:hanging="317"/>
      </w:pPr>
      <w:r>
        <w:rPr>
          <w:b/>
        </w:rPr>
        <w:t xml:space="preserve">16.1 </w:t>
      </w:r>
      <w:r>
        <w:t>Each Party retains ownership of its pre-existing technology, trademarks, data, methods and materials. No ownership transfers except as expressly stated.</w:t>
      </w:r>
    </w:p>
    <w:p>
      <w:pPr>
        <w:ind w:left="317" w:hanging="317"/>
      </w:pPr>
      <w:r>
        <w:rPr>
          <w:b/>
        </w:rPr>
        <w:t xml:space="preserve">16.2 </w:t>
      </w:r>
      <w:r>
        <w:t>AgriShield owns its platform, workflow configuration and generic analytics. The Bank owns its product rules, financing documents and underwriting methods. Customers retain their rights in personal data as provided by law.</w:t>
      </w:r>
    </w:p>
    <w:p>
      <w:pPr>
        <w:ind w:left="317" w:hanging="317"/>
      </w:pPr>
      <w:r>
        <w:rPr>
          <w:b/>
        </w:rPr>
        <w:t xml:space="preserve">16.3 </w:t>
      </w:r>
      <w:r>
        <w:t>Neither Party may use the other's name, logo or marks in public material without prior written approval for the specific use.</w:t>
      </w:r>
    </w:p>
    <w:p>
      <w:pPr>
        <w:pStyle w:val="Heading1"/>
        <w:keepNext/>
      </w:pPr>
      <w:r>
        <w:t>17  Records audit and regulatory cooperation</w:t>
      </w:r>
    </w:p>
    <w:p>
      <w:pPr>
        <w:ind w:left="317" w:hanging="317"/>
      </w:pPr>
      <w:r>
        <w:rPr>
          <w:b/>
        </w:rPr>
        <w:t xml:space="preserve">17.1 </w:t>
      </w:r>
      <w:r>
        <w:t>Each Party will retain Programme records for the period required by applicable law and its approved retention schedule.</w:t>
      </w:r>
    </w:p>
    <w:p>
      <w:pPr>
        <w:ind w:left="317" w:hanging="317"/>
      </w:pPr>
      <w:r>
        <w:rPr>
          <w:b/>
        </w:rPr>
        <w:t xml:space="preserve">17.2 </w:t>
      </w:r>
      <w:r>
        <w:t>Subject to confidentiality and security controls, each Party will provide information reasonably required for an internal audit, regulator request, complaint investigation or reconciliation concerning the Programme.</w:t>
      </w:r>
    </w:p>
    <w:p>
      <w:pPr>
        <w:ind w:left="317" w:hanging="317"/>
      </w:pPr>
      <w:r>
        <w:rPr>
          <w:b/>
        </w:rPr>
        <w:t xml:space="preserve">17.3 </w:t>
      </w:r>
      <w:r>
        <w:t>An audit right does not permit access to unrelated systems, other customers' information or confidential underwriting models beyond what is legally required.</w:t>
      </w:r>
    </w:p>
    <w:p>
      <w:pPr>
        <w:pStyle w:val="Heading1"/>
        <w:keepNext/>
      </w:pPr>
      <w:r>
        <w:t>18  Warranties and liability</w:t>
      </w:r>
    </w:p>
    <w:p>
      <w:pPr>
        <w:ind w:left="317" w:hanging="317"/>
      </w:pPr>
      <w:r>
        <w:rPr>
          <w:b/>
        </w:rPr>
        <w:t xml:space="preserve">18.1 </w:t>
      </w:r>
      <w:r>
        <w:t>Each Party warrants that it has authority to enter the Agreement and will perform its obligations with reasonable skill and care and in compliance with applicable law.</w:t>
      </w:r>
    </w:p>
    <w:p>
      <w:pPr>
        <w:ind w:left="317" w:hanging="317"/>
      </w:pPr>
      <w:r>
        <w:rPr>
          <w:b/>
        </w:rPr>
        <w:t xml:space="preserve">18.2 </w:t>
      </w:r>
      <w:r>
        <w:t>AgriShield does not warrant that an Application will be approved, that an asset will increase yield or income, or that a Customer will repay. The Bank does not warrant that every approved Supplier or asset will remain available.</w:t>
      </w:r>
    </w:p>
    <w:p>
      <w:pPr>
        <w:ind w:left="317" w:hanging="317"/>
      </w:pPr>
      <w:r>
        <w:rPr>
          <w:b/>
        </w:rPr>
        <w:t xml:space="preserve">18.3 </w:t>
      </w:r>
      <w:r>
        <w:t>The final Agreement must state agreed liability caps, exclusions, indemnities, insurance requirements and treatment of fraud, wilful misconduct, confidentiality breaches, data protection breaches and intellectual property claims. These terms require legal negotiation and are intentionally left as [insert agreed position].</w:t>
      </w:r>
    </w:p>
    <w:p>
      <w:pPr>
        <w:pStyle w:val="Heading1"/>
        <w:keepNext/>
      </w:pPr>
      <w:r>
        <w:t>19  Term suspension and termination</w:t>
      </w:r>
    </w:p>
    <w:p>
      <w:pPr>
        <w:ind w:left="317" w:hanging="317"/>
      </w:pPr>
      <w:r>
        <w:rPr>
          <w:b/>
        </w:rPr>
        <w:t xml:space="preserve">19.1 </w:t>
      </w:r>
      <w:r>
        <w:t>The Agreement begins on the Effective Date and continues for [initial term] unless terminated under this clause.</w:t>
      </w:r>
    </w:p>
    <w:p>
      <w:pPr>
        <w:ind w:left="317" w:hanging="317"/>
      </w:pPr>
      <w:r>
        <w:rPr>
          <w:b/>
        </w:rPr>
        <w:t xml:space="preserve">19.2 </w:t>
      </w:r>
      <w:r>
        <w:t>Either Party may terminate for convenience on [60] days' written notice or immediately for material regulatory risk, loss of required authorisation, serious data or security breach, insolvency or an uncured material breach after [30] days' notice.</w:t>
      </w:r>
    </w:p>
    <w:p>
      <w:pPr>
        <w:ind w:left="317" w:hanging="317"/>
      </w:pPr>
      <w:r>
        <w:rPr>
          <w:b/>
        </w:rPr>
        <w:t xml:space="preserve">19.3 </w:t>
      </w:r>
      <w:r>
        <w:t>A Party may suspend new Applications where continuing the Programme may harm Customers, breach law or create material security or operational risk.</w:t>
      </w:r>
    </w:p>
    <w:p>
      <w:pPr>
        <w:ind w:left="317" w:hanging="317"/>
      </w:pPr>
      <w:r>
        <w:rPr>
          <w:b/>
        </w:rPr>
        <w:t xml:space="preserve">19.4 </w:t>
      </w:r>
      <w:r>
        <w:t>Termination does not cancel existing customer finance contracts. The Parties will agree an orderly run-off, continuing service and data-return plan that protects Customers.</w:t>
      </w:r>
    </w:p>
    <w:p>
      <w:pPr>
        <w:pStyle w:val="Heading1"/>
        <w:keepNext/>
      </w:pPr>
      <w:r>
        <w:t>20  Dispute resolution and governing law</w:t>
      </w:r>
    </w:p>
    <w:p>
      <w:pPr>
        <w:ind w:left="317" w:hanging="317"/>
      </w:pPr>
      <w:r>
        <w:rPr>
          <w:b/>
        </w:rPr>
        <w:t xml:space="preserve">20.1 </w:t>
      </w:r>
      <w:r>
        <w:t>The Parties will first refer a dispute to their designated programme executives for good-faith resolution within ten business days.</w:t>
      </w:r>
    </w:p>
    <w:p>
      <w:pPr>
        <w:ind w:left="317" w:hanging="317"/>
      </w:pPr>
      <w:r>
        <w:rPr>
          <w:b/>
        </w:rPr>
        <w:t xml:space="preserve">20.2 </w:t>
      </w:r>
      <w:r>
        <w:t>If unresolved, the dispute will be referred to mediation in Abuja. If mediation does not resolve the dispute within thirty days, either Party may commence proceedings in the courts of the Federal Republic of Nigeria, unless the final Agreement adopts arbitration.</w:t>
      </w:r>
    </w:p>
    <w:p>
      <w:pPr>
        <w:ind w:left="317" w:hanging="317"/>
      </w:pPr>
      <w:r>
        <w:rPr>
          <w:b/>
        </w:rPr>
        <w:t xml:space="preserve">20.3 </w:t>
      </w:r>
      <w:r>
        <w:t>This Agreement is governed by the laws of the Federal Republic of Nigeria.</w:t>
      </w:r>
    </w:p>
    <w:p>
      <w:pPr>
        <w:pStyle w:val="Heading1"/>
        <w:keepNext/>
      </w:pPr>
      <w:r>
        <w:t>21  General</w:t>
      </w:r>
    </w:p>
    <w:p>
      <w:pPr>
        <w:ind w:left="317" w:hanging="317"/>
      </w:pPr>
      <w:r>
        <w:rPr>
          <w:b/>
        </w:rPr>
        <w:t xml:space="preserve">21.1 </w:t>
      </w:r>
      <w:r>
        <w:t>Neither Party may assign the Agreement without the other's prior written consent, except to a lawful successor that assumes the obligations in writing.</w:t>
      </w:r>
    </w:p>
    <w:p>
      <w:pPr>
        <w:ind w:left="317" w:hanging="317"/>
      </w:pPr>
      <w:r>
        <w:rPr>
          <w:b/>
        </w:rPr>
        <w:t xml:space="preserve">21.2 </w:t>
      </w:r>
      <w:r>
        <w:t>A waiver must be in writing. Invalid provisions will be modified only to the minimum extent required, and the remaining provisions continue in effect.</w:t>
      </w:r>
    </w:p>
    <w:p>
      <w:pPr>
        <w:ind w:left="317" w:hanging="317"/>
      </w:pPr>
      <w:r>
        <w:rPr>
          <w:b/>
        </w:rPr>
        <w:t xml:space="preserve">21.3 </w:t>
      </w:r>
      <w:r>
        <w:t>The Agreement, signed schedules and approved change orders form the entire agreement for the Programme and replace prior discussions on the same subject.</w:t>
      </w:r>
    </w:p>
    <w:p>
      <w:pPr>
        <w:ind w:left="317" w:hanging="317"/>
      </w:pPr>
      <w:r>
        <w:rPr>
          <w:b/>
        </w:rPr>
        <w:t xml:space="preserve">21.4 </w:t>
      </w:r>
      <w:r>
        <w:t>The Agreement may be signed in counterparts and by legally valid electronic signature.</w:t>
      </w:r>
    </w:p>
    <w:p>
      <w:r>
        <w:br w:type="page"/>
      </w:r>
    </w:p>
    <w:p>
      <w:pPr>
        <w:pStyle w:val="Heading1"/>
        <w:keepNext/>
      </w:pPr>
      <w:r>
        <w:t>Execution</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680"/>
            <w:shd w:fill="123B2A"/>
            <w:tcMar>
              <w:top w:w="120" w:type="dxa"/>
              <w:start w:w="140" w:type="dxa"/>
              <w:bottom w:w="120" w:type="dxa"/>
              <w:end w:w="140" w:type="dxa"/>
            </w:tcMar>
            <w:vAlign w:val="center"/>
          </w:tcPr>
          <w:p>
            <w:r>
              <w:rPr>
                <w:b/>
                <w:color w:val="FFFFFF"/>
                <w:sz w:val="18"/>
              </w:rPr>
              <w:t>For AgriShield AI Ltd</w:t>
            </w:r>
          </w:p>
        </w:tc>
        <w:tc>
          <w:tcPr>
            <w:tcW w:type="dxa" w:w="4680"/>
            <w:shd w:fill="123B2A"/>
            <w:tcMar>
              <w:top w:w="120" w:type="dxa"/>
              <w:start w:w="140" w:type="dxa"/>
              <w:bottom w:w="120" w:type="dxa"/>
              <w:end w:w="140" w:type="dxa"/>
            </w:tcMar>
            <w:vAlign w:val="center"/>
          </w:tcPr>
          <w:p>
            <w:r>
              <w:rPr>
                <w:b/>
                <w:color w:val="FFFFFF"/>
                <w:sz w:val="18"/>
              </w:rPr>
              <w:t>For the Bank</w:t>
            </w:r>
          </w:p>
        </w:tc>
      </w:tr>
      <w:tr>
        <w:trPr>
          <w:cantSplit/>
        </w:trPr>
        <w:tc>
          <w:tcPr>
            <w:tcW w:type="dxa" w:w="4680"/>
            <w:tcMar>
              <w:top w:w="120" w:type="dxa"/>
              <w:start w:w="140" w:type="dxa"/>
              <w:bottom w:w="120" w:type="dxa"/>
              <w:end w:w="140" w:type="dxa"/>
            </w:tcMar>
            <w:vAlign w:val="center"/>
          </w:tcPr>
          <w:p>
            <w:pPr>
              <w:spacing w:after="0"/>
            </w:pPr>
            <w:r>
              <w:rPr>
                <w:sz w:val="18"/>
              </w:rPr>
              <w:t>Name  [insert]</w:t>
              <w:br/>
              <w:t>Title  [insert]</w:t>
              <w:br/>
              <w:t>Signature  ____________________</w:t>
              <w:br/>
              <w:t>Date  _________________________</w:t>
            </w:r>
          </w:p>
        </w:tc>
        <w:tc>
          <w:tcPr>
            <w:tcW w:type="dxa" w:w="4680"/>
            <w:tcMar>
              <w:top w:w="120" w:type="dxa"/>
              <w:start w:w="140" w:type="dxa"/>
              <w:bottom w:w="120" w:type="dxa"/>
              <w:end w:w="140" w:type="dxa"/>
            </w:tcMar>
            <w:vAlign w:val="center"/>
          </w:tcPr>
          <w:p>
            <w:pPr>
              <w:spacing w:after="0"/>
            </w:pPr>
            <w:r>
              <w:rPr>
                <w:sz w:val="18"/>
              </w:rPr>
              <w:t>Legal name  [insert]</w:t>
              <w:br/>
              <w:t>Name  [insert]</w:t>
              <w:br/>
              <w:t>Title  [insert]</w:t>
              <w:br/>
              <w:t>Signature  ____________________</w:t>
              <w:br/>
              <w:t>Date  _________________________</w:t>
            </w:r>
          </w:p>
        </w:tc>
      </w:tr>
    </w:tbl>
    <w:p>
      <w:pPr>
        <w:spacing w:after="0"/>
      </w:pPr>
    </w:p>
    <w:p>
      <w:r>
        <w:br w:type="page"/>
      </w:r>
    </w:p>
    <w:p>
      <w:pPr>
        <w:pStyle w:val="Heading1"/>
        <w:keepNext/>
      </w:pPr>
      <w:r>
        <w:t>Schedule 1  Pilot programme design</w:t>
      </w:r>
    </w:p>
    <w:p>
      <w:r>
        <w:t>This schedule must be completed and signed before any Application is submitted to the Bank.</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2880"/>
            <w:shd w:fill="123B2A"/>
            <w:tcMar>
              <w:top w:w="120" w:type="dxa"/>
              <w:start w:w="140" w:type="dxa"/>
              <w:bottom w:w="120" w:type="dxa"/>
              <w:end w:w="140" w:type="dxa"/>
            </w:tcMar>
            <w:vAlign w:val="center"/>
          </w:tcPr>
          <w:p>
            <w:r>
              <w:rPr>
                <w:b/>
                <w:color w:val="FFFFFF"/>
                <w:sz w:val="18"/>
              </w:rPr>
              <w:t>Item</w:t>
            </w:r>
          </w:p>
        </w:tc>
        <w:tc>
          <w:tcPr>
            <w:tcW w:type="dxa" w:w="6480"/>
            <w:shd w:fill="123B2A"/>
            <w:tcMar>
              <w:top w:w="120" w:type="dxa"/>
              <w:start w:w="140" w:type="dxa"/>
              <w:bottom w:w="120" w:type="dxa"/>
              <w:end w:w="140" w:type="dxa"/>
            </w:tcMar>
            <w:vAlign w:val="center"/>
          </w:tcPr>
          <w:p>
            <w:r>
              <w:rPr>
                <w:b/>
                <w:color w:val="FFFFFF"/>
                <w:sz w:val="18"/>
              </w:rPr>
              <w:t>Agreed programme detail</w:t>
            </w:r>
          </w:p>
        </w:tc>
      </w:tr>
      <w:tr>
        <w:trPr>
          <w:cantSplit/>
        </w:trPr>
        <w:tc>
          <w:tcPr>
            <w:tcW w:type="dxa" w:w="2880"/>
            <w:tcMar>
              <w:top w:w="120" w:type="dxa"/>
              <w:start w:w="140" w:type="dxa"/>
              <w:bottom w:w="120" w:type="dxa"/>
              <w:end w:w="140" w:type="dxa"/>
            </w:tcMar>
            <w:vAlign w:val="center"/>
          </w:tcPr>
          <w:p>
            <w:pPr>
              <w:spacing w:after="0"/>
            </w:pPr>
            <w:r>
              <w:rPr>
                <w:sz w:val="18"/>
              </w:rPr>
              <w:t>Pilot geography</w:t>
            </w:r>
          </w:p>
        </w:tc>
        <w:tc>
          <w:tcPr>
            <w:tcW w:type="dxa" w:w="6480"/>
            <w:tcMar>
              <w:top w:w="120" w:type="dxa"/>
              <w:start w:w="140" w:type="dxa"/>
              <w:bottom w:w="120" w:type="dxa"/>
              <w:end w:w="140" w:type="dxa"/>
            </w:tcMar>
            <w:vAlign w:val="center"/>
          </w:tcPr>
          <w:p>
            <w:pPr>
              <w:spacing w:after="0"/>
            </w:pPr>
            <w:r>
              <w:rPr>
                <w:sz w:val="18"/>
              </w:rPr>
              <w:t>[State, local government areas and participating organisations]</w:t>
            </w:r>
          </w:p>
        </w:tc>
      </w:tr>
      <w:tr>
        <w:trPr>
          <w:cantSplit/>
        </w:trPr>
        <w:tc>
          <w:tcPr>
            <w:tcW w:type="dxa" w:w="2880"/>
            <w:tcMar>
              <w:top w:w="120" w:type="dxa"/>
              <w:start w:w="140" w:type="dxa"/>
              <w:bottom w:w="120" w:type="dxa"/>
              <w:end w:w="140" w:type="dxa"/>
            </w:tcMar>
            <w:vAlign w:val="center"/>
            <w:shd w:fill="F4F7F4"/>
          </w:tcPr>
          <w:p>
            <w:pPr>
              <w:spacing w:after="0"/>
            </w:pPr>
            <w:r>
              <w:rPr>
                <w:sz w:val="18"/>
              </w:rPr>
              <w:t>Eligible crop activity</w:t>
            </w:r>
          </w:p>
        </w:tc>
        <w:tc>
          <w:tcPr>
            <w:tcW w:type="dxa" w:w="6480"/>
            <w:tcMar>
              <w:top w:w="120" w:type="dxa"/>
              <w:start w:w="140" w:type="dxa"/>
              <w:bottom w:w="120" w:type="dxa"/>
              <w:end w:w="140" w:type="dxa"/>
            </w:tcMar>
            <w:vAlign w:val="center"/>
            <w:shd w:fill="F4F7F4"/>
          </w:tcPr>
          <w:p>
            <w:pPr>
              <w:spacing w:after="0"/>
            </w:pPr>
            <w:r>
              <w:rPr>
                <w:sz w:val="18"/>
              </w:rPr>
              <w:t>[Crop, planting window and minimum farm-record requirements]</w:t>
            </w:r>
          </w:p>
        </w:tc>
      </w:tr>
      <w:tr>
        <w:trPr>
          <w:cantSplit/>
        </w:trPr>
        <w:tc>
          <w:tcPr>
            <w:tcW w:type="dxa" w:w="2880"/>
            <w:tcMar>
              <w:top w:w="120" w:type="dxa"/>
              <w:start w:w="140" w:type="dxa"/>
              <w:bottom w:w="120" w:type="dxa"/>
              <w:end w:w="140" w:type="dxa"/>
            </w:tcMar>
            <w:vAlign w:val="center"/>
          </w:tcPr>
          <w:p>
            <w:pPr>
              <w:spacing w:after="0"/>
            </w:pPr>
            <w:r>
              <w:rPr>
                <w:sz w:val="18"/>
              </w:rPr>
              <w:t>Approved assets</w:t>
            </w:r>
          </w:p>
        </w:tc>
        <w:tc>
          <w:tcPr>
            <w:tcW w:type="dxa" w:w="6480"/>
            <w:tcMar>
              <w:top w:w="120" w:type="dxa"/>
              <w:start w:w="140" w:type="dxa"/>
              <w:bottom w:w="120" w:type="dxa"/>
              <w:end w:w="140" w:type="dxa"/>
            </w:tcMar>
            <w:vAlign w:val="center"/>
          </w:tcPr>
          <w:p>
            <w:pPr>
              <w:spacing w:after="0"/>
            </w:pPr>
            <w:r>
              <w:rPr>
                <w:sz w:val="18"/>
              </w:rPr>
              <w:t>[Specifications, quantity limits and intended productive use]</w:t>
            </w:r>
          </w:p>
        </w:tc>
      </w:tr>
      <w:tr>
        <w:trPr>
          <w:cantSplit/>
        </w:trPr>
        <w:tc>
          <w:tcPr>
            <w:tcW w:type="dxa" w:w="2880"/>
            <w:tcMar>
              <w:top w:w="120" w:type="dxa"/>
              <w:start w:w="140" w:type="dxa"/>
              <w:bottom w:w="120" w:type="dxa"/>
              <w:end w:w="140" w:type="dxa"/>
            </w:tcMar>
            <w:vAlign w:val="center"/>
            <w:shd w:fill="F4F7F4"/>
          </w:tcPr>
          <w:p>
            <w:pPr>
              <w:spacing w:after="0"/>
            </w:pPr>
            <w:r>
              <w:rPr>
                <w:sz w:val="18"/>
              </w:rPr>
              <w:t>Target participants</w:t>
            </w:r>
          </w:p>
        </w:tc>
        <w:tc>
          <w:tcPr>
            <w:tcW w:type="dxa" w:w="6480"/>
            <w:tcMar>
              <w:top w:w="120" w:type="dxa"/>
              <w:start w:w="140" w:type="dxa"/>
              <w:bottom w:w="120" w:type="dxa"/>
              <w:end w:w="140" w:type="dxa"/>
            </w:tcMar>
            <w:vAlign w:val="center"/>
            <w:shd w:fill="F4F7F4"/>
          </w:tcPr>
          <w:p>
            <w:pPr>
              <w:spacing w:after="0"/>
            </w:pPr>
            <w:r>
              <w:rPr>
                <w:sz w:val="18"/>
              </w:rPr>
              <w:t>[Number and eligibility profile]</w:t>
            </w:r>
          </w:p>
        </w:tc>
      </w:tr>
      <w:tr>
        <w:trPr>
          <w:cantSplit/>
        </w:trPr>
        <w:tc>
          <w:tcPr>
            <w:tcW w:type="dxa" w:w="2880"/>
            <w:tcMar>
              <w:top w:w="120" w:type="dxa"/>
              <w:start w:w="140" w:type="dxa"/>
              <w:bottom w:w="120" w:type="dxa"/>
              <w:end w:w="140" w:type="dxa"/>
            </w:tcMar>
            <w:vAlign w:val="center"/>
          </w:tcPr>
          <w:p>
            <w:pPr>
              <w:spacing w:after="0"/>
            </w:pPr>
            <w:r>
              <w:rPr>
                <w:sz w:val="18"/>
              </w:rPr>
              <w:t>Finance structure</w:t>
            </w:r>
          </w:p>
        </w:tc>
        <w:tc>
          <w:tcPr>
            <w:tcW w:type="dxa" w:w="6480"/>
            <w:tcMar>
              <w:top w:w="120" w:type="dxa"/>
              <w:start w:w="140" w:type="dxa"/>
              <w:bottom w:w="120" w:type="dxa"/>
              <w:end w:w="140" w:type="dxa"/>
            </w:tcMar>
            <w:vAlign w:val="center"/>
          </w:tcPr>
          <w:p>
            <w:pPr>
              <w:spacing w:after="0"/>
            </w:pPr>
            <w:r>
              <w:rPr>
                <w:sz w:val="18"/>
              </w:rPr>
              <w:t>[Bank-approved structure, currency, amount, tenor, deposit, security and repayment dates]</w:t>
            </w:r>
          </w:p>
        </w:tc>
      </w:tr>
      <w:tr>
        <w:trPr>
          <w:cantSplit/>
        </w:trPr>
        <w:tc>
          <w:tcPr>
            <w:tcW w:type="dxa" w:w="2880"/>
            <w:tcMar>
              <w:top w:w="120" w:type="dxa"/>
              <w:start w:w="140" w:type="dxa"/>
              <w:bottom w:w="120" w:type="dxa"/>
              <w:end w:w="140" w:type="dxa"/>
            </w:tcMar>
            <w:vAlign w:val="center"/>
            <w:shd w:fill="F4F7F4"/>
          </w:tcPr>
          <w:p>
            <w:pPr>
              <w:spacing w:after="0"/>
            </w:pPr>
            <w:r>
              <w:rPr>
                <w:sz w:val="18"/>
              </w:rPr>
              <w:t>Suppliers</w:t>
            </w:r>
          </w:p>
        </w:tc>
        <w:tc>
          <w:tcPr>
            <w:tcW w:type="dxa" w:w="6480"/>
            <w:tcMar>
              <w:top w:w="120" w:type="dxa"/>
              <w:start w:w="140" w:type="dxa"/>
              <w:bottom w:w="120" w:type="dxa"/>
              <w:end w:w="140" w:type="dxa"/>
            </w:tcMar>
            <w:vAlign w:val="center"/>
            <w:shd w:fill="F4F7F4"/>
          </w:tcPr>
          <w:p>
            <w:pPr>
              <w:spacing w:after="0"/>
            </w:pPr>
            <w:r>
              <w:rPr>
                <w:sz w:val="18"/>
              </w:rPr>
              <w:t>[Approved supplier, warranty, installation and service requirements]</w:t>
            </w:r>
          </w:p>
        </w:tc>
      </w:tr>
      <w:tr>
        <w:trPr>
          <w:cantSplit/>
        </w:trPr>
        <w:tc>
          <w:tcPr>
            <w:tcW w:type="dxa" w:w="2880"/>
            <w:tcMar>
              <w:top w:w="120" w:type="dxa"/>
              <w:start w:w="140" w:type="dxa"/>
              <w:bottom w:w="120" w:type="dxa"/>
              <w:end w:w="140" w:type="dxa"/>
            </w:tcMar>
            <w:vAlign w:val="center"/>
          </w:tcPr>
          <w:p>
            <w:pPr>
              <w:spacing w:after="0"/>
            </w:pPr>
            <w:r>
              <w:rPr>
                <w:sz w:val="18"/>
              </w:rPr>
              <w:t>Application route</w:t>
            </w:r>
          </w:p>
        </w:tc>
        <w:tc>
          <w:tcPr>
            <w:tcW w:type="dxa" w:w="6480"/>
            <w:tcMar>
              <w:top w:w="120" w:type="dxa"/>
              <w:start w:w="140" w:type="dxa"/>
              <w:bottom w:w="120" w:type="dxa"/>
              <w:end w:w="140" w:type="dxa"/>
            </w:tcMar>
            <w:vAlign w:val="center"/>
          </w:tcPr>
          <w:p>
            <w:pPr>
              <w:spacing w:after="0"/>
            </w:pPr>
            <w:r>
              <w:rPr>
                <w:sz w:val="18"/>
              </w:rPr>
              <w:t>AgriShield organisation workspace or approved API</w:t>
            </w:r>
          </w:p>
        </w:tc>
      </w:tr>
      <w:tr>
        <w:trPr>
          <w:cantSplit/>
        </w:trPr>
        <w:tc>
          <w:tcPr>
            <w:tcW w:type="dxa" w:w="2880"/>
            <w:tcMar>
              <w:top w:w="120" w:type="dxa"/>
              <w:start w:w="140" w:type="dxa"/>
              <w:bottom w:w="120" w:type="dxa"/>
              <w:end w:w="140" w:type="dxa"/>
            </w:tcMar>
            <w:vAlign w:val="center"/>
            <w:shd w:fill="F4F7F4"/>
          </w:tcPr>
          <w:p>
            <w:pPr>
              <w:spacing w:after="0"/>
            </w:pPr>
            <w:r>
              <w:rPr>
                <w:sz w:val="18"/>
              </w:rPr>
              <w:t>Decision owner</w:t>
            </w:r>
          </w:p>
        </w:tc>
        <w:tc>
          <w:tcPr>
            <w:tcW w:type="dxa" w:w="6480"/>
            <w:tcMar>
              <w:top w:w="120" w:type="dxa"/>
              <w:start w:w="140" w:type="dxa"/>
              <w:bottom w:w="120" w:type="dxa"/>
              <w:end w:w="140" w:type="dxa"/>
            </w:tcMar>
            <w:vAlign w:val="center"/>
            <w:shd w:fill="F4F7F4"/>
          </w:tcPr>
          <w:p>
            <w:pPr>
              <w:spacing w:after="0"/>
            </w:pPr>
            <w:r>
              <w:rPr>
                <w:sz w:val="18"/>
              </w:rPr>
              <w:t>Bank only</w:t>
            </w:r>
          </w:p>
        </w:tc>
      </w:tr>
      <w:tr>
        <w:trPr>
          <w:cantSplit/>
        </w:trPr>
        <w:tc>
          <w:tcPr>
            <w:tcW w:type="dxa" w:w="2880"/>
            <w:tcMar>
              <w:top w:w="120" w:type="dxa"/>
              <w:start w:w="140" w:type="dxa"/>
              <w:bottom w:w="120" w:type="dxa"/>
              <w:end w:w="140" w:type="dxa"/>
            </w:tcMar>
            <w:vAlign w:val="center"/>
          </w:tcPr>
          <w:p>
            <w:pPr>
              <w:spacing w:after="0"/>
            </w:pPr>
            <w:r>
              <w:rPr>
                <w:sz w:val="18"/>
              </w:rPr>
              <w:t>Delivery verification</w:t>
            </w:r>
          </w:p>
        </w:tc>
        <w:tc>
          <w:tcPr>
            <w:tcW w:type="dxa" w:w="6480"/>
            <w:tcMar>
              <w:top w:w="120" w:type="dxa"/>
              <w:start w:w="140" w:type="dxa"/>
              <w:bottom w:w="120" w:type="dxa"/>
              <w:end w:w="140" w:type="dxa"/>
            </w:tcMar>
            <w:vAlign w:val="center"/>
          </w:tcPr>
          <w:p>
            <w:pPr>
              <w:spacing w:after="0"/>
            </w:pPr>
            <w:r>
              <w:rPr>
                <w:sz w:val="18"/>
              </w:rPr>
              <w:t>[Bank, Supplier, organisation field officer or jointly agreed party]</w:t>
            </w:r>
          </w:p>
        </w:tc>
      </w:tr>
      <w:tr>
        <w:trPr>
          <w:cantSplit/>
        </w:trPr>
        <w:tc>
          <w:tcPr>
            <w:tcW w:type="dxa" w:w="2880"/>
            <w:tcMar>
              <w:top w:w="120" w:type="dxa"/>
              <w:start w:w="140" w:type="dxa"/>
              <w:bottom w:w="120" w:type="dxa"/>
              <w:end w:w="140" w:type="dxa"/>
            </w:tcMar>
            <w:vAlign w:val="center"/>
            <w:shd w:fill="F4F7F4"/>
          </w:tcPr>
          <w:p>
            <w:pPr>
              <w:spacing w:after="0"/>
            </w:pPr>
            <w:r>
              <w:rPr>
                <w:sz w:val="18"/>
              </w:rPr>
              <w:t>Repayment servicing</w:t>
            </w:r>
          </w:p>
        </w:tc>
        <w:tc>
          <w:tcPr>
            <w:tcW w:type="dxa" w:w="6480"/>
            <w:tcMar>
              <w:top w:w="120" w:type="dxa"/>
              <w:start w:w="140" w:type="dxa"/>
              <w:bottom w:w="120" w:type="dxa"/>
              <w:end w:w="140" w:type="dxa"/>
            </w:tcMar>
            <w:vAlign w:val="center"/>
            <w:shd w:fill="F4F7F4"/>
          </w:tcPr>
          <w:p>
            <w:pPr>
              <w:spacing w:after="0"/>
            </w:pPr>
            <w:r>
              <w:rPr>
                <w:sz w:val="18"/>
              </w:rPr>
              <w:t>Bank only</w:t>
            </w:r>
          </w:p>
        </w:tc>
      </w:tr>
      <w:tr>
        <w:trPr>
          <w:cantSplit/>
        </w:trPr>
        <w:tc>
          <w:tcPr>
            <w:tcW w:type="dxa" w:w="2880"/>
            <w:tcMar>
              <w:top w:w="120" w:type="dxa"/>
              <w:start w:w="140" w:type="dxa"/>
              <w:bottom w:w="120" w:type="dxa"/>
              <w:end w:w="140" w:type="dxa"/>
            </w:tcMar>
            <w:vAlign w:val="center"/>
          </w:tcPr>
          <w:p>
            <w:pPr>
              <w:spacing w:after="0"/>
            </w:pPr>
            <w:r>
              <w:rPr>
                <w:sz w:val="18"/>
              </w:rPr>
              <w:t>Pilot duration</w:t>
            </w:r>
          </w:p>
        </w:tc>
        <w:tc>
          <w:tcPr>
            <w:tcW w:type="dxa" w:w="6480"/>
            <w:tcMar>
              <w:top w:w="120" w:type="dxa"/>
              <w:start w:w="140" w:type="dxa"/>
              <w:bottom w:w="120" w:type="dxa"/>
              <w:end w:w="140" w:type="dxa"/>
            </w:tcMar>
            <w:vAlign w:val="center"/>
          </w:tcPr>
          <w:p>
            <w:pPr>
              <w:spacing w:after="0"/>
            </w:pPr>
            <w:r>
              <w:rPr>
                <w:sz w:val="18"/>
              </w:rPr>
              <w:t>[Insert; subject to all regulatory requirements]</w:t>
            </w:r>
          </w:p>
        </w:tc>
      </w:tr>
      <w:tr>
        <w:trPr>
          <w:cantSplit/>
        </w:trPr>
        <w:tc>
          <w:tcPr>
            <w:tcW w:type="dxa" w:w="2880"/>
            <w:tcMar>
              <w:top w:w="120" w:type="dxa"/>
              <w:start w:w="140" w:type="dxa"/>
              <w:bottom w:w="120" w:type="dxa"/>
              <w:end w:w="140" w:type="dxa"/>
            </w:tcMar>
            <w:vAlign w:val="center"/>
            <w:shd w:fill="F4F7F4"/>
          </w:tcPr>
          <w:p>
            <w:pPr>
              <w:spacing w:after="0"/>
            </w:pPr>
            <w:r>
              <w:rPr>
                <w:sz w:val="18"/>
              </w:rPr>
              <w:t>AgriShield fees</w:t>
            </w:r>
          </w:p>
        </w:tc>
        <w:tc>
          <w:tcPr>
            <w:tcW w:type="dxa" w:w="6480"/>
            <w:tcMar>
              <w:top w:w="120" w:type="dxa"/>
              <w:start w:w="140" w:type="dxa"/>
              <w:bottom w:w="120" w:type="dxa"/>
              <w:end w:w="140" w:type="dxa"/>
            </w:tcMar>
            <w:vAlign w:val="center"/>
            <w:shd w:fill="F4F7F4"/>
          </w:tcPr>
          <w:p>
            <w:pPr>
              <w:spacing w:after="0"/>
            </w:pPr>
            <w:r>
              <w:rPr>
                <w:sz w:val="18"/>
              </w:rPr>
              <w:t>[Insert or state none]</w:t>
            </w:r>
          </w:p>
        </w:tc>
      </w:tr>
    </w:tbl>
    <w:p>
      <w:pPr>
        <w:spacing w:after="0"/>
      </w:pPr>
    </w:p>
    <w:p>
      <w:pPr>
        <w:pStyle w:val="Heading2"/>
        <w:keepNext/>
      </w:pPr>
      <w:r>
        <w:t>Programme measures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2232"/>
            <w:shd w:fill="123B2A"/>
            <w:tcMar>
              <w:top w:w="120" w:type="dxa"/>
              <w:start w:w="140" w:type="dxa"/>
              <w:bottom w:w="120" w:type="dxa"/>
              <w:end w:w="140" w:type="dxa"/>
            </w:tcMar>
            <w:vAlign w:val="center"/>
          </w:tcPr>
          <w:p>
            <w:r>
              <w:rPr>
                <w:b/>
                <w:color w:val="FFFFFF"/>
                <w:sz w:val="18"/>
              </w:rPr>
              <w:t>Measure</w:t>
            </w:r>
          </w:p>
        </w:tc>
        <w:tc>
          <w:tcPr>
            <w:tcW w:type="dxa" w:w="4824"/>
            <w:shd w:fill="123B2A"/>
            <w:tcMar>
              <w:top w:w="120" w:type="dxa"/>
              <w:start w:w="140" w:type="dxa"/>
              <w:bottom w:w="120" w:type="dxa"/>
              <w:end w:w="140" w:type="dxa"/>
            </w:tcMar>
            <w:vAlign w:val="center"/>
          </w:tcPr>
          <w:p>
            <w:r>
              <w:rPr>
                <w:b/>
                <w:color w:val="FFFFFF"/>
                <w:sz w:val="18"/>
              </w:rPr>
              <w:t>Definition</w:t>
            </w:r>
          </w:p>
        </w:tc>
        <w:tc>
          <w:tcPr>
            <w:tcW w:type="dxa" w:w="2304"/>
            <w:shd w:fill="123B2A"/>
            <w:tcMar>
              <w:top w:w="120" w:type="dxa"/>
              <w:start w:w="140" w:type="dxa"/>
              <w:bottom w:w="120" w:type="dxa"/>
              <w:end w:w="140" w:type="dxa"/>
            </w:tcMar>
            <w:vAlign w:val="center"/>
          </w:tcPr>
          <w:p>
            <w:r>
              <w:rPr>
                <w:b/>
                <w:color w:val="FFFFFF"/>
                <w:sz w:val="18"/>
              </w:rPr>
              <w:t>Owner</w:t>
            </w:r>
          </w:p>
        </w:tc>
      </w:tr>
      <w:tr>
        <w:trPr>
          <w:cantSplit/>
        </w:trPr>
        <w:tc>
          <w:tcPr>
            <w:tcW w:type="dxa" w:w="2232"/>
            <w:tcMar>
              <w:top w:w="120" w:type="dxa"/>
              <w:start w:w="140" w:type="dxa"/>
              <w:bottom w:w="120" w:type="dxa"/>
              <w:end w:w="140" w:type="dxa"/>
            </w:tcMar>
            <w:vAlign w:val="center"/>
          </w:tcPr>
          <w:p>
            <w:pPr>
              <w:spacing w:after="0"/>
            </w:pPr>
            <w:r>
              <w:rPr>
                <w:sz w:val="18"/>
              </w:rPr>
              <w:t>Application completion</w:t>
            </w:r>
          </w:p>
        </w:tc>
        <w:tc>
          <w:tcPr>
            <w:tcW w:type="dxa" w:w="4824"/>
            <w:tcMar>
              <w:top w:w="120" w:type="dxa"/>
              <w:start w:w="140" w:type="dxa"/>
              <w:bottom w:w="120" w:type="dxa"/>
              <w:end w:w="140" w:type="dxa"/>
            </w:tcMar>
            <w:vAlign w:val="center"/>
          </w:tcPr>
          <w:p>
            <w:pPr>
              <w:spacing w:after="0"/>
            </w:pPr>
            <w:r>
              <w:rPr>
                <w:sz w:val="18"/>
              </w:rPr>
              <w:t>Applications submitted with consent and required fields</w:t>
            </w:r>
          </w:p>
        </w:tc>
        <w:tc>
          <w:tcPr>
            <w:tcW w:type="dxa" w:w="2304"/>
            <w:tcMar>
              <w:top w:w="120" w:type="dxa"/>
              <w:start w:w="140" w:type="dxa"/>
              <w:bottom w:w="120" w:type="dxa"/>
              <w:end w:w="140" w:type="dxa"/>
            </w:tcMar>
            <w:vAlign w:val="center"/>
          </w:tcPr>
          <w:p>
            <w:pPr>
              <w:spacing w:after="0"/>
            </w:pPr>
            <w:r>
              <w:rPr>
                <w:sz w:val="18"/>
              </w:rPr>
              <w:t>AgriShield</w:t>
            </w:r>
          </w:p>
        </w:tc>
      </w:tr>
      <w:tr>
        <w:trPr>
          <w:cantSplit/>
        </w:trPr>
        <w:tc>
          <w:tcPr>
            <w:tcW w:type="dxa" w:w="2232"/>
            <w:tcMar>
              <w:top w:w="120" w:type="dxa"/>
              <w:start w:w="140" w:type="dxa"/>
              <w:bottom w:w="120" w:type="dxa"/>
              <w:end w:w="140" w:type="dxa"/>
            </w:tcMar>
            <w:vAlign w:val="center"/>
            <w:shd w:fill="F4F7F4"/>
          </w:tcPr>
          <w:p>
            <w:pPr>
              <w:spacing w:after="0"/>
            </w:pPr>
            <w:r>
              <w:rPr>
                <w:sz w:val="18"/>
              </w:rPr>
              <w:t>Decision time</w:t>
            </w:r>
          </w:p>
        </w:tc>
        <w:tc>
          <w:tcPr>
            <w:tcW w:type="dxa" w:w="4824"/>
            <w:tcMar>
              <w:top w:w="120" w:type="dxa"/>
              <w:start w:w="140" w:type="dxa"/>
              <w:bottom w:w="120" w:type="dxa"/>
              <w:end w:w="140" w:type="dxa"/>
            </w:tcMar>
            <w:vAlign w:val="center"/>
            <w:shd w:fill="F4F7F4"/>
          </w:tcPr>
          <w:p>
            <w:pPr>
              <w:spacing w:after="0"/>
            </w:pPr>
            <w:r>
              <w:rPr>
                <w:sz w:val="18"/>
              </w:rPr>
              <w:t>Business days from Bank receipt to decision</w:t>
            </w:r>
          </w:p>
        </w:tc>
        <w:tc>
          <w:tcPr>
            <w:tcW w:type="dxa" w:w="2304"/>
            <w:tcMar>
              <w:top w:w="120" w:type="dxa"/>
              <w:start w:w="140" w:type="dxa"/>
              <w:bottom w:w="120" w:type="dxa"/>
              <w:end w:w="140" w:type="dxa"/>
            </w:tcMar>
            <w:vAlign w:val="center"/>
            <w:shd w:fill="F4F7F4"/>
          </w:tcPr>
          <w:p>
            <w:pPr>
              <w:spacing w:after="0"/>
            </w:pPr>
            <w:r>
              <w:rPr>
                <w:sz w:val="18"/>
              </w:rPr>
              <w:t>Bank</w:t>
            </w:r>
          </w:p>
        </w:tc>
      </w:tr>
      <w:tr>
        <w:trPr>
          <w:cantSplit/>
        </w:trPr>
        <w:tc>
          <w:tcPr>
            <w:tcW w:type="dxa" w:w="2232"/>
            <w:tcMar>
              <w:top w:w="120" w:type="dxa"/>
              <w:start w:w="140" w:type="dxa"/>
              <w:bottom w:w="120" w:type="dxa"/>
              <w:end w:w="140" w:type="dxa"/>
            </w:tcMar>
            <w:vAlign w:val="center"/>
          </w:tcPr>
          <w:p>
            <w:pPr>
              <w:spacing w:after="0"/>
            </w:pPr>
            <w:r>
              <w:rPr>
                <w:sz w:val="18"/>
              </w:rPr>
              <w:t>Delivery completion</w:t>
            </w:r>
          </w:p>
        </w:tc>
        <w:tc>
          <w:tcPr>
            <w:tcW w:type="dxa" w:w="4824"/>
            <w:tcMar>
              <w:top w:w="120" w:type="dxa"/>
              <w:start w:w="140" w:type="dxa"/>
              <w:bottom w:w="120" w:type="dxa"/>
              <w:end w:w="140" w:type="dxa"/>
            </w:tcMar>
            <w:vAlign w:val="center"/>
          </w:tcPr>
          <w:p>
            <w:pPr>
              <w:spacing w:after="0"/>
            </w:pPr>
            <w:r>
              <w:rPr>
                <w:sz w:val="18"/>
              </w:rPr>
              <w:t>Approved assets delivered and verified</w:t>
            </w:r>
          </w:p>
        </w:tc>
        <w:tc>
          <w:tcPr>
            <w:tcW w:type="dxa" w:w="2304"/>
            <w:tcMar>
              <w:top w:w="120" w:type="dxa"/>
              <w:start w:w="140" w:type="dxa"/>
              <w:bottom w:w="120" w:type="dxa"/>
              <w:end w:w="140" w:type="dxa"/>
            </w:tcMar>
            <w:vAlign w:val="center"/>
          </w:tcPr>
          <w:p>
            <w:pPr>
              <w:spacing w:after="0"/>
            </w:pPr>
            <w:r>
              <w:rPr>
                <w:sz w:val="18"/>
              </w:rPr>
              <w:t>Joint</w:t>
            </w:r>
          </w:p>
        </w:tc>
      </w:tr>
      <w:tr>
        <w:trPr>
          <w:cantSplit/>
        </w:trPr>
        <w:tc>
          <w:tcPr>
            <w:tcW w:type="dxa" w:w="2232"/>
            <w:tcMar>
              <w:top w:w="120" w:type="dxa"/>
              <w:start w:w="140" w:type="dxa"/>
              <w:bottom w:w="120" w:type="dxa"/>
              <w:end w:w="140" w:type="dxa"/>
            </w:tcMar>
            <w:vAlign w:val="center"/>
            <w:shd w:fill="F4F7F4"/>
          </w:tcPr>
          <w:p>
            <w:pPr>
              <w:spacing w:after="0"/>
            </w:pPr>
            <w:r>
              <w:rPr>
                <w:sz w:val="18"/>
              </w:rPr>
              <w:t>Asset use</w:t>
            </w:r>
          </w:p>
        </w:tc>
        <w:tc>
          <w:tcPr>
            <w:tcW w:type="dxa" w:w="4824"/>
            <w:tcMar>
              <w:top w:w="120" w:type="dxa"/>
              <w:start w:w="140" w:type="dxa"/>
              <w:bottom w:w="120" w:type="dxa"/>
              <w:end w:w="140" w:type="dxa"/>
            </w:tcMar>
            <w:vAlign w:val="center"/>
            <w:shd w:fill="F4F7F4"/>
          </w:tcPr>
          <w:p>
            <w:pPr>
              <w:spacing w:after="0"/>
            </w:pPr>
            <w:r>
              <w:rPr>
                <w:sz w:val="18"/>
              </w:rPr>
              <w:t>Evidence of productive use under the agreed method</w:t>
            </w:r>
          </w:p>
        </w:tc>
        <w:tc>
          <w:tcPr>
            <w:tcW w:type="dxa" w:w="2304"/>
            <w:tcMar>
              <w:top w:w="120" w:type="dxa"/>
              <w:start w:w="140" w:type="dxa"/>
              <w:bottom w:w="120" w:type="dxa"/>
              <w:end w:w="140" w:type="dxa"/>
            </w:tcMar>
            <w:vAlign w:val="center"/>
            <w:shd w:fill="F4F7F4"/>
          </w:tcPr>
          <w:p>
            <w:pPr>
              <w:spacing w:after="0"/>
            </w:pPr>
            <w:r>
              <w:rPr>
                <w:sz w:val="18"/>
              </w:rPr>
              <w:t>AgriShield and organisation</w:t>
            </w:r>
          </w:p>
        </w:tc>
      </w:tr>
      <w:tr>
        <w:trPr>
          <w:cantSplit/>
        </w:trPr>
        <w:tc>
          <w:tcPr>
            <w:tcW w:type="dxa" w:w="2232"/>
            <w:tcMar>
              <w:top w:w="120" w:type="dxa"/>
              <w:start w:w="140" w:type="dxa"/>
              <w:bottom w:w="120" w:type="dxa"/>
              <w:end w:w="140" w:type="dxa"/>
            </w:tcMar>
            <w:vAlign w:val="center"/>
          </w:tcPr>
          <w:p>
            <w:pPr>
              <w:spacing w:after="0"/>
            </w:pPr>
            <w:r>
              <w:rPr>
                <w:sz w:val="18"/>
              </w:rPr>
              <w:t>Repayment status</w:t>
            </w:r>
          </w:p>
        </w:tc>
        <w:tc>
          <w:tcPr>
            <w:tcW w:type="dxa" w:w="4824"/>
            <w:tcMar>
              <w:top w:w="120" w:type="dxa"/>
              <w:start w:w="140" w:type="dxa"/>
              <w:bottom w:w="120" w:type="dxa"/>
              <w:end w:w="140" w:type="dxa"/>
            </w:tcMar>
            <w:vAlign w:val="center"/>
          </w:tcPr>
          <w:p>
            <w:pPr>
              <w:spacing w:after="0"/>
            </w:pPr>
            <w:r>
              <w:rPr>
                <w:sz w:val="18"/>
              </w:rPr>
              <w:t>Status supplied by the Bank; no independent inference</w:t>
            </w:r>
          </w:p>
        </w:tc>
        <w:tc>
          <w:tcPr>
            <w:tcW w:type="dxa" w:w="2304"/>
            <w:tcMar>
              <w:top w:w="120" w:type="dxa"/>
              <w:start w:w="140" w:type="dxa"/>
              <w:bottom w:w="120" w:type="dxa"/>
              <w:end w:w="140" w:type="dxa"/>
            </w:tcMar>
            <w:vAlign w:val="center"/>
          </w:tcPr>
          <w:p>
            <w:pPr>
              <w:spacing w:after="0"/>
            </w:pPr>
            <w:r>
              <w:rPr>
                <w:sz w:val="18"/>
              </w:rPr>
              <w:t>Bank</w:t>
            </w:r>
          </w:p>
        </w:tc>
      </w:tr>
      <w:tr>
        <w:trPr>
          <w:cantSplit/>
        </w:trPr>
        <w:tc>
          <w:tcPr>
            <w:tcW w:type="dxa" w:w="2232"/>
            <w:tcMar>
              <w:top w:w="120" w:type="dxa"/>
              <w:start w:w="140" w:type="dxa"/>
              <w:bottom w:w="120" w:type="dxa"/>
              <w:end w:w="140" w:type="dxa"/>
            </w:tcMar>
            <w:vAlign w:val="center"/>
            <w:shd w:fill="F4F7F4"/>
          </w:tcPr>
          <w:p>
            <w:pPr>
              <w:spacing w:after="0"/>
            </w:pPr>
            <w:r>
              <w:rPr>
                <w:sz w:val="18"/>
              </w:rPr>
              <w:t>Customer complaints</w:t>
            </w:r>
          </w:p>
        </w:tc>
        <w:tc>
          <w:tcPr>
            <w:tcW w:type="dxa" w:w="4824"/>
            <w:tcMar>
              <w:top w:w="120" w:type="dxa"/>
              <w:start w:w="140" w:type="dxa"/>
              <w:bottom w:w="120" w:type="dxa"/>
              <w:end w:w="140" w:type="dxa"/>
            </w:tcMar>
            <w:vAlign w:val="center"/>
            <w:shd w:fill="F4F7F4"/>
          </w:tcPr>
          <w:p>
            <w:pPr>
              <w:spacing w:after="0"/>
            </w:pPr>
            <w:r>
              <w:rPr>
                <w:sz w:val="18"/>
              </w:rPr>
              <w:t>Volume, category, owner and resolution time</w:t>
            </w:r>
          </w:p>
        </w:tc>
        <w:tc>
          <w:tcPr>
            <w:tcW w:type="dxa" w:w="2304"/>
            <w:tcMar>
              <w:top w:w="120" w:type="dxa"/>
              <w:start w:w="140" w:type="dxa"/>
              <w:bottom w:w="120" w:type="dxa"/>
              <w:end w:w="140" w:type="dxa"/>
            </w:tcMar>
            <w:vAlign w:val="center"/>
            <w:shd w:fill="F4F7F4"/>
          </w:tcPr>
          <w:p>
            <w:pPr>
              <w:spacing w:after="0"/>
            </w:pPr>
            <w:r>
              <w:rPr>
                <w:sz w:val="18"/>
              </w:rPr>
              <w:t>Joint</w:t>
            </w:r>
          </w:p>
        </w:tc>
      </w:tr>
      <w:tr>
        <w:trPr>
          <w:cantSplit/>
        </w:trPr>
        <w:tc>
          <w:tcPr>
            <w:tcW w:type="dxa" w:w="2232"/>
            <w:tcMar>
              <w:top w:w="120" w:type="dxa"/>
              <w:start w:w="140" w:type="dxa"/>
              <w:bottom w:w="120" w:type="dxa"/>
              <w:end w:w="140" w:type="dxa"/>
            </w:tcMar>
            <w:vAlign w:val="center"/>
          </w:tcPr>
          <w:p>
            <w:pPr>
              <w:spacing w:after="0"/>
            </w:pPr>
            <w:r>
              <w:rPr>
                <w:sz w:val="18"/>
              </w:rPr>
              <w:t>Crop outcomes</w:t>
            </w:r>
          </w:p>
        </w:tc>
        <w:tc>
          <w:tcPr>
            <w:tcW w:type="dxa" w:w="4824"/>
            <w:tcMar>
              <w:top w:w="120" w:type="dxa"/>
              <w:start w:w="140" w:type="dxa"/>
              <w:bottom w:w="120" w:type="dxa"/>
              <w:end w:w="140" w:type="dxa"/>
            </w:tcMar>
            <w:vAlign w:val="center"/>
          </w:tcPr>
          <w:p>
            <w:pPr>
              <w:spacing w:after="0"/>
            </w:pPr>
            <w:r>
              <w:rPr>
                <w:sz w:val="18"/>
              </w:rPr>
              <w:t>Defined field measures with baseline and limitations</w:t>
            </w:r>
          </w:p>
        </w:tc>
        <w:tc>
          <w:tcPr>
            <w:tcW w:type="dxa" w:w="2304"/>
            <w:tcMar>
              <w:top w:w="120" w:type="dxa"/>
              <w:start w:w="140" w:type="dxa"/>
              <w:bottom w:w="120" w:type="dxa"/>
              <w:end w:w="140" w:type="dxa"/>
            </w:tcMar>
            <w:vAlign w:val="center"/>
          </w:tcPr>
          <w:p>
            <w:pPr>
              <w:spacing w:after="0"/>
            </w:pPr>
            <w:r>
              <w:rPr>
                <w:sz w:val="18"/>
              </w:rPr>
              <w:t>Joint</w:t>
            </w:r>
          </w:p>
        </w:tc>
      </w:tr>
    </w:tbl>
    <w:p>
      <w:pPr>
        <w:spacing w:after="0"/>
      </w:pPr>
    </w:p>
    <w:p>
      <w:r>
        <w:br w:type="page"/>
      </w:r>
    </w:p>
    <w:p>
      <w:pPr>
        <w:pStyle w:val="Heading1"/>
        <w:keepNext/>
      </w:pPr>
      <w:r>
        <w:t>Schedule 2  Data sharing and responsibility matrix</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088"/>
            <w:shd w:fill="123B2A"/>
            <w:tcMar>
              <w:top w:w="120" w:type="dxa"/>
              <w:start w:w="140" w:type="dxa"/>
              <w:bottom w:w="120" w:type="dxa"/>
              <w:end w:w="140" w:type="dxa"/>
            </w:tcMar>
            <w:vAlign w:val="center"/>
          </w:tcPr>
          <w:p>
            <w:r>
              <w:rPr>
                <w:b/>
                <w:color w:val="FFFFFF"/>
                <w:sz w:val="18"/>
              </w:rPr>
              <w:t>Data or activity</w:t>
            </w:r>
          </w:p>
        </w:tc>
        <w:tc>
          <w:tcPr>
            <w:tcW w:type="dxa" w:w="3096"/>
            <w:shd w:fill="123B2A"/>
            <w:tcMar>
              <w:top w:w="120" w:type="dxa"/>
              <w:start w:w="140" w:type="dxa"/>
              <w:bottom w:w="120" w:type="dxa"/>
              <w:end w:w="140" w:type="dxa"/>
            </w:tcMar>
            <w:vAlign w:val="center"/>
          </w:tcPr>
          <w:p>
            <w:r>
              <w:rPr>
                <w:b/>
                <w:color w:val="FFFFFF"/>
                <w:sz w:val="18"/>
              </w:rPr>
              <w:t>Purpose</w:t>
            </w:r>
          </w:p>
        </w:tc>
        <w:tc>
          <w:tcPr>
            <w:tcW w:type="dxa" w:w="1800"/>
            <w:shd w:fill="123B2A"/>
            <w:tcMar>
              <w:top w:w="120" w:type="dxa"/>
              <w:start w:w="140" w:type="dxa"/>
              <w:bottom w:w="120" w:type="dxa"/>
              <w:end w:w="140" w:type="dxa"/>
            </w:tcMar>
            <w:vAlign w:val="center"/>
          </w:tcPr>
          <w:p>
            <w:r>
              <w:rPr>
                <w:b/>
                <w:color w:val="FFFFFF"/>
                <w:sz w:val="18"/>
              </w:rPr>
              <w:t>Primary owner</w:t>
            </w:r>
          </w:p>
        </w:tc>
        <w:tc>
          <w:tcPr>
            <w:tcW w:type="dxa" w:w="2376"/>
            <w:shd w:fill="123B2A"/>
            <w:tcMar>
              <w:top w:w="120" w:type="dxa"/>
              <w:start w:w="140" w:type="dxa"/>
              <w:bottom w:w="120" w:type="dxa"/>
              <w:end w:w="140" w:type="dxa"/>
            </w:tcMar>
            <w:vAlign w:val="center"/>
          </w:tcPr>
          <w:p>
            <w:r>
              <w:rPr>
                <w:b/>
                <w:color w:val="FFFFFF"/>
                <w:sz w:val="18"/>
              </w:rPr>
              <w:t>Control</w:t>
            </w:r>
          </w:p>
        </w:tc>
      </w:tr>
      <w:tr>
        <w:trPr>
          <w:cantSplit/>
        </w:trPr>
        <w:tc>
          <w:tcPr>
            <w:tcW w:type="dxa" w:w="2088"/>
            <w:tcMar>
              <w:top w:w="120" w:type="dxa"/>
              <w:start w:w="140" w:type="dxa"/>
              <w:bottom w:w="120" w:type="dxa"/>
              <w:end w:w="140" w:type="dxa"/>
            </w:tcMar>
            <w:vAlign w:val="center"/>
          </w:tcPr>
          <w:p>
            <w:pPr>
              <w:spacing w:after="0"/>
            </w:pPr>
            <w:r>
              <w:rPr>
                <w:sz w:val="18"/>
              </w:rPr>
              <w:t>Identity and KYC data</w:t>
            </w:r>
          </w:p>
        </w:tc>
        <w:tc>
          <w:tcPr>
            <w:tcW w:type="dxa" w:w="3096"/>
            <w:tcMar>
              <w:top w:w="120" w:type="dxa"/>
              <w:start w:w="140" w:type="dxa"/>
              <w:bottom w:w="120" w:type="dxa"/>
              <w:end w:w="140" w:type="dxa"/>
            </w:tcMar>
            <w:vAlign w:val="center"/>
          </w:tcPr>
          <w:p>
            <w:pPr>
              <w:spacing w:after="0"/>
            </w:pPr>
            <w:r>
              <w:rPr>
                <w:sz w:val="18"/>
              </w:rPr>
              <w:t>Bank onboarding and statutory checks</w:t>
            </w:r>
          </w:p>
        </w:tc>
        <w:tc>
          <w:tcPr>
            <w:tcW w:type="dxa" w:w="1800"/>
            <w:tcMar>
              <w:top w:w="120" w:type="dxa"/>
              <w:start w:w="140" w:type="dxa"/>
              <w:bottom w:w="120" w:type="dxa"/>
              <w:end w:w="140" w:type="dxa"/>
            </w:tcMar>
            <w:vAlign w:val="center"/>
          </w:tcPr>
          <w:p>
            <w:pPr>
              <w:spacing w:after="0"/>
            </w:pPr>
            <w:r>
              <w:rPr>
                <w:sz w:val="18"/>
              </w:rPr>
              <w:t>Bank</w:t>
            </w:r>
          </w:p>
        </w:tc>
        <w:tc>
          <w:tcPr>
            <w:tcW w:type="dxa" w:w="2376"/>
            <w:tcMar>
              <w:top w:w="120" w:type="dxa"/>
              <w:start w:w="140" w:type="dxa"/>
              <w:bottom w:w="120" w:type="dxa"/>
              <w:end w:w="140" w:type="dxa"/>
            </w:tcMar>
            <w:vAlign w:val="center"/>
          </w:tcPr>
          <w:p>
            <w:pPr>
              <w:spacing w:after="0"/>
            </w:pPr>
            <w:r>
              <w:rPr>
                <w:sz w:val="18"/>
              </w:rPr>
              <w:t>Collected or verified under Bank-approved process</w:t>
            </w:r>
          </w:p>
        </w:tc>
      </w:tr>
      <w:tr>
        <w:trPr>
          <w:cantSplit/>
        </w:trPr>
        <w:tc>
          <w:tcPr>
            <w:tcW w:type="dxa" w:w="2088"/>
            <w:tcMar>
              <w:top w:w="120" w:type="dxa"/>
              <w:start w:w="140" w:type="dxa"/>
              <w:bottom w:w="120" w:type="dxa"/>
              <w:end w:w="140" w:type="dxa"/>
            </w:tcMar>
            <w:vAlign w:val="center"/>
            <w:shd w:fill="F4F7F4"/>
          </w:tcPr>
          <w:p>
            <w:pPr>
              <w:spacing w:after="0"/>
            </w:pPr>
            <w:r>
              <w:rPr>
                <w:sz w:val="18"/>
              </w:rPr>
              <w:t>Farm identity and boundary</w:t>
            </w:r>
          </w:p>
        </w:tc>
        <w:tc>
          <w:tcPr>
            <w:tcW w:type="dxa" w:w="3096"/>
            <w:tcMar>
              <w:top w:w="120" w:type="dxa"/>
              <w:start w:w="140" w:type="dxa"/>
              <w:bottom w:w="120" w:type="dxa"/>
              <w:end w:w="140" w:type="dxa"/>
            </w:tcMar>
            <w:vAlign w:val="center"/>
            <w:shd w:fill="F4F7F4"/>
          </w:tcPr>
          <w:p>
            <w:pPr>
              <w:spacing w:after="0"/>
            </w:pPr>
            <w:r>
              <w:rPr>
                <w:sz w:val="18"/>
              </w:rPr>
              <w:t>Confirm participating farm and project location</w:t>
            </w:r>
          </w:p>
        </w:tc>
        <w:tc>
          <w:tcPr>
            <w:tcW w:type="dxa" w:w="1800"/>
            <w:tcMar>
              <w:top w:w="120" w:type="dxa"/>
              <w:start w:w="140" w:type="dxa"/>
              <w:bottom w:w="120" w:type="dxa"/>
              <w:end w:w="140" w:type="dxa"/>
            </w:tcMar>
            <w:vAlign w:val="center"/>
            <w:shd w:fill="F4F7F4"/>
          </w:tcPr>
          <w:p>
            <w:pPr>
              <w:spacing w:after="0"/>
            </w:pPr>
            <w:r>
              <w:rPr>
                <w:sz w:val="18"/>
              </w:rPr>
              <w:t>AgriShield</w:t>
            </w:r>
          </w:p>
        </w:tc>
        <w:tc>
          <w:tcPr>
            <w:tcW w:type="dxa" w:w="2376"/>
            <w:tcMar>
              <w:top w:w="120" w:type="dxa"/>
              <w:start w:w="140" w:type="dxa"/>
              <w:bottom w:w="120" w:type="dxa"/>
              <w:end w:w="140" w:type="dxa"/>
            </w:tcMar>
            <w:vAlign w:val="center"/>
            <w:shd w:fill="F4F7F4"/>
          </w:tcPr>
          <w:p>
            <w:pPr>
              <w:spacing w:after="0"/>
            </w:pPr>
            <w:r>
              <w:rPr>
                <w:sz w:val="18"/>
              </w:rPr>
              <w:t>Role-based access and consent</w:t>
            </w:r>
          </w:p>
        </w:tc>
      </w:tr>
      <w:tr>
        <w:trPr>
          <w:cantSplit/>
        </w:trPr>
        <w:tc>
          <w:tcPr>
            <w:tcW w:type="dxa" w:w="2088"/>
            <w:tcMar>
              <w:top w:w="120" w:type="dxa"/>
              <w:start w:w="140" w:type="dxa"/>
              <w:bottom w:w="120" w:type="dxa"/>
              <w:end w:w="140" w:type="dxa"/>
            </w:tcMar>
            <w:vAlign w:val="center"/>
          </w:tcPr>
          <w:p>
            <w:pPr>
              <w:spacing w:after="0"/>
            </w:pPr>
            <w:r>
              <w:rPr>
                <w:sz w:val="18"/>
              </w:rPr>
              <w:t>Crop season</w:t>
            </w:r>
          </w:p>
        </w:tc>
        <w:tc>
          <w:tcPr>
            <w:tcW w:type="dxa" w:w="3096"/>
            <w:tcMar>
              <w:top w:w="120" w:type="dxa"/>
              <w:start w:w="140" w:type="dxa"/>
              <w:bottom w:w="120" w:type="dxa"/>
              <w:end w:w="140" w:type="dxa"/>
            </w:tcMar>
            <w:vAlign w:val="center"/>
          </w:tcPr>
          <w:p>
            <w:pPr>
              <w:spacing w:after="0"/>
            </w:pPr>
            <w:r>
              <w:rPr>
                <w:sz w:val="18"/>
              </w:rPr>
              <w:t>Confirm current productive context</w:t>
            </w:r>
          </w:p>
        </w:tc>
        <w:tc>
          <w:tcPr>
            <w:tcW w:type="dxa" w:w="1800"/>
            <w:tcMar>
              <w:top w:w="120" w:type="dxa"/>
              <w:start w:w="140" w:type="dxa"/>
              <w:bottom w:w="120" w:type="dxa"/>
              <w:end w:w="140" w:type="dxa"/>
            </w:tcMar>
            <w:vAlign w:val="center"/>
          </w:tcPr>
          <w:p>
            <w:pPr>
              <w:spacing w:after="0"/>
            </w:pPr>
            <w:r>
              <w:rPr>
                <w:sz w:val="18"/>
              </w:rPr>
              <w:t>AgriShield</w:t>
            </w:r>
          </w:p>
        </w:tc>
        <w:tc>
          <w:tcPr>
            <w:tcW w:type="dxa" w:w="2376"/>
            <w:tcMar>
              <w:top w:w="120" w:type="dxa"/>
              <w:start w:w="140" w:type="dxa"/>
              <w:bottom w:w="120" w:type="dxa"/>
              <w:end w:w="140" w:type="dxa"/>
            </w:tcMar>
            <w:vAlign w:val="center"/>
          </w:tcPr>
          <w:p>
            <w:pPr>
              <w:spacing w:after="0"/>
            </w:pPr>
            <w:r>
              <w:rPr>
                <w:sz w:val="18"/>
              </w:rPr>
              <w:t>Linked to registered farm</w:t>
            </w:r>
          </w:p>
        </w:tc>
      </w:tr>
      <w:tr>
        <w:trPr>
          <w:cantSplit/>
        </w:trPr>
        <w:tc>
          <w:tcPr>
            <w:tcW w:type="dxa" w:w="2088"/>
            <w:tcMar>
              <w:top w:w="120" w:type="dxa"/>
              <w:start w:w="140" w:type="dxa"/>
              <w:bottom w:w="120" w:type="dxa"/>
              <w:end w:w="140" w:type="dxa"/>
            </w:tcMar>
            <w:vAlign w:val="center"/>
            <w:shd w:fill="F4F7F4"/>
          </w:tcPr>
          <w:p>
            <w:pPr>
              <w:spacing w:after="0"/>
            </w:pPr>
            <w:r>
              <w:rPr>
                <w:sz w:val="18"/>
              </w:rPr>
              <w:t>Voice note or field image</w:t>
            </w:r>
          </w:p>
        </w:tc>
        <w:tc>
          <w:tcPr>
            <w:tcW w:type="dxa" w:w="3096"/>
            <w:tcMar>
              <w:top w:w="120" w:type="dxa"/>
              <w:start w:w="140" w:type="dxa"/>
              <w:bottom w:w="120" w:type="dxa"/>
              <w:end w:w="140" w:type="dxa"/>
            </w:tcMar>
            <w:vAlign w:val="center"/>
            <w:shd w:fill="F4F7F4"/>
          </w:tcPr>
          <w:p>
            <w:pPr>
              <w:spacing w:after="0"/>
            </w:pPr>
            <w:r>
              <w:rPr>
                <w:sz w:val="18"/>
              </w:rPr>
              <w:t>Support application context where necessary</w:t>
            </w:r>
          </w:p>
        </w:tc>
        <w:tc>
          <w:tcPr>
            <w:tcW w:type="dxa" w:w="1800"/>
            <w:tcMar>
              <w:top w:w="120" w:type="dxa"/>
              <w:start w:w="140" w:type="dxa"/>
              <w:bottom w:w="120" w:type="dxa"/>
              <w:end w:w="140" w:type="dxa"/>
            </w:tcMar>
            <w:vAlign w:val="center"/>
            <w:shd w:fill="F4F7F4"/>
          </w:tcPr>
          <w:p>
            <w:pPr>
              <w:spacing w:after="0"/>
            </w:pPr>
            <w:r>
              <w:rPr>
                <w:sz w:val="18"/>
              </w:rPr>
              <w:t>AgriShield</w:t>
            </w:r>
          </w:p>
        </w:tc>
        <w:tc>
          <w:tcPr>
            <w:tcW w:type="dxa" w:w="2376"/>
            <w:tcMar>
              <w:top w:w="120" w:type="dxa"/>
              <w:start w:w="140" w:type="dxa"/>
              <w:bottom w:w="120" w:type="dxa"/>
              <w:end w:w="140" w:type="dxa"/>
            </w:tcMar>
            <w:vAlign w:val="center"/>
            <w:shd w:fill="F4F7F4"/>
          </w:tcPr>
          <w:p>
            <w:pPr>
              <w:spacing w:after="0"/>
            </w:pPr>
            <w:r>
              <w:rPr>
                <w:sz w:val="18"/>
              </w:rPr>
              <w:t>Optional, purpose-limited and consented</w:t>
            </w:r>
          </w:p>
        </w:tc>
      </w:tr>
      <w:tr>
        <w:trPr>
          <w:cantSplit/>
        </w:trPr>
        <w:tc>
          <w:tcPr>
            <w:tcW w:type="dxa" w:w="2088"/>
            <w:tcMar>
              <w:top w:w="120" w:type="dxa"/>
              <w:start w:w="140" w:type="dxa"/>
              <w:bottom w:w="120" w:type="dxa"/>
              <w:end w:w="140" w:type="dxa"/>
            </w:tcMar>
            <w:vAlign w:val="center"/>
          </w:tcPr>
          <w:p>
            <w:pPr>
              <w:spacing w:after="0"/>
            </w:pPr>
            <w:r>
              <w:rPr>
                <w:sz w:val="18"/>
              </w:rPr>
              <w:t>Credit bureau and affordability data</w:t>
            </w:r>
          </w:p>
        </w:tc>
        <w:tc>
          <w:tcPr>
            <w:tcW w:type="dxa" w:w="3096"/>
            <w:tcMar>
              <w:top w:w="120" w:type="dxa"/>
              <w:start w:w="140" w:type="dxa"/>
              <w:bottom w:w="120" w:type="dxa"/>
              <w:end w:w="140" w:type="dxa"/>
            </w:tcMar>
            <w:vAlign w:val="center"/>
          </w:tcPr>
          <w:p>
            <w:pPr>
              <w:spacing w:after="0"/>
            </w:pPr>
            <w:r>
              <w:rPr>
                <w:sz w:val="18"/>
              </w:rPr>
              <w:t>Underwriting</w:t>
            </w:r>
          </w:p>
        </w:tc>
        <w:tc>
          <w:tcPr>
            <w:tcW w:type="dxa" w:w="1800"/>
            <w:tcMar>
              <w:top w:w="120" w:type="dxa"/>
              <w:start w:w="140" w:type="dxa"/>
              <w:bottom w:w="120" w:type="dxa"/>
              <w:end w:w="140" w:type="dxa"/>
            </w:tcMar>
            <w:vAlign w:val="center"/>
          </w:tcPr>
          <w:p>
            <w:pPr>
              <w:spacing w:after="0"/>
            </w:pPr>
            <w:r>
              <w:rPr>
                <w:sz w:val="18"/>
              </w:rPr>
              <w:t>Bank</w:t>
            </w:r>
          </w:p>
        </w:tc>
        <w:tc>
          <w:tcPr>
            <w:tcW w:type="dxa" w:w="2376"/>
            <w:tcMar>
              <w:top w:w="120" w:type="dxa"/>
              <w:start w:w="140" w:type="dxa"/>
              <w:bottom w:w="120" w:type="dxa"/>
              <w:end w:w="140" w:type="dxa"/>
            </w:tcMar>
            <w:vAlign w:val="center"/>
          </w:tcPr>
          <w:p>
            <w:pPr>
              <w:spacing w:after="0"/>
            </w:pPr>
            <w:r>
              <w:rPr>
                <w:sz w:val="18"/>
              </w:rPr>
              <w:t>Not stored by AgriShield unless separately agreed</w:t>
            </w:r>
          </w:p>
        </w:tc>
      </w:tr>
      <w:tr>
        <w:trPr>
          <w:cantSplit/>
        </w:trPr>
        <w:tc>
          <w:tcPr>
            <w:tcW w:type="dxa" w:w="2088"/>
            <w:tcMar>
              <w:top w:w="120" w:type="dxa"/>
              <w:start w:w="140" w:type="dxa"/>
              <w:bottom w:w="120" w:type="dxa"/>
              <w:end w:w="140" w:type="dxa"/>
            </w:tcMar>
            <w:vAlign w:val="center"/>
            <w:shd w:fill="F4F7F4"/>
          </w:tcPr>
          <w:p>
            <w:pPr>
              <w:spacing w:after="0"/>
            </w:pPr>
            <w:r>
              <w:rPr>
                <w:sz w:val="18"/>
              </w:rPr>
              <w:t>Decision and partner reference</w:t>
            </w:r>
          </w:p>
        </w:tc>
        <w:tc>
          <w:tcPr>
            <w:tcW w:type="dxa" w:w="3096"/>
            <w:tcMar>
              <w:top w:w="120" w:type="dxa"/>
              <w:start w:w="140" w:type="dxa"/>
              <w:bottom w:w="120" w:type="dxa"/>
              <w:end w:w="140" w:type="dxa"/>
            </w:tcMar>
            <w:vAlign w:val="center"/>
            <w:shd w:fill="F4F7F4"/>
          </w:tcPr>
          <w:p>
            <w:pPr>
              <w:spacing w:after="0"/>
            </w:pPr>
            <w:r>
              <w:rPr>
                <w:sz w:val="18"/>
              </w:rPr>
              <w:t>Application tracking</w:t>
            </w:r>
          </w:p>
        </w:tc>
        <w:tc>
          <w:tcPr>
            <w:tcW w:type="dxa" w:w="1800"/>
            <w:tcMar>
              <w:top w:w="120" w:type="dxa"/>
              <w:start w:w="140" w:type="dxa"/>
              <w:bottom w:w="120" w:type="dxa"/>
              <w:end w:w="140" w:type="dxa"/>
            </w:tcMar>
            <w:vAlign w:val="center"/>
            <w:shd w:fill="F4F7F4"/>
          </w:tcPr>
          <w:p>
            <w:pPr>
              <w:spacing w:after="0"/>
            </w:pPr>
            <w:r>
              <w:rPr>
                <w:sz w:val="18"/>
              </w:rPr>
              <w:t>Bank</w:t>
            </w:r>
          </w:p>
        </w:tc>
        <w:tc>
          <w:tcPr>
            <w:tcW w:type="dxa" w:w="2376"/>
            <w:tcMar>
              <w:top w:w="120" w:type="dxa"/>
              <w:start w:w="140" w:type="dxa"/>
              <w:bottom w:w="120" w:type="dxa"/>
              <w:end w:w="140" w:type="dxa"/>
            </w:tcMar>
            <w:vAlign w:val="center"/>
            <w:shd w:fill="F4F7F4"/>
          </w:tcPr>
          <w:p>
            <w:pPr>
              <w:spacing w:after="0"/>
            </w:pPr>
            <w:r>
              <w:rPr>
                <w:sz w:val="18"/>
              </w:rPr>
              <w:t>Minimum status returned to AgriShield</w:t>
            </w:r>
          </w:p>
        </w:tc>
      </w:tr>
      <w:tr>
        <w:trPr>
          <w:cantSplit/>
        </w:trPr>
        <w:tc>
          <w:tcPr>
            <w:tcW w:type="dxa" w:w="2088"/>
            <w:tcMar>
              <w:top w:w="120" w:type="dxa"/>
              <w:start w:w="140" w:type="dxa"/>
              <w:bottom w:w="120" w:type="dxa"/>
              <w:end w:w="140" w:type="dxa"/>
            </w:tcMar>
            <w:vAlign w:val="center"/>
          </w:tcPr>
          <w:p>
            <w:pPr>
              <w:spacing w:after="0"/>
            </w:pPr>
            <w:r>
              <w:rPr>
                <w:sz w:val="18"/>
              </w:rPr>
              <w:t>Disbursement and repayment data</w:t>
            </w:r>
          </w:p>
        </w:tc>
        <w:tc>
          <w:tcPr>
            <w:tcW w:type="dxa" w:w="3096"/>
            <w:tcMar>
              <w:top w:w="120" w:type="dxa"/>
              <w:start w:w="140" w:type="dxa"/>
              <w:bottom w:w="120" w:type="dxa"/>
              <w:end w:w="140" w:type="dxa"/>
            </w:tcMar>
            <w:vAlign w:val="center"/>
          </w:tcPr>
          <w:p>
            <w:pPr>
              <w:spacing w:after="0"/>
            </w:pPr>
            <w:r>
              <w:rPr>
                <w:sz w:val="18"/>
              </w:rPr>
              <w:t>Servicing and authorised status visibility</w:t>
            </w:r>
          </w:p>
        </w:tc>
        <w:tc>
          <w:tcPr>
            <w:tcW w:type="dxa" w:w="1800"/>
            <w:tcMar>
              <w:top w:w="120" w:type="dxa"/>
              <w:start w:w="140" w:type="dxa"/>
              <w:bottom w:w="120" w:type="dxa"/>
              <w:end w:w="140" w:type="dxa"/>
            </w:tcMar>
            <w:vAlign w:val="center"/>
          </w:tcPr>
          <w:p>
            <w:pPr>
              <w:spacing w:after="0"/>
            </w:pPr>
            <w:r>
              <w:rPr>
                <w:sz w:val="18"/>
              </w:rPr>
              <w:t>Bank</w:t>
            </w:r>
          </w:p>
        </w:tc>
        <w:tc>
          <w:tcPr>
            <w:tcW w:type="dxa" w:w="2376"/>
            <w:tcMar>
              <w:top w:w="120" w:type="dxa"/>
              <w:start w:w="140" w:type="dxa"/>
              <w:bottom w:w="120" w:type="dxa"/>
              <w:end w:w="140" w:type="dxa"/>
            </w:tcMar>
            <w:vAlign w:val="center"/>
          </w:tcPr>
          <w:p>
            <w:pPr>
              <w:spacing w:after="0"/>
            </w:pPr>
            <w:r>
              <w:rPr>
                <w:sz w:val="18"/>
              </w:rPr>
              <w:t>Minimum fields and defined retention</w:t>
            </w:r>
          </w:p>
        </w:tc>
      </w:tr>
      <w:tr>
        <w:trPr>
          <w:cantSplit/>
        </w:trPr>
        <w:tc>
          <w:tcPr>
            <w:tcW w:type="dxa" w:w="2088"/>
            <w:tcMar>
              <w:top w:w="120" w:type="dxa"/>
              <w:start w:w="140" w:type="dxa"/>
              <w:bottom w:w="120" w:type="dxa"/>
              <w:end w:w="140" w:type="dxa"/>
            </w:tcMar>
            <w:vAlign w:val="center"/>
            <w:shd w:fill="F4F7F4"/>
          </w:tcPr>
          <w:p>
            <w:pPr>
              <w:spacing w:after="0"/>
            </w:pPr>
            <w:r>
              <w:rPr>
                <w:sz w:val="18"/>
              </w:rPr>
              <w:t>Delivery evidence</w:t>
            </w:r>
          </w:p>
        </w:tc>
        <w:tc>
          <w:tcPr>
            <w:tcW w:type="dxa" w:w="3096"/>
            <w:tcMar>
              <w:top w:w="120" w:type="dxa"/>
              <w:start w:w="140" w:type="dxa"/>
              <w:bottom w:w="120" w:type="dxa"/>
              <w:end w:w="140" w:type="dxa"/>
            </w:tcMar>
            <w:vAlign w:val="center"/>
            <w:shd w:fill="F4F7F4"/>
          </w:tcPr>
          <w:p>
            <w:pPr>
              <w:spacing w:after="0"/>
            </w:pPr>
            <w:r>
              <w:rPr>
                <w:sz w:val="18"/>
              </w:rPr>
              <w:t>Confirm asset receipt and condition</w:t>
            </w:r>
          </w:p>
        </w:tc>
        <w:tc>
          <w:tcPr>
            <w:tcW w:type="dxa" w:w="1800"/>
            <w:tcMar>
              <w:top w:w="120" w:type="dxa"/>
              <w:start w:w="140" w:type="dxa"/>
              <w:bottom w:w="120" w:type="dxa"/>
              <w:end w:w="140" w:type="dxa"/>
            </w:tcMar>
            <w:vAlign w:val="center"/>
            <w:shd w:fill="F4F7F4"/>
          </w:tcPr>
          <w:p>
            <w:pPr>
              <w:spacing w:after="0"/>
            </w:pPr>
            <w:r>
              <w:rPr>
                <w:sz w:val="18"/>
              </w:rPr>
              <w:t>Agreed verifier</w:t>
            </w:r>
          </w:p>
        </w:tc>
        <w:tc>
          <w:tcPr>
            <w:tcW w:type="dxa" w:w="2376"/>
            <w:tcMar>
              <w:top w:w="120" w:type="dxa"/>
              <w:start w:w="140" w:type="dxa"/>
              <w:bottom w:w="120" w:type="dxa"/>
              <w:end w:w="140" w:type="dxa"/>
            </w:tcMar>
            <w:vAlign w:val="center"/>
            <w:shd w:fill="F4F7F4"/>
          </w:tcPr>
          <w:p>
            <w:pPr>
              <w:spacing w:after="0"/>
            </w:pPr>
            <w:r>
              <w:rPr>
                <w:sz w:val="18"/>
              </w:rPr>
              <w:t>Timestamped record and audit history</w:t>
            </w:r>
          </w:p>
        </w:tc>
      </w:tr>
      <w:tr>
        <w:trPr>
          <w:cantSplit/>
        </w:trPr>
        <w:tc>
          <w:tcPr>
            <w:tcW w:type="dxa" w:w="2088"/>
            <w:tcMar>
              <w:top w:w="120" w:type="dxa"/>
              <w:start w:w="140" w:type="dxa"/>
              <w:bottom w:w="120" w:type="dxa"/>
              <w:end w:w="140" w:type="dxa"/>
            </w:tcMar>
            <w:vAlign w:val="center"/>
          </w:tcPr>
          <w:p>
            <w:pPr>
              <w:spacing w:after="0"/>
            </w:pPr>
            <w:r>
              <w:rPr>
                <w:sz w:val="18"/>
              </w:rPr>
              <w:t>Programme outcomes</w:t>
            </w:r>
          </w:p>
        </w:tc>
        <w:tc>
          <w:tcPr>
            <w:tcW w:type="dxa" w:w="3096"/>
            <w:tcMar>
              <w:top w:w="120" w:type="dxa"/>
              <w:start w:w="140" w:type="dxa"/>
              <w:bottom w:w="120" w:type="dxa"/>
              <w:end w:w="140" w:type="dxa"/>
            </w:tcMar>
            <w:vAlign w:val="center"/>
          </w:tcPr>
          <w:p>
            <w:pPr>
              <w:spacing w:after="0"/>
            </w:pPr>
            <w:r>
              <w:rPr>
                <w:sz w:val="18"/>
              </w:rPr>
              <w:t>Monitoring and evaluation</w:t>
            </w:r>
          </w:p>
        </w:tc>
        <w:tc>
          <w:tcPr>
            <w:tcW w:type="dxa" w:w="1800"/>
            <w:tcMar>
              <w:top w:w="120" w:type="dxa"/>
              <w:start w:w="140" w:type="dxa"/>
              <w:bottom w:w="120" w:type="dxa"/>
              <w:end w:w="140" w:type="dxa"/>
            </w:tcMar>
            <w:vAlign w:val="center"/>
          </w:tcPr>
          <w:p>
            <w:pPr>
              <w:spacing w:after="0"/>
            </w:pPr>
            <w:r>
              <w:rPr>
                <w:sz w:val="18"/>
              </w:rPr>
              <w:t>Joint</w:t>
            </w:r>
          </w:p>
        </w:tc>
        <w:tc>
          <w:tcPr>
            <w:tcW w:type="dxa" w:w="2376"/>
            <w:tcMar>
              <w:top w:w="120" w:type="dxa"/>
              <w:start w:w="140" w:type="dxa"/>
              <w:bottom w:w="120" w:type="dxa"/>
              <w:end w:w="140" w:type="dxa"/>
            </w:tcMar>
            <w:vAlign w:val="center"/>
          </w:tcPr>
          <w:p>
            <w:pPr>
              <w:spacing w:after="0"/>
            </w:pPr>
            <w:r>
              <w:rPr>
                <w:sz w:val="18"/>
              </w:rPr>
              <w:t>Aggregated reporting by default</w:t>
            </w:r>
          </w:p>
        </w:tc>
      </w:tr>
    </w:tbl>
    <w:p>
      <w:pPr>
        <w:spacing w:after="0"/>
      </w:pPr>
    </w:p>
    <w:p>
      <w:pPr>
        <w:pStyle w:val="Heading2"/>
        <w:keepNext/>
      </w:pPr>
      <w:r>
        <w:t>Minimum consent record</w:t>
      </w:r>
    </w:p>
    <w:p>
      <w:pPr>
        <w:pStyle w:val="ListBullet"/>
        <w:ind w:left="648"/>
      </w:pPr>
      <w:r>
        <w:t>Customer identity and participating organisation</w:t>
      </w:r>
    </w:p>
    <w:p>
      <w:pPr>
        <w:pStyle w:val="ListBullet"/>
        <w:ind w:left="648"/>
      </w:pPr>
      <w:r>
        <w:t>Named finance partner and intended financing purpose</w:t>
      </w:r>
    </w:p>
    <w:p>
      <w:pPr>
        <w:pStyle w:val="ListBullet"/>
        <w:ind w:left="648"/>
      </w:pPr>
      <w:r>
        <w:t>Data categories to be shared</w:t>
      </w:r>
    </w:p>
    <w:p>
      <w:pPr>
        <w:pStyle w:val="ListBullet"/>
        <w:ind w:left="648"/>
      </w:pPr>
      <w:r>
        <w:t>Consent notice version, channel, date and time</w:t>
      </w:r>
    </w:p>
    <w:p>
      <w:pPr>
        <w:pStyle w:val="ListBullet"/>
        <w:ind w:left="648"/>
      </w:pPr>
      <w:r>
        <w:t>Method for withdrawal and effect on an incomplete Application</w:t>
      </w:r>
    </w:p>
    <w:p>
      <w:pPr>
        <w:pStyle w:val="ListBullet"/>
        <w:ind w:left="648"/>
      </w:pPr>
      <w:r>
        <w:t>Confirmation that finance approval is the Bank's independent decision</w:t>
      </w:r>
    </w:p>
    <w:p>
      <w:r>
        <w:br w:type="page"/>
      </w:r>
    </w:p>
    <w:p>
      <w:pPr>
        <w:pStyle w:val="Heading1"/>
        <w:keepNext/>
      </w:pPr>
      <w:r>
        <w:t>Schedule 3  Service levels and escalation</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376"/>
            <w:shd w:fill="123B2A"/>
            <w:tcMar>
              <w:top w:w="120" w:type="dxa"/>
              <w:start w:w="140" w:type="dxa"/>
              <w:bottom w:w="120" w:type="dxa"/>
              <w:end w:w="140" w:type="dxa"/>
            </w:tcMar>
            <w:vAlign w:val="center"/>
          </w:tcPr>
          <w:p>
            <w:r>
              <w:rPr>
                <w:b/>
                <w:color w:val="FFFFFF"/>
                <w:sz w:val="18"/>
              </w:rPr>
              <w:t>Event</w:t>
            </w:r>
          </w:p>
        </w:tc>
        <w:tc>
          <w:tcPr>
            <w:tcW w:type="dxa" w:w="1800"/>
            <w:shd w:fill="123B2A"/>
            <w:tcMar>
              <w:top w:w="120" w:type="dxa"/>
              <w:start w:w="140" w:type="dxa"/>
              <w:bottom w:w="120" w:type="dxa"/>
              <w:end w:w="140" w:type="dxa"/>
            </w:tcMar>
            <w:vAlign w:val="center"/>
          </w:tcPr>
          <w:p>
            <w:r>
              <w:rPr>
                <w:b/>
                <w:color w:val="FFFFFF"/>
                <w:sz w:val="18"/>
              </w:rPr>
              <w:t>Target</w:t>
            </w:r>
          </w:p>
        </w:tc>
        <w:tc>
          <w:tcPr>
            <w:tcW w:type="dxa" w:w="2232"/>
            <w:shd w:fill="123B2A"/>
            <w:tcMar>
              <w:top w:w="120" w:type="dxa"/>
              <w:start w:w="140" w:type="dxa"/>
              <w:bottom w:w="120" w:type="dxa"/>
              <w:end w:w="140" w:type="dxa"/>
            </w:tcMar>
            <w:vAlign w:val="center"/>
          </w:tcPr>
          <w:p>
            <w:r>
              <w:rPr>
                <w:b/>
                <w:color w:val="FFFFFF"/>
                <w:sz w:val="18"/>
              </w:rPr>
              <w:t>Responsible Party</w:t>
            </w:r>
          </w:p>
        </w:tc>
        <w:tc>
          <w:tcPr>
            <w:tcW w:type="dxa" w:w="2880"/>
            <w:shd w:fill="123B2A"/>
            <w:tcMar>
              <w:top w:w="120" w:type="dxa"/>
              <w:start w:w="140" w:type="dxa"/>
              <w:bottom w:w="120" w:type="dxa"/>
              <w:end w:w="140" w:type="dxa"/>
            </w:tcMar>
            <w:vAlign w:val="center"/>
          </w:tcPr>
          <w:p>
            <w:r>
              <w:rPr>
                <w:b/>
                <w:color w:val="FFFFFF"/>
                <w:sz w:val="18"/>
              </w:rPr>
              <w:t>Escalation</w:t>
            </w:r>
          </w:p>
        </w:tc>
      </w:tr>
      <w:tr>
        <w:trPr>
          <w:cantSplit/>
        </w:trPr>
        <w:tc>
          <w:tcPr>
            <w:tcW w:type="dxa" w:w="2376"/>
            <w:tcMar>
              <w:top w:w="120" w:type="dxa"/>
              <w:start w:w="140" w:type="dxa"/>
              <w:bottom w:w="120" w:type="dxa"/>
              <w:end w:w="140" w:type="dxa"/>
            </w:tcMar>
            <w:vAlign w:val="center"/>
          </w:tcPr>
          <w:p>
            <w:pPr>
              <w:spacing w:after="0"/>
            </w:pPr>
            <w:r>
              <w:rPr>
                <w:sz w:val="18"/>
              </w:rPr>
              <w:t>Application transmission acknowledgement</w:t>
            </w:r>
          </w:p>
        </w:tc>
        <w:tc>
          <w:tcPr>
            <w:tcW w:type="dxa" w:w="1800"/>
            <w:tcMar>
              <w:top w:w="120" w:type="dxa"/>
              <w:start w:w="140" w:type="dxa"/>
              <w:bottom w:w="120" w:type="dxa"/>
              <w:end w:w="140" w:type="dxa"/>
            </w:tcMar>
            <w:vAlign w:val="center"/>
          </w:tcPr>
          <w:p>
            <w:pPr>
              <w:spacing w:after="0"/>
            </w:pPr>
            <w:r>
              <w:rPr>
                <w:sz w:val="18"/>
              </w:rPr>
              <w:t>[Insert]</w:t>
            </w:r>
          </w:p>
        </w:tc>
        <w:tc>
          <w:tcPr>
            <w:tcW w:type="dxa" w:w="2232"/>
            <w:tcMar>
              <w:top w:w="120" w:type="dxa"/>
              <w:start w:w="140" w:type="dxa"/>
              <w:bottom w:w="120" w:type="dxa"/>
              <w:end w:w="140" w:type="dxa"/>
            </w:tcMar>
            <w:vAlign w:val="center"/>
          </w:tcPr>
          <w:p>
            <w:pPr>
              <w:spacing w:after="0"/>
            </w:pPr>
            <w:r>
              <w:rPr>
                <w:sz w:val="18"/>
              </w:rPr>
              <w:t>AgriShield and Bank</w:t>
            </w:r>
          </w:p>
        </w:tc>
        <w:tc>
          <w:tcPr>
            <w:tcW w:type="dxa" w:w="2880"/>
            <w:tcMar>
              <w:top w:w="120" w:type="dxa"/>
              <w:start w:w="140" w:type="dxa"/>
              <w:bottom w:w="120" w:type="dxa"/>
              <w:end w:w="140" w:type="dxa"/>
            </w:tcMar>
            <w:vAlign w:val="center"/>
          </w:tcPr>
          <w:p>
            <w:pPr>
              <w:spacing w:after="0"/>
            </w:pPr>
            <w:r>
              <w:rPr>
                <w:sz w:val="18"/>
              </w:rPr>
              <w:t>Programme operations leads</w:t>
            </w:r>
          </w:p>
        </w:tc>
      </w:tr>
      <w:tr>
        <w:trPr>
          <w:cantSplit/>
        </w:trPr>
        <w:tc>
          <w:tcPr>
            <w:tcW w:type="dxa" w:w="2376"/>
            <w:tcMar>
              <w:top w:w="120" w:type="dxa"/>
              <w:start w:w="140" w:type="dxa"/>
              <w:bottom w:w="120" w:type="dxa"/>
              <w:end w:w="140" w:type="dxa"/>
            </w:tcMar>
            <w:vAlign w:val="center"/>
            <w:shd w:fill="F4F7F4"/>
          </w:tcPr>
          <w:p>
            <w:pPr>
              <w:spacing w:after="0"/>
            </w:pPr>
            <w:r>
              <w:rPr>
                <w:sz w:val="18"/>
              </w:rPr>
              <w:t>Incomplete application notice</w:t>
            </w:r>
          </w:p>
        </w:tc>
        <w:tc>
          <w:tcPr>
            <w:tcW w:type="dxa" w:w="1800"/>
            <w:tcMar>
              <w:top w:w="120" w:type="dxa"/>
              <w:start w:w="140" w:type="dxa"/>
              <w:bottom w:w="120" w:type="dxa"/>
              <w:end w:w="140" w:type="dxa"/>
            </w:tcMar>
            <w:vAlign w:val="center"/>
            <w:shd w:fill="F4F7F4"/>
          </w:tcPr>
          <w:p>
            <w:pPr>
              <w:spacing w:after="0"/>
            </w:pPr>
            <w:r>
              <w:rPr>
                <w:sz w:val="18"/>
              </w:rPr>
              <w:t>[Insert]</w:t>
            </w:r>
          </w:p>
        </w:tc>
        <w:tc>
          <w:tcPr>
            <w:tcW w:type="dxa" w:w="2232"/>
            <w:tcMar>
              <w:top w:w="120" w:type="dxa"/>
              <w:start w:w="140" w:type="dxa"/>
              <w:bottom w:w="120" w:type="dxa"/>
              <w:end w:w="140" w:type="dxa"/>
            </w:tcMar>
            <w:vAlign w:val="center"/>
            <w:shd w:fill="F4F7F4"/>
          </w:tcPr>
          <w:p>
            <w:pPr>
              <w:spacing w:after="0"/>
            </w:pPr>
            <w:r>
              <w:rPr>
                <w:sz w:val="18"/>
              </w:rPr>
              <w:t>Bank</w:t>
            </w:r>
          </w:p>
        </w:tc>
        <w:tc>
          <w:tcPr>
            <w:tcW w:type="dxa" w:w="2880"/>
            <w:tcMar>
              <w:top w:w="120" w:type="dxa"/>
              <w:start w:w="140" w:type="dxa"/>
              <w:bottom w:w="120" w:type="dxa"/>
              <w:end w:w="140" w:type="dxa"/>
            </w:tcMar>
            <w:vAlign w:val="center"/>
            <w:shd w:fill="F4F7F4"/>
          </w:tcPr>
          <w:p>
            <w:pPr>
              <w:spacing w:after="0"/>
            </w:pPr>
            <w:r>
              <w:rPr>
                <w:sz w:val="18"/>
              </w:rPr>
              <w:t>Bank product lead</w:t>
            </w:r>
          </w:p>
        </w:tc>
      </w:tr>
      <w:tr>
        <w:trPr>
          <w:cantSplit/>
        </w:trPr>
        <w:tc>
          <w:tcPr>
            <w:tcW w:type="dxa" w:w="2376"/>
            <w:tcMar>
              <w:top w:w="120" w:type="dxa"/>
              <w:start w:w="140" w:type="dxa"/>
              <w:bottom w:w="120" w:type="dxa"/>
              <w:end w:w="140" w:type="dxa"/>
            </w:tcMar>
            <w:vAlign w:val="center"/>
          </w:tcPr>
          <w:p>
            <w:pPr>
              <w:spacing w:after="0"/>
            </w:pPr>
            <w:r>
              <w:rPr>
                <w:sz w:val="18"/>
              </w:rPr>
              <w:t>Decision status update</w:t>
            </w:r>
          </w:p>
        </w:tc>
        <w:tc>
          <w:tcPr>
            <w:tcW w:type="dxa" w:w="1800"/>
            <w:tcMar>
              <w:top w:w="120" w:type="dxa"/>
              <w:start w:w="140" w:type="dxa"/>
              <w:bottom w:w="120" w:type="dxa"/>
              <w:end w:w="140" w:type="dxa"/>
            </w:tcMar>
            <w:vAlign w:val="center"/>
          </w:tcPr>
          <w:p>
            <w:pPr>
              <w:spacing w:after="0"/>
            </w:pPr>
            <w:r>
              <w:rPr>
                <w:sz w:val="18"/>
              </w:rPr>
              <w:t>[Insert]</w:t>
            </w:r>
          </w:p>
        </w:tc>
        <w:tc>
          <w:tcPr>
            <w:tcW w:type="dxa" w:w="2232"/>
            <w:tcMar>
              <w:top w:w="120" w:type="dxa"/>
              <w:start w:w="140" w:type="dxa"/>
              <w:bottom w:w="120" w:type="dxa"/>
              <w:end w:w="140" w:type="dxa"/>
            </w:tcMar>
            <w:vAlign w:val="center"/>
          </w:tcPr>
          <w:p>
            <w:pPr>
              <w:spacing w:after="0"/>
            </w:pPr>
            <w:r>
              <w:rPr>
                <w:sz w:val="18"/>
              </w:rPr>
              <w:t>Bank</w:t>
            </w:r>
          </w:p>
        </w:tc>
        <w:tc>
          <w:tcPr>
            <w:tcW w:type="dxa" w:w="2880"/>
            <w:tcMar>
              <w:top w:w="120" w:type="dxa"/>
              <w:start w:w="140" w:type="dxa"/>
              <w:bottom w:w="120" w:type="dxa"/>
              <w:end w:w="140" w:type="dxa"/>
            </w:tcMar>
            <w:vAlign w:val="center"/>
          </w:tcPr>
          <w:p>
            <w:pPr>
              <w:spacing w:after="0"/>
            </w:pPr>
            <w:r>
              <w:rPr>
                <w:sz w:val="18"/>
              </w:rPr>
              <w:t>Bank product and compliance leads</w:t>
            </w:r>
          </w:p>
        </w:tc>
      </w:tr>
      <w:tr>
        <w:trPr>
          <w:cantSplit/>
        </w:trPr>
        <w:tc>
          <w:tcPr>
            <w:tcW w:type="dxa" w:w="2376"/>
            <w:tcMar>
              <w:top w:w="120" w:type="dxa"/>
              <w:start w:w="140" w:type="dxa"/>
              <w:bottom w:w="120" w:type="dxa"/>
              <w:end w:w="140" w:type="dxa"/>
            </w:tcMar>
            <w:vAlign w:val="center"/>
            <w:shd w:fill="F4F7F4"/>
          </w:tcPr>
          <w:p>
            <w:pPr>
              <w:spacing w:after="0"/>
            </w:pPr>
            <w:r>
              <w:rPr>
                <w:sz w:val="18"/>
              </w:rPr>
              <w:t>Data or security incident notice</w:t>
            </w:r>
          </w:p>
        </w:tc>
        <w:tc>
          <w:tcPr>
            <w:tcW w:type="dxa" w:w="1800"/>
            <w:tcMar>
              <w:top w:w="120" w:type="dxa"/>
              <w:start w:w="140" w:type="dxa"/>
              <w:bottom w:w="120" w:type="dxa"/>
              <w:end w:w="140" w:type="dxa"/>
            </w:tcMar>
            <w:vAlign w:val="center"/>
            <w:shd w:fill="F4F7F4"/>
          </w:tcPr>
          <w:p>
            <w:pPr>
              <w:spacing w:after="0"/>
            </w:pPr>
            <w:r>
              <w:rPr>
                <w:sz w:val="18"/>
              </w:rPr>
              <w:t>Without undue delay</w:t>
            </w:r>
          </w:p>
        </w:tc>
        <w:tc>
          <w:tcPr>
            <w:tcW w:type="dxa" w:w="2232"/>
            <w:tcMar>
              <w:top w:w="120" w:type="dxa"/>
              <w:start w:w="140" w:type="dxa"/>
              <w:bottom w:w="120" w:type="dxa"/>
              <w:end w:w="140" w:type="dxa"/>
            </w:tcMar>
            <w:vAlign w:val="center"/>
            <w:shd w:fill="F4F7F4"/>
          </w:tcPr>
          <w:p>
            <w:pPr>
              <w:spacing w:after="0"/>
            </w:pPr>
            <w:r>
              <w:rPr>
                <w:sz w:val="18"/>
              </w:rPr>
              <w:t>Affected Party</w:t>
            </w:r>
          </w:p>
        </w:tc>
        <w:tc>
          <w:tcPr>
            <w:tcW w:type="dxa" w:w="2880"/>
            <w:tcMar>
              <w:top w:w="120" w:type="dxa"/>
              <w:start w:w="140" w:type="dxa"/>
              <w:bottom w:w="120" w:type="dxa"/>
              <w:end w:w="140" w:type="dxa"/>
            </w:tcMar>
            <w:vAlign w:val="center"/>
            <w:shd w:fill="F4F7F4"/>
          </w:tcPr>
          <w:p>
            <w:pPr>
              <w:spacing w:after="0"/>
            </w:pPr>
            <w:r>
              <w:rPr>
                <w:sz w:val="18"/>
              </w:rPr>
              <w:t>Security and data protection contacts</w:t>
            </w:r>
          </w:p>
        </w:tc>
      </w:tr>
      <w:tr>
        <w:trPr>
          <w:cantSplit/>
        </w:trPr>
        <w:tc>
          <w:tcPr>
            <w:tcW w:type="dxa" w:w="2376"/>
            <w:tcMar>
              <w:top w:w="120" w:type="dxa"/>
              <w:start w:w="140" w:type="dxa"/>
              <w:bottom w:w="120" w:type="dxa"/>
              <w:end w:w="140" w:type="dxa"/>
            </w:tcMar>
            <w:vAlign w:val="center"/>
          </w:tcPr>
          <w:p>
            <w:pPr>
              <w:spacing w:after="0"/>
            </w:pPr>
            <w:r>
              <w:rPr>
                <w:sz w:val="18"/>
              </w:rPr>
              <w:t>Misdirected complaint transfer</w:t>
            </w:r>
          </w:p>
        </w:tc>
        <w:tc>
          <w:tcPr>
            <w:tcW w:type="dxa" w:w="1800"/>
            <w:tcMar>
              <w:top w:w="120" w:type="dxa"/>
              <w:start w:w="140" w:type="dxa"/>
              <w:bottom w:w="120" w:type="dxa"/>
              <w:end w:w="140" w:type="dxa"/>
            </w:tcMar>
            <w:vAlign w:val="center"/>
          </w:tcPr>
          <w:p>
            <w:pPr>
              <w:spacing w:after="0"/>
            </w:pPr>
            <w:r>
              <w:rPr>
                <w:sz w:val="18"/>
              </w:rPr>
              <w:t>Two business days</w:t>
            </w:r>
          </w:p>
        </w:tc>
        <w:tc>
          <w:tcPr>
            <w:tcW w:type="dxa" w:w="2232"/>
            <w:tcMar>
              <w:top w:w="120" w:type="dxa"/>
              <w:start w:w="140" w:type="dxa"/>
              <w:bottom w:w="120" w:type="dxa"/>
              <w:end w:w="140" w:type="dxa"/>
            </w:tcMar>
            <w:vAlign w:val="center"/>
          </w:tcPr>
          <w:p>
            <w:pPr>
              <w:spacing w:after="0"/>
            </w:pPr>
            <w:r>
              <w:rPr>
                <w:sz w:val="18"/>
              </w:rPr>
              <w:t>Receiving Party</w:t>
            </w:r>
          </w:p>
        </w:tc>
        <w:tc>
          <w:tcPr>
            <w:tcW w:type="dxa" w:w="2880"/>
            <w:tcMar>
              <w:top w:w="120" w:type="dxa"/>
              <w:start w:w="140" w:type="dxa"/>
              <w:bottom w:w="120" w:type="dxa"/>
              <w:end w:w="140" w:type="dxa"/>
            </w:tcMar>
            <w:vAlign w:val="center"/>
          </w:tcPr>
          <w:p>
            <w:pPr>
              <w:spacing w:after="0"/>
            </w:pPr>
            <w:r>
              <w:rPr>
                <w:sz w:val="18"/>
              </w:rPr>
              <w:t>Customer protection contacts</w:t>
            </w:r>
          </w:p>
        </w:tc>
      </w:tr>
      <w:tr>
        <w:trPr>
          <w:cantSplit/>
        </w:trPr>
        <w:tc>
          <w:tcPr>
            <w:tcW w:type="dxa" w:w="2376"/>
            <w:tcMar>
              <w:top w:w="120" w:type="dxa"/>
              <w:start w:w="140" w:type="dxa"/>
              <w:bottom w:w="120" w:type="dxa"/>
              <w:end w:w="140" w:type="dxa"/>
            </w:tcMar>
            <w:vAlign w:val="center"/>
            <w:shd w:fill="F4F7F4"/>
          </w:tcPr>
          <w:p>
            <w:pPr>
              <w:spacing w:after="0"/>
            </w:pPr>
            <w:r>
              <w:rPr>
                <w:sz w:val="18"/>
              </w:rPr>
              <w:t>Platform availability</w:t>
            </w:r>
          </w:p>
        </w:tc>
        <w:tc>
          <w:tcPr>
            <w:tcW w:type="dxa" w:w="1800"/>
            <w:tcMar>
              <w:top w:w="120" w:type="dxa"/>
              <w:start w:w="140" w:type="dxa"/>
              <w:bottom w:w="120" w:type="dxa"/>
              <w:end w:w="140" w:type="dxa"/>
            </w:tcMar>
            <w:vAlign w:val="center"/>
            <w:shd w:fill="F4F7F4"/>
          </w:tcPr>
          <w:p>
            <w:pPr>
              <w:spacing w:after="0"/>
            </w:pPr>
            <w:r>
              <w:rPr>
                <w:sz w:val="18"/>
              </w:rPr>
              <w:t>[Insert agreed monthly target]</w:t>
            </w:r>
          </w:p>
        </w:tc>
        <w:tc>
          <w:tcPr>
            <w:tcW w:type="dxa" w:w="2232"/>
            <w:tcMar>
              <w:top w:w="120" w:type="dxa"/>
              <w:start w:w="140" w:type="dxa"/>
              <w:bottom w:w="120" w:type="dxa"/>
              <w:end w:w="140" w:type="dxa"/>
            </w:tcMar>
            <w:vAlign w:val="center"/>
            <w:shd w:fill="F4F7F4"/>
          </w:tcPr>
          <w:p>
            <w:pPr>
              <w:spacing w:after="0"/>
            </w:pPr>
            <w:r>
              <w:rPr>
                <w:sz w:val="18"/>
              </w:rPr>
              <w:t>AgriShield</w:t>
            </w:r>
          </w:p>
        </w:tc>
        <w:tc>
          <w:tcPr>
            <w:tcW w:type="dxa" w:w="2880"/>
            <w:tcMar>
              <w:top w:w="120" w:type="dxa"/>
              <w:start w:w="140" w:type="dxa"/>
              <w:bottom w:w="120" w:type="dxa"/>
              <w:end w:w="140" w:type="dxa"/>
            </w:tcMar>
            <w:vAlign w:val="center"/>
            <w:shd w:fill="F4F7F4"/>
          </w:tcPr>
          <w:p>
            <w:pPr>
              <w:spacing w:after="0"/>
            </w:pPr>
            <w:r>
              <w:rPr>
                <w:sz w:val="18"/>
              </w:rPr>
              <w:t>AgriShield operations lead</w:t>
            </w:r>
          </w:p>
        </w:tc>
      </w:tr>
    </w:tbl>
    <w:p>
      <w:pPr>
        <w:spacing w:after="0"/>
      </w:pPr>
    </w:p>
    <w:p>
      <w:r>
        <w:br w:type="page"/>
      </w:r>
    </w:p>
    <w:p>
      <w:pPr>
        <w:pStyle w:val="Heading1"/>
        <w:keepNext/>
      </w:pPr>
      <w:r>
        <w:t>Schedule 4  Counterparty configurations</w:t>
      </w:r>
    </w:p>
    <w:p>
      <w:r>
        <w:t>Only the subsection for the Bank signing the final Agreement should remain. Each configuration is proposed and requires the named Bank's written approval.</w:t>
      </w:r>
    </w:p>
    <w:p>
      <w:pPr>
        <w:pStyle w:val="Heading2"/>
        <w:keepNext/>
      </w:pPr>
      <w:r>
        <w:t>A  Jaiz Bank Plc</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2880"/>
            <w:shd w:fill="123B2A"/>
            <w:tcMar>
              <w:top w:w="120" w:type="dxa"/>
              <w:start w:w="140" w:type="dxa"/>
              <w:bottom w:w="120" w:type="dxa"/>
              <w:end w:w="140" w:type="dxa"/>
            </w:tcMar>
            <w:vAlign w:val="center"/>
          </w:tcPr>
          <w:p>
            <w:r>
              <w:rPr>
                <w:b/>
                <w:color w:val="FFFFFF"/>
                <w:sz w:val="18"/>
              </w:rPr>
              <w:t>Field</w:t>
            </w:r>
          </w:p>
        </w:tc>
        <w:tc>
          <w:tcPr>
            <w:tcW w:type="dxa" w:w="6480"/>
            <w:shd w:fill="123B2A"/>
            <w:tcMar>
              <w:top w:w="120" w:type="dxa"/>
              <w:start w:w="140" w:type="dxa"/>
              <w:bottom w:w="120" w:type="dxa"/>
              <w:end w:w="140" w:type="dxa"/>
            </w:tcMar>
            <w:vAlign w:val="center"/>
          </w:tcPr>
          <w:p>
            <w:r>
              <w:rPr>
                <w:b/>
                <w:color w:val="FFFFFF"/>
                <w:sz w:val="18"/>
              </w:rPr>
              <w:t>Proposed configuration</w:t>
            </w:r>
          </w:p>
        </w:tc>
      </w:tr>
      <w:tr>
        <w:trPr>
          <w:cantSplit/>
        </w:trPr>
        <w:tc>
          <w:tcPr>
            <w:tcW w:type="dxa" w:w="2880"/>
            <w:tcMar>
              <w:top w:w="120" w:type="dxa"/>
              <w:start w:w="140" w:type="dxa"/>
              <w:bottom w:w="120" w:type="dxa"/>
              <w:end w:w="140" w:type="dxa"/>
            </w:tcMar>
            <w:vAlign w:val="center"/>
          </w:tcPr>
          <w:p>
            <w:pPr>
              <w:spacing w:after="0"/>
            </w:pPr>
            <w:r>
              <w:rPr>
                <w:sz w:val="18"/>
              </w:rPr>
              <w:t>Institution type</w:t>
            </w:r>
          </w:p>
        </w:tc>
        <w:tc>
          <w:tcPr>
            <w:tcW w:type="dxa" w:w="6480"/>
            <w:tcMar>
              <w:top w:w="120" w:type="dxa"/>
              <w:start w:w="140" w:type="dxa"/>
              <w:bottom w:w="120" w:type="dxa"/>
              <w:end w:w="140" w:type="dxa"/>
            </w:tcMar>
            <w:vAlign w:val="center"/>
          </w:tcPr>
          <w:p>
            <w:pPr>
              <w:spacing w:after="0"/>
            </w:pPr>
            <w:r>
              <w:rPr>
                <w:sz w:val="18"/>
              </w:rPr>
              <w:t>Non-interest bank</w:t>
            </w:r>
          </w:p>
        </w:tc>
      </w:tr>
      <w:tr>
        <w:trPr>
          <w:cantSplit/>
        </w:trPr>
        <w:tc>
          <w:tcPr>
            <w:tcW w:type="dxa" w:w="2880"/>
            <w:tcMar>
              <w:top w:w="120" w:type="dxa"/>
              <w:start w:w="140" w:type="dxa"/>
              <w:bottom w:w="120" w:type="dxa"/>
              <w:end w:w="140" w:type="dxa"/>
            </w:tcMar>
            <w:vAlign w:val="center"/>
            <w:shd w:fill="F4F7F4"/>
          </w:tcPr>
          <w:p>
            <w:pPr>
              <w:spacing w:after="0"/>
            </w:pPr>
            <w:r>
              <w:rPr>
                <w:sz w:val="18"/>
              </w:rPr>
              <w:t>Initial assets</w:t>
            </w:r>
          </w:p>
        </w:tc>
        <w:tc>
          <w:tcPr>
            <w:tcW w:type="dxa" w:w="6480"/>
            <w:tcMar>
              <w:top w:w="120" w:type="dxa"/>
              <w:start w:w="140" w:type="dxa"/>
              <w:bottom w:w="120" w:type="dxa"/>
              <w:end w:w="140" w:type="dxa"/>
            </w:tcMar>
            <w:vAlign w:val="center"/>
            <w:shd w:fill="F4F7F4"/>
          </w:tcPr>
          <w:p>
            <w:pPr>
              <w:spacing w:after="0"/>
            </w:pPr>
            <w:r>
              <w:rPr>
                <w:sz w:val="18"/>
              </w:rPr>
              <w:t>Solar irrigation and crop storage equipment</w:t>
            </w:r>
          </w:p>
        </w:tc>
      </w:tr>
      <w:tr>
        <w:trPr>
          <w:cantSplit/>
        </w:trPr>
        <w:tc>
          <w:tcPr>
            <w:tcW w:type="dxa" w:w="2880"/>
            <w:tcMar>
              <w:top w:w="120" w:type="dxa"/>
              <w:start w:w="140" w:type="dxa"/>
              <w:bottom w:w="120" w:type="dxa"/>
              <w:end w:w="140" w:type="dxa"/>
            </w:tcMar>
            <w:vAlign w:val="center"/>
          </w:tcPr>
          <w:p>
            <w:pPr>
              <w:spacing w:after="0"/>
            </w:pPr>
            <w:r>
              <w:rPr>
                <w:sz w:val="18"/>
              </w:rPr>
              <w:t>Potential structures</w:t>
            </w:r>
          </w:p>
        </w:tc>
        <w:tc>
          <w:tcPr>
            <w:tcW w:type="dxa" w:w="6480"/>
            <w:tcMar>
              <w:top w:w="120" w:type="dxa"/>
              <w:start w:w="140" w:type="dxa"/>
              <w:bottom w:w="120" w:type="dxa"/>
              <w:end w:w="140" w:type="dxa"/>
            </w:tcMar>
            <w:vAlign w:val="center"/>
          </w:tcPr>
          <w:p>
            <w:pPr>
              <w:spacing w:after="0"/>
            </w:pPr>
            <w:r>
              <w:rPr>
                <w:sz w:val="18"/>
              </w:rPr>
              <w:t>Murabahah or Ijarah, solely as approved by Jaiz Bank's Shariah governance and credit functions</w:t>
            </w:r>
          </w:p>
        </w:tc>
      </w:tr>
      <w:tr>
        <w:trPr>
          <w:cantSplit/>
        </w:trPr>
        <w:tc>
          <w:tcPr>
            <w:tcW w:type="dxa" w:w="2880"/>
            <w:tcMar>
              <w:top w:w="120" w:type="dxa"/>
              <w:start w:w="140" w:type="dxa"/>
              <w:bottom w:w="120" w:type="dxa"/>
              <w:end w:w="140" w:type="dxa"/>
            </w:tcMar>
            <w:vAlign w:val="center"/>
            <w:shd w:fill="F4F7F4"/>
          </w:tcPr>
          <w:p>
            <w:pPr>
              <w:spacing w:after="0"/>
            </w:pPr>
            <w:r>
              <w:rPr>
                <w:sz w:val="18"/>
              </w:rPr>
              <w:t>Target geography</w:t>
            </w:r>
          </w:p>
        </w:tc>
        <w:tc>
          <w:tcPr>
            <w:tcW w:type="dxa" w:w="6480"/>
            <w:tcMar>
              <w:top w:w="120" w:type="dxa"/>
              <w:start w:w="140" w:type="dxa"/>
              <w:bottom w:w="120" w:type="dxa"/>
              <w:end w:w="140" w:type="dxa"/>
            </w:tcMar>
            <w:vAlign w:val="center"/>
            <w:shd w:fill="F4F7F4"/>
          </w:tcPr>
          <w:p>
            <w:pPr>
              <w:spacing w:after="0"/>
            </w:pPr>
            <w:r>
              <w:rPr>
                <w:sz w:val="18"/>
              </w:rPr>
              <w:t>Northern Nigeria; first pilot location to be agreed</w:t>
            </w:r>
          </w:p>
        </w:tc>
      </w:tr>
      <w:tr>
        <w:trPr>
          <w:cantSplit/>
        </w:trPr>
        <w:tc>
          <w:tcPr>
            <w:tcW w:type="dxa" w:w="2880"/>
            <w:tcMar>
              <w:top w:w="120" w:type="dxa"/>
              <w:start w:w="140" w:type="dxa"/>
              <w:bottom w:w="120" w:type="dxa"/>
              <w:end w:w="140" w:type="dxa"/>
            </w:tcMar>
            <w:vAlign w:val="center"/>
          </w:tcPr>
          <w:p>
            <w:pPr>
              <w:spacing w:after="0"/>
            </w:pPr>
            <w:r>
              <w:rPr>
                <w:sz w:val="18"/>
              </w:rPr>
              <w:t>Required approvals</w:t>
            </w:r>
          </w:p>
        </w:tc>
        <w:tc>
          <w:tcPr>
            <w:tcW w:type="dxa" w:w="6480"/>
            <w:tcMar>
              <w:top w:w="120" w:type="dxa"/>
              <w:start w:w="140" w:type="dxa"/>
              <w:bottom w:w="120" w:type="dxa"/>
              <w:end w:w="140" w:type="dxa"/>
            </w:tcMar>
            <w:vAlign w:val="center"/>
          </w:tcPr>
          <w:p>
            <w:pPr>
              <w:spacing w:after="0"/>
            </w:pPr>
            <w:r>
              <w:rPr>
                <w:sz w:val="18"/>
              </w:rPr>
              <w:t>Credit, compliance, legal, information security, data protection and Shariah governance</w:t>
            </w:r>
          </w:p>
        </w:tc>
      </w:tr>
      <w:tr>
        <w:trPr>
          <w:cantSplit/>
        </w:trPr>
        <w:tc>
          <w:tcPr>
            <w:tcW w:type="dxa" w:w="2880"/>
            <w:tcMar>
              <w:top w:w="120" w:type="dxa"/>
              <w:start w:w="140" w:type="dxa"/>
              <w:bottom w:w="120" w:type="dxa"/>
              <w:end w:w="140" w:type="dxa"/>
            </w:tcMar>
            <w:vAlign w:val="center"/>
            <w:shd w:fill="F4F7F4"/>
          </w:tcPr>
          <w:p>
            <w:pPr>
              <w:spacing w:after="0"/>
            </w:pPr>
            <w:r>
              <w:rPr>
                <w:sz w:val="18"/>
              </w:rPr>
              <w:t>Public status</w:t>
            </w:r>
          </w:p>
        </w:tc>
        <w:tc>
          <w:tcPr>
            <w:tcW w:type="dxa" w:w="6480"/>
            <w:tcMar>
              <w:top w:w="120" w:type="dxa"/>
              <w:start w:w="140" w:type="dxa"/>
              <w:bottom w:w="120" w:type="dxa"/>
              <w:end w:w="140" w:type="dxa"/>
            </w:tcMar>
            <w:vAlign w:val="center"/>
            <w:shd w:fill="F4F7F4"/>
          </w:tcPr>
          <w:p>
            <w:pPr>
              <w:spacing w:after="0"/>
            </w:pPr>
            <w:r>
              <w:rPr>
                <w:sz w:val="18"/>
              </w:rPr>
              <w:t>Proposed partner only until execution and written launch approval</w:t>
            </w:r>
          </w:p>
        </w:tc>
      </w:tr>
    </w:tbl>
    <w:p>
      <w:pPr>
        <w:spacing w:after="0"/>
      </w:pPr>
    </w:p>
    <w:p>
      <w:pPr>
        <w:pStyle w:val="Heading2"/>
        <w:keepNext/>
      </w:pPr>
      <w:r>
        <w:t>B  TAJBank Limited</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2880"/>
            <w:shd w:fill="123B2A"/>
            <w:tcMar>
              <w:top w:w="120" w:type="dxa"/>
              <w:start w:w="140" w:type="dxa"/>
              <w:bottom w:w="120" w:type="dxa"/>
              <w:end w:w="140" w:type="dxa"/>
            </w:tcMar>
            <w:vAlign w:val="center"/>
          </w:tcPr>
          <w:p>
            <w:r>
              <w:rPr>
                <w:b/>
                <w:color w:val="FFFFFF"/>
                <w:sz w:val="18"/>
              </w:rPr>
              <w:t>Field</w:t>
            </w:r>
          </w:p>
        </w:tc>
        <w:tc>
          <w:tcPr>
            <w:tcW w:type="dxa" w:w="6480"/>
            <w:shd w:fill="123B2A"/>
            <w:tcMar>
              <w:top w:w="120" w:type="dxa"/>
              <w:start w:w="140" w:type="dxa"/>
              <w:bottom w:w="120" w:type="dxa"/>
              <w:end w:w="140" w:type="dxa"/>
            </w:tcMar>
            <w:vAlign w:val="center"/>
          </w:tcPr>
          <w:p>
            <w:r>
              <w:rPr>
                <w:b/>
                <w:color w:val="FFFFFF"/>
                <w:sz w:val="18"/>
              </w:rPr>
              <w:t>Proposed configuration</w:t>
            </w:r>
          </w:p>
        </w:tc>
      </w:tr>
      <w:tr>
        <w:trPr>
          <w:cantSplit/>
        </w:trPr>
        <w:tc>
          <w:tcPr>
            <w:tcW w:type="dxa" w:w="2880"/>
            <w:tcMar>
              <w:top w:w="120" w:type="dxa"/>
              <w:start w:w="140" w:type="dxa"/>
              <w:bottom w:w="120" w:type="dxa"/>
              <w:end w:w="140" w:type="dxa"/>
            </w:tcMar>
            <w:vAlign w:val="center"/>
          </w:tcPr>
          <w:p>
            <w:pPr>
              <w:spacing w:after="0"/>
            </w:pPr>
            <w:r>
              <w:rPr>
                <w:sz w:val="18"/>
              </w:rPr>
              <w:t>Institution type</w:t>
            </w:r>
          </w:p>
        </w:tc>
        <w:tc>
          <w:tcPr>
            <w:tcW w:type="dxa" w:w="6480"/>
            <w:tcMar>
              <w:top w:w="120" w:type="dxa"/>
              <w:start w:w="140" w:type="dxa"/>
              <w:bottom w:w="120" w:type="dxa"/>
              <w:end w:w="140" w:type="dxa"/>
            </w:tcMar>
            <w:vAlign w:val="center"/>
          </w:tcPr>
          <w:p>
            <w:pPr>
              <w:spacing w:after="0"/>
            </w:pPr>
            <w:r>
              <w:rPr>
                <w:sz w:val="18"/>
              </w:rPr>
              <w:t>Non-interest bank</w:t>
            </w:r>
          </w:p>
        </w:tc>
      </w:tr>
      <w:tr>
        <w:trPr>
          <w:cantSplit/>
        </w:trPr>
        <w:tc>
          <w:tcPr>
            <w:tcW w:type="dxa" w:w="2880"/>
            <w:tcMar>
              <w:top w:w="120" w:type="dxa"/>
              <w:start w:w="140" w:type="dxa"/>
              <w:bottom w:w="120" w:type="dxa"/>
              <w:end w:w="140" w:type="dxa"/>
            </w:tcMar>
            <w:vAlign w:val="center"/>
            <w:shd w:fill="F4F7F4"/>
          </w:tcPr>
          <w:p>
            <w:pPr>
              <w:spacing w:after="0"/>
            </w:pPr>
            <w:r>
              <w:rPr>
                <w:sz w:val="18"/>
              </w:rPr>
              <w:t>Initial assets</w:t>
            </w:r>
          </w:p>
        </w:tc>
        <w:tc>
          <w:tcPr>
            <w:tcW w:type="dxa" w:w="6480"/>
            <w:tcMar>
              <w:top w:w="120" w:type="dxa"/>
              <w:start w:w="140" w:type="dxa"/>
              <w:bottom w:w="120" w:type="dxa"/>
              <w:end w:w="140" w:type="dxa"/>
            </w:tcMar>
            <w:vAlign w:val="center"/>
            <w:shd w:fill="F4F7F4"/>
          </w:tcPr>
          <w:p>
            <w:pPr>
              <w:spacing w:after="0"/>
            </w:pPr>
            <w:r>
              <w:rPr>
                <w:sz w:val="18"/>
              </w:rPr>
              <w:t>Drip irrigation and small-scale crop processing equipment</w:t>
            </w:r>
          </w:p>
        </w:tc>
      </w:tr>
      <w:tr>
        <w:trPr>
          <w:cantSplit/>
        </w:trPr>
        <w:tc>
          <w:tcPr>
            <w:tcW w:type="dxa" w:w="2880"/>
            <w:tcMar>
              <w:top w:w="120" w:type="dxa"/>
              <w:start w:w="140" w:type="dxa"/>
              <w:bottom w:w="120" w:type="dxa"/>
              <w:end w:w="140" w:type="dxa"/>
            </w:tcMar>
            <w:vAlign w:val="center"/>
          </w:tcPr>
          <w:p>
            <w:pPr>
              <w:spacing w:after="0"/>
            </w:pPr>
            <w:r>
              <w:rPr>
                <w:sz w:val="18"/>
              </w:rPr>
              <w:t>Potential structures</w:t>
            </w:r>
          </w:p>
        </w:tc>
        <w:tc>
          <w:tcPr>
            <w:tcW w:type="dxa" w:w="6480"/>
            <w:tcMar>
              <w:top w:w="120" w:type="dxa"/>
              <w:start w:w="140" w:type="dxa"/>
              <w:bottom w:w="120" w:type="dxa"/>
              <w:end w:w="140" w:type="dxa"/>
            </w:tcMar>
            <w:vAlign w:val="center"/>
          </w:tcPr>
          <w:p>
            <w:pPr>
              <w:spacing w:after="0"/>
            </w:pPr>
            <w:r>
              <w:rPr>
                <w:sz w:val="18"/>
              </w:rPr>
              <w:t>Murabahah or Ijarah, solely as approved by TAJBank's Shariah governance and credit functions</w:t>
            </w:r>
          </w:p>
        </w:tc>
      </w:tr>
      <w:tr>
        <w:trPr>
          <w:cantSplit/>
        </w:trPr>
        <w:tc>
          <w:tcPr>
            <w:tcW w:type="dxa" w:w="2880"/>
            <w:tcMar>
              <w:top w:w="120" w:type="dxa"/>
              <w:start w:w="140" w:type="dxa"/>
              <w:bottom w:w="120" w:type="dxa"/>
              <w:end w:w="140" w:type="dxa"/>
            </w:tcMar>
            <w:vAlign w:val="center"/>
            <w:shd w:fill="F4F7F4"/>
          </w:tcPr>
          <w:p>
            <w:pPr>
              <w:spacing w:after="0"/>
            </w:pPr>
            <w:r>
              <w:rPr>
                <w:sz w:val="18"/>
              </w:rPr>
              <w:t>Target geography</w:t>
            </w:r>
          </w:p>
        </w:tc>
        <w:tc>
          <w:tcPr>
            <w:tcW w:type="dxa" w:w="6480"/>
            <w:tcMar>
              <w:top w:w="120" w:type="dxa"/>
              <w:start w:w="140" w:type="dxa"/>
              <w:bottom w:w="120" w:type="dxa"/>
              <w:end w:w="140" w:type="dxa"/>
            </w:tcMar>
            <w:vAlign w:val="center"/>
            <w:shd w:fill="F4F7F4"/>
          </w:tcPr>
          <w:p>
            <w:pPr>
              <w:spacing w:after="0"/>
            </w:pPr>
            <w:r>
              <w:rPr>
                <w:sz w:val="18"/>
              </w:rPr>
              <w:t>Northern Nigeria; first pilot location to be agreed</w:t>
            </w:r>
          </w:p>
        </w:tc>
      </w:tr>
      <w:tr>
        <w:trPr>
          <w:cantSplit/>
        </w:trPr>
        <w:tc>
          <w:tcPr>
            <w:tcW w:type="dxa" w:w="2880"/>
            <w:tcMar>
              <w:top w:w="120" w:type="dxa"/>
              <w:start w:w="140" w:type="dxa"/>
              <w:bottom w:w="120" w:type="dxa"/>
              <w:end w:w="140" w:type="dxa"/>
            </w:tcMar>
            <w:vAlign w:val="center"/>
          </w:tcPr>
          <w:p>
            <w:pPr>
              <w:spacing w:after="0"/>
            </w:pPr>
            <w:r>
              <w:rPr>
                <w:sz w:val="18"/>
              </w:rPr>
              <w:t>Required approvals</w:t>
            </w:r>
          </w:p>
        </w:tc>
        <w:tc>
          <w:tcPr>
            <w:tcW w:type="dxa" w:w="6480"/>
            <w:tcMar>
              <w:top w:w="120" w:type="dxa"/>
              <w:start w:w="140" w:type="dxa"/>
              <w:bottom w:w="120" w:type="dxa"/>
              <w:end w:w="140" w:type="dxa"/>
            </w:tcMar>
            <w:vAlign w:val="center"/>
          </w:tcPr>
          <w:p>
            <w:pPr>
              <w:spacing w:after="0"/>
            </w:pPr>
            <w:r>
              <w:rPr>
                <w:sz w:val="18"/>
              </w:rPr>
              <w:t>Credit, compliance, legal, information security, data protection and Shariah governance</w:t>
            </w:r>
          </w:p>
        </w:tc>
      </w:tr>
      <w:tr>
        <w:trPr>
          <w:cantSplit/>
        </w:trPr>
        <w:tc>
          <w:tcPr>
            <w:tcW w:type="dxa" w:w="2880"/>
            <w:tcMar>
              <w:top w:w="120" w:type="dxa"/>
              <w:start w:w="140" w:type="dxa"/>
              <w:bottom w:w="120" w:type="dxa"/>
              <w:end w:w="140" w:type="dxa"/>
            </w:tcMar>
            <w:vAlign w:val="center"/>
            <w:shd w:fill="F4F7F4"/>
          </w:tcPr>
          <w:p>
            <w:pPr>
              <w:spacing w:after="0"/>
            </w:pPr>
            <w:r>
              <w:rPr>
                <w:sz w:val="18"/>
              </w:rPr>
              <w:t>Public status</w:t>
            </w:r>
          </w:p>
        </w:tc>
        <w:tc>
          <w:tcPr>
            <w:tcW w:type="dxa" w:w="6480"/>
            <w:tcMar>
              <w:top w:w="120" w:type="dxa"/>
              <w:start w:w="140" w:type="dxa"/>
              <w:bottom w:w="120" w:type="dxa"/>
              <w:end w:w="140" w:type="dxa"/>
            </w:tcMar>
            <w:vAlign w:val="center"/>
            <w:shd w:fill="F4F7F4"/>
          </w:tcPr>
          <w:p>
            <w:pPr>
              <w:spacing w:after="0"/>
            </w:pPr>
            <w:r>
              <w:rPr>
                <w:sz w:val="18"/>
              </w:rPr>
              <w:t>Proposed partner only until execution and written launch approval</w:t>
            </w:r>
          </w:p>
        </w:tc>
      </w:tr>
    </w:tbl>
    <w:p>
      <w:pPr>
        <w:spacing w:after="0"/>
      </w:pPr>
    </w:p>
    <w:p>
      <w:pPr>
        <w:pStyle w:val="Heading2"/>
        <w:keepNext/>
      </w:pPr>
      <w:r>
        <w:t>C  Bank of Agriculture Limited</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2880"/>
            <w:shd w:fill="123B2A"/>
            <w:tcMar>
              <w:top w:w="120" w:type="dxa"/>
              <w:start w:w="140" w:type="dxa"/>
              <w:bottom w:w="120" w:type="dxa"/>
              <w:end w:w="140" w:type="dxa"/>
            </w:tcMar>
            <w:vAlign w:val="center"/>
          </w:tcPr>
          <w:p>
            <w:r>
              <w:rPr>
                <w:b/>
                <w:color w:val="FFFFFF"/>
                <w:sz w:val="18"/>
              </w:rPr>
              <w:t>Field</w:t>
            </w:r>
          </w:p>
        </w:tc>
        <w:tc>
          <w:tcPr>
            <w:tcW w:type="dxa" w:w="6480"/>
            <w:shd w:fill="123B2A"/>
            <w:tcMar>
              <w:top w:w="120" w:type="dxa"/>
              <w:start w:w="140" w:type="dxa"/>
              <w:bottom w:w="120" w:type="dxa"/>
              <w:end w:w="140" w:type="dxa"/>
            </w:tcMar>
            <w:vAlign w:val="center"/>
          </w:tcPr>
          <w:p>
            <w:r>
              <w:rPr>
                <w:b/>
                <w:color w:val="FFFFFF"/>
                <w:sz w:val="18"/>
              </w:rPr>
              <w:t>Proposed configuration</w:t>
            </w:r>
          </w:p>
        </w:tc>
      </w:tr>
      <w:tr>
        <w:trPr>
          <w:cantSplit/>
        </w:trPr>
        <w:tc>
          <w:tcPr>
            <w:tcW w:type="dxa" w:w="2880"/>
            <w:tcMar>
              <w:top w:w="120" w:type="dxa"/>
              <w:start w:w="140" w:type="dxa"/>
              <w:bottom w:w="120" w:type="dxa"/>
              <w:end w:w="140" w:type="dxa"/>
            </w:tcMar>
            <w:vAlign w:val="center"/>
          </w:tcPr>
          <w:p>
            <w:pPr>
              <w:spacing w:after="0"/>
            </w:pPr>
            <w:r>
              <w:rPr>
                <w:sz w:val="18"/>
              </w:rPr>
              <w:t>Institution type</w:t>
            </w:r>
          </w:p>
        </w:tc>
        <w:tc>
          <w:tcPr>
            <w:tcW w:type="dxa" w:w="6480"/>
            <w:tcMar>
              <w:top w:w="120" w:type="dxa"/>
              <w:start w:w="140" w:type="dxa"/>
              <w:bottom w:w="120" w:type="dxa"/>
              <w:end w:w="140" w:type="dxa"/>
            </w:tcMar>
            <w:vAlign w:val="center"/>
          </w:tcPr>
          <w:p>
            <w:pPr>
              <w:spacing w:after="0"/>
            </w:pPr>
            <w:r>
              <w:rPr>
                <w:sz w:val="18"/>
              </w:rPr>
              <w:t>Agricultural development finance institution</w:t>
            </w:r>
          </w:p>
        </w:tc>
      </w:tr>
      <w:tr>
        <w:trPr>
          <w:cantSplit/>
        </w:trPr>
        <w:tc>
          <w:tcPr>
            <w:tcW w:type="dxa" w:w="2880"/>
            <w:tcMar>
              <w:top w:w="120" w:type="dxa"/>
              <w:start w:w="140" w:type="dxa"/>
              <w:bottom w:w="120" w:type="dxa"/>
              <w:end w:w="140" w:type="dxa"/>
            </w:tcMar>
            <w:vAlign w:val="center"/>
            <w:shd w:fill="F4F7F4"/>
          </w:tcPr>
          <w:p>
            <w:pPr>
              <w:spacing w:after="0"/>
            </w:pPr>
            <w:r>
              <w:rPr>
                <w:sz w:val="18"/>
              </w:rPr>
              <w:t>Initial assets</w:t>
            </w:r>
          </w:p>
        </w:tc>
        <w:tc>
          <w:tcPr>
            <w:tcW w:type="dxa" w:w="6480"/>
            <w:tcMar>
              <w:top w:w="120" w:type="dxa"/>
              <w:start w:w="140" w:type="dxa"/>
              <w:bottom w:w="120" w:type="dxa"/>
              <w:end w:w="140" w:type="dxa"/>
            </w:tcMar>
            <w:vAlign w:val="center"/>
            <w:shd w:fill="F4F7F4"/>
          </w:tcPr>
          <w:p>
            <w:pPr>
              <w:spacing w:after="0"/>
            </w:pPr>
            <w:r>
              <w:rPr>
                <w:sz w:val="18"/>
              </w:rPr>
              <w:t>Crop mechanisation, water storage and irrigation equipment</w:t>
            </w:r>
          </w:p>
        </w:tc>
      </w:tr>
      <w:tr>
        <w:trPr>
          <w:cantSplit/>
        </w:trPr>
        <w:tc>
          <w:tcPr>
            <w:tcW w:type="dxa" w:w="2880"/>
            <w:tcMar>
              <w:top w:w="120" w:type="dxa"/>
              <w:start w:w="140" w:type="dxa"/>
              <w:bottom w:w="120" w:type="dxa"/>
              <w:end w:w="140" w:type="dxa"/>
            </w:tcMar>
            <w:vAlign w:val="center"/>
          </w:tcPr>
          <w:p>
            <w:pPr>
              <w:spacing w:after="0"/>
            </w:pPr>
            <w:r>
              <w:rPr>
                <w:sz w:val="18"/>
              </w:rPr>
              <w:t>Potential structures</w:t>
            </w:r>
          </w:p>
        </w:tc>
        <w:tc>
          <w:tcPr>
            <w:tcW w:type="dxa" w:w="6480"/>
            <w:tcMar>
              <w:top w:w="120" w:type="dxa"/>
              <w:start w:w="140" w:type="dxa"/>
              <w:bottom w:w="120" w:type="dxa"/>
              <w:end w:w="140" w:type="dxa"/>
            </w:tcMar>
            <w:vAlign w:val="center"/>
          </w:tcPr>
          <w:p>
            <w:pPr>
              <w:spacing w:after="0"/>
            </w:pPr>
            <w:r>
              <w:rPr>
                <w:sz w:val="18"/>
              </w:rPr>
              <w:t>Agricultural asset finance or another BOA-approved product</w:t>
            </w:r>
          </w:p>
        </w:tc>
      </w:tr>
      <w:tr>
        <w:trPr>
          <w:cantSplit/>
        </w:trPr>
        <w:tc>
          <w:tcPr>
            <w:tcW w:type="dxa" w:w="2880"/>
            <w:tcMar>
              <w:top w:w="120" w:type="dxa"/>
              <w:start w:w="140" w:type="dxa"/>
              <w:bottom w:w="120" w:type="dxa"/>
              <w:end w:w="140" w:type="dxa"/>
            </w:tcMar>
            <w:vAlign w:val="center"/>
            <w:shd w:fill="F4F7F4"/>
          </w:tcPr>
          <w:p>
            <w:pPr>
              <w:spacing w:after="0"/>
            </w:pPr>
            <w:r>
              <w:rPr>
                <w:sz w:val="18"/>
              </w:rPr>
              <w:t>Target geography</w:t>
            </w:r>
          </w:p>
        </w:tc>
        <w:tc>
          <w:tcPr>
            <w:tcW w:type="dxa" w:w="6480"/>
            <w:tcMar>
              <w:top w:w="120" w:type="dxa"/>
              <w:start w:w="140" w:type="dxa"/>
              <w:bottom w:w="120" w:type="dxa"/>
              <w:end w:w="140" w:type="dxa"/>
            </w:tcMar>
            <w:vAlign w:val="center"/>
            <w:shd w:fill="F4F7F4"/>
          </w:tcPr>
          <w:p>
            <w:pPr>
              <w:spacing w:after="0"/>
            </w:pPr>
            <w:r>
              <w:rPr>
                <w:sz w:val="18"/>
              </w:rPr>
              <w:t>Jigawa or Kano pilot linked to registered crop farms and participating organisations</w:t>
            </w:r>
          </w:p>
        </w:tc>
      </w:tr>
      <w:tr>
        <w:trPr>
          <w:cantSplit/>
        </w:trPr>
        <w:tc>
          <w:tcPr>
            <w:tcW w:type="dxa" w:w="2880"/>
            <w:tcMar>
              <w:top w:w="120" w:type="dxa"/>
              <w:start w:w="140" w:type="dxa"/>
              <w:bottom w:w="120" w:type="dxa"/>
              <w:end w:w="140" w:type="dxa"/>
            </w:tcMar>
            <w:vAlign w:val="center"/>
          </w:tcPr>
          <w:p>
            <w:pPr>
              <w:spacing w:after="0"/>
            </w:pPr>
            <w:r>
              <w:rPr>
                <w:sz w:val="18"/>
              </w:rPr>
              <w:t>Required approvals</w:t>
            </w:r>
          </w:p>
        </w:tc>
        <w:tc>
          <w:tcPr>
            <w:tcW w:type="dxa" w:w="6480"/>
            <w:tcMar>
              <w:top w:w="120" w:type="dxa"/>
              <w:start w:w="140" w:type="dxa"/>
              <w:bottom w:w="120" w:type="dxa"/>
              <w:end w:w="140" w:type="dxa"/>
            </w:tcMar>
            <w:vAlign w:val="center"/>
          </w:tcPr>
          <w:p>
            <w:pPr>
              <w:spacing w:after="0"/>
            </w:pPr>
            <w:r>
              <w:rPr>
                <w:sz w:val="18"/>
              </w:rPr>
              <w:t>Credit, compliance, legal, information security, data protection and programme governance</w:t>
            </w:r>
          </w:p>
        </w:tc>
      </w:tr>
      <w:tr>
        <w:trPr>
          <w:cantSplit/>
        </w:trPr>
        <w:tc>
          <w:tcPr>
            <w:tcW w:type="dxa" w:w="2880"/>
            <w:tcMar>
              <w:top w:w="120" w:type="dxa"/>
              <w:start w:w="140" w:type="dxa"/>
              <w:bottom w:w="120" w:type="dxa"/>
              <w:end w:w="140" w:type="dxa"/>
            </w:tcMar>
            <w:vAlign w:val="center"/>
            <w:shd w:fill="F4F7F4"/>
          </w:tcPr>
          <w:p>
            <w:pPr>
              <w:spacing w:after="0"/>
            </w:pPr>
            <w:r>
              <w:rPr>
                <w:sz w:val="18"/>
              </w:rPr>
              <w:t>Public status</w:t>
            </w:r>
          </w:p>
        </w:tc>
        <w:tc>
          <w:tcPr>
            <w:tcW w:type="dxa" w:w="6480"/>
            <w:tcMar>
              <w:top w:w="120" w:type="dxa"/>
              <w:start w:w="140" w:type="dxa"/>
              <w:bottom w:w="120" w:type="dxa"/>
              <w:end w:w="140" w:type="dxa"/>
            </w:tcMar>
            <w:vAlign w:val="center"/>
            <w:shd w:fill="F4F7F4"/>
          </w:tcPr>
          <w:p>
            <w:pPr>
              <w:spacing w:after="0"/>
            </w:pPr>
            <w:r>
              <w:rPr>
                <w:sz w:val="18"/>
              </w:rPr>
              <w:t>Proposed partner only until execution and written launch approval</w:t>
            </w:r>
          </w:p>
        </w:tc>
      </w:tr>
    </w:tbl>
    <w:p>
      <w:pPr>
        <w:spacing w:after="0"/>
      </w:pPr>
    </w:p>
    <w:p>
      <w:pPr>
        <w:pStyle w:val="Heading2"/>
        <w:keepNext/>
      </w:pPr>
      <w:r>
        <w:t>Additional conventional bank schedule</w:t>
      </w:r>
    </w:p>
    <w:p>
      <w:r>
        <w:t>A conventional deposit money bank may join by completing this schedule after legal and regulatory review. AgriShield should not name an additional bank publicly until the bank has approved the programme and branding in writing.</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2880"/>
            <w:shd w:fill="123B2A"/>
            <w:tcMar>
              <w:top w:w="120" w:type="dxa"/>
              <w:start w:w="140" w:type="dxa"/>
              <w:bottom w:w="120" w:type="dxa"/>
              <w:end w:w="140" w:type="dxa"/>
            </w:tcMar>
            <w:vAlign w:val="center"/>
          </w:tcPr>
          <w:p>
            <w:r>
              <w:rPr>
                <w:b/>
                <w:color w:val="FFFFFF"/>
                <w:sz w:val="18"/>
              </w:rPr>
              <w:t>Field</w:t>
            </w:r>
          </w:p>
        </w:tc>
        <w:tc>
          <w:tcPr>
            <w:tcW w:type="dxa" w:w="6480"/>
            <w:shd w:fill="123B2A"/>
            <w:tcMar>
              <w:top w:w="120" w:type="dxa"/>
              <w:start w:w="140" w:type="dxa"/>
              <w:bottom w:w="120" w:type="dxa"/>
              <w:end w:w="140" w:type="dxa"/>
            </w:tcMar>
            <w:vAlign w:val="center"/>
          </w:tcPr>
          <w:p>
            <w:r>
              <w:rPr>
                <w:b/>
                <w:color w:val="FFFFFF"/>
                <w:sz w:val="18"/>
              </w:rPr>
              <w:t>Required entry</w:t>
            </w:r>
          </w:p>
        </w:tc>
      </w:tr>
      <w:tr>
        <w:trPr>
          <w:cantSplit/>
        </w:trPr>
        <w:tc>
          <w:tcPr>
            <w:tcW w:type="dxa" w:w="2880"/>
            <w:tcMar>
              <w:top w:w="120" w:type="dxa"/>
              <w:start w:w="140" w:type="dxa"/>
              <w:bottom w:w="120" w:type="dxa"/>
              <w:end w:w="140" w:type="dxa"/>
            </w:tcMar>
            <w:vAlign w:val="center"/>
          </w:tcPr>
          <w:p>
            <w:pPr>
              <w:spacing w:after="0"/>
            </w:pPr>
            <w:r>
              <w:rPr>
                <w:sz w:val="18"/>
              </w:rPr>
              <w:t>Legal name</w:t>
            </w:r>
          </w:p>
        </w:tc>
        <w:tc>
          <w:tcPr>
            <w:tcW w:type="dxa" w:w="6480"/>
            <w:tcMar>
              <w:top w:w="120" w:type="dxa"/>
              <w:start w:w="140" w:type="dxa"/>
              <w:bottom w:w="120" w:type="dxa"/>
              <w:end w:w="140" w:type="dxa"/>
            </w:tcMar>
            <w:vAlign w:val="center"/>
          </w:tcPr>
          <w:p>
            <w:pPr>
              <w:spacing w:after="0"/>
            </w:pPr>
            <w:r>
              <w:rPr>
                <w:sz w:val="18"/>
              </w:rPr>
              <w:t>[Insert]</w:t>
            </w:r>
          </w:p>
        </w:tc>
      </w:tr>
      <w:tr>
        <w:trPr>
          <w:cantSplit/>
        </w:trPr>
        <w:tc>
          <w:tcPr>
            <w:tcW w:type="dxa" w:w="2880"/>
            <w:tcMar>
              <w:top w:w="120" w:type="dxa"/>
              <w:start w:w="140" w:type="dxa"/>
              <w:bottom w:w="120" w:type="dxa"/>
              <w:end w:w="140" w:type="dxa"/>
            </w:tcMar>
            <w:vAlign w:val="center"/>
            <w:shd w:fill="F4F7F4"/>
          </w:tcPr>
          <w:p>
            <w:pPr>
              <w:spacing w:after="0"/>
            </w:pPr>
            <w:r>
              <w:rPr>
                <w:sz w:val="18"/>
              </w:rPr>
              <w:t>CBN licence category</w:t>
            </w:r>
          </w:p>
        </w:tc>
        <w:tc>
          <w:tcPr>
            <w:tcW w:type="dxa" w:w="6480"/>
            <w:tcMar>
              <w:top w:w="120" w:type="dxa"/>
              <w:start w:w="140" w:type="dxa"/>
              <w:bottom w:w="120" w:type="dxa"/>
              <w:end w:w="140" w:type="dxa"/>
            </w:tcMar>
            <w:vAlign w:val="center"/>
            <w:shd w:fill="F4F7F4"/>
          </w:tcPr>
          <w:p>
            <w:pPr>
              <w:spacing w:after="0"/>
            </w:pPr>
            <w:r>
              <w:rPr>
                <w:sz w:val="18"/>
              </w:rPr>
              <w:t>[Insert and verify]</w:t>
            </w:r>
          </w:p>
        </w:tc>
      </w:tr>
      <w:tr>
        <w:trPr>
          <w:cantSplit/>
        </w:trPr>
        <w:tc>
          <w:tcPr>
            <w:tcW w:type="dxa" w:w="2880"/>
            <w:tcMar>
              <w:top w:w="120" w:type="dxa"/>
              <w:start w:w="140" w:type="dxa"/>
              <w:bottom w:w="120" w:type="dxa"/>
              <w:end w:w="140" w:type="dxa"/>
            </w:tcMar>
            <w:vAlign w:val="center"/>
          </w:tcPr>
          <w:p>
            <w:pPr>
              <w:spacing w:after="0"/>
            </w:pPr>
            <w:r>
              <w:rPr>
                <w:sz w:val="18"/>
              </w:rPr>
              <w:t>Approved financing product</w:t>
            </w:r>
          </w:p>
        </w:tc>
        <w:tc>
          <w:tcPr>
            <w:tcW w:type="dxa" w:w="6480"/>
            <w:tcMar>
              <w:top w:w="120" w:type="dxa"/>
              <w:start w:w="140" w:type="dxa"/>
              <w:bottom w:w="120" w:type="dxa"/>
              <w:end w:w="140" w:type="dxa"/>
            </w:tcMar>
            <w:vAlign w:val="center"/>
          </w:tcPr>
          <w:p>
            <w:pPr>
              <w:spacing w:after="0"/>
            </w:pPr>
            <w:r>
              <w:rPr>
                <w:sz w:val="18"/>
              </w:rPr>
              <w:t>[Insert]</w:t>
            </w:r>
          </w:p>
        </w:tc>
      </w:tr>
      <w:tr>
        <w:trPr>
          <w:cantSplit/>
        </w:trPr>
        <w:tc>
          <w:tcPr>
            <w:tcW w:type="dxa" w:w="2880"/>
            <w:tcMar>
              <w:top w:w="120" w:type="dxa"/>
              <w:start w:w="140" w:type="dxa"/>
              <w:bottom w:w="120" w:type="dxa"/>
              <w:end w:w="140" w:type="dxa"/>
            </w:tcMar>
            <w:vAlign w:val="center"/>
            <w:shd w:fill="F4F7F4"/>
          </w:tcPr>
          <w:p>
            <w:pPr>
              <w:spacing w:after="0"/>
            </w:pPr>
            <w:r>
              <w:rPr>
                <w:sz w:val="18"/>
              </w:rPr>
              <w:t>Approved assets and suppliers</w:t>
            </w:r>
          </w:p>
        </w:tc>
        <w:tc>
          <w:tcPr>
            <w:tcW w:type="dxa" w:w="6480"/>
            <w:tcMar>
              <w:top w:w="120" w:type="dxa"/>
              <w:start w:w="140" w:type="dxa"/>
              <w:bottom w:w="120" w:type="dxa"/>
              <w:end w:w="140" w:type="dxa"/>
            </w:tcMar>
            <w:vAlign w:val="center"/>
            <w:shd w:fill="F4F7F4"/>
          </w:tcPr>
          <w:p>
            <w:pPr>
              <w:spacing w:after="0"/>
            </w:pPr>
            <w:r>
              <w:rPr>
                <w:sz w:val="18"/>
              </w:rPr>
              <w:t>[Insert]</w:t>
            </w:r>
          </w:p>
        </w:tc>
      </w:tr>
      <w:tr>
        <w:trPr>
          <w:cantSplit/>
        </w:trPr>
        <w:tc>
          <w:tcPr>
            <w:tcW w:type="dxa" w:w="2880"/>
            <w:tcMar>
              <w:top w:w="120" w:type="dxa"/>
              <w:start w:w="140" w:type="dxa"/>
              <w:bottom w:w="120" w:type="dxa"/>
              <w:end w:w="140" w:type="dxa"/>
            </w:tcMar>
            <w:vAlign w:val="center"/>
          </w:tcPr>
          <w:p>
            <w:pPr>
              <w:spacing w:after="0"/>
            </w:pPr>
            <w:r>
              <w:rPr>
                <w:sz w:val="18"/>
              </w:rPr>
              <w:t>Pricing, tenor and disclosures</w:t>
            </w:r>
          </w:p>
        </w:tc>
        <w:tc>
          <w:tcPr>
            <w:tcW w:type="dxa" w:w="6480"/>
            <w:tcMar>
              <w:top w:w="120" w:type="dxa"/>
              <w:start w:w="140" w:type="dxa"/>
              <w:bottom w:w="120" w:type="dxa"/>
              <w:end w:w="140" w:type="dxa"/>
            </w:tcMar>
            <w:vAlign w:val="center"/>
          </w:tcPr>
          <w:p>
            <w:pPr>
              <w:spacing w:after="0"/>
            </w:pPr>
            <w:r>
              <w:rPr>
                <w:sz w:val="18"/>
              </w:rPr>
              <w:t>[Insert Bank-approved terms]</w:t>
            </w:r>
          </w:p>
        </w:tc>
      </w:tr>
      <w:tr>
        <w:trPr>
          <w:cantSplit/>
        </w:trPr>
        <w:tc>
          <w:tcPr>
            <w:tcW w:type="dxa" w:w="2880"/>
            <w:tcMar>
              <w:top w:w="120" w:type="dxa"/>
              <w:start w:w="140" w:type="dxa"/>
              <w:bottom w:w="120" w:type="dxa"/>
              <w:end w:w="140" w:type="dxa"/>
            </w:tcMar>
            <w:vAlign w:val="center"/>
            <w:shd w:fill="F4F7F4"/>
          </w:tcPr>
          <w:p>
            <w:pPr>
              <w:spacing w:after="0"/>
            </w:pPr>
            <w:r>
              <w:rPr>
                <w:sz w:val="18"/>
              </w:rPr>
              <w:t>Operational and technical contacts</w:t>
            </w:r>
          </w:p>
        </w:tc>
        <w:tc>
          <w:tcPr>
            <w:tcW w:type="dxa" w:w="6480"/>
            <w:tcMar>
              <w:top w:w="120" w:type="dxa"/>
              <w:start w:w="140" w:type="dxa"/>
              <w:bottom w:w="120" w:type="dxa"/>
              <w:end w:w="140" w:type="dxa"/>
            </w:tcMar>
            <w:vAlign w:val="center"/>
            <w:shd w:fill="F4F7F4"/>
          </w:tcPr>
          <w:p>
            <w:pPr>
              <w:spacing w:after="0"/>
            </w:pPr>
            <w:r>
              <w:rPr>
                <w:sz w:val="18"/>
              </w:rPr>
              <w:t>[Insert]</w:t>
            </w:r>
          </w:p>
        </w:tc>
      </w:tr>
    </w:tbl>
    <w:p>
      <w:pPr>
        <w:spacing w:after="0"/>
      </w:pPr>
    </w:p>
    <w:p>
      <w:r>
        <w:br w:type="page"/>
      </w:r>
    </w:p>
    <w:p>
      <w:pPr>
        <w:pStyle w:val="Heading1"/>
        <w:keepNext/>
      </w:pPr>
      <w:r>
        <w:t>Schedule 5  Regulatory and public source notes</w:t>
      </w:r>
    </w:p>
    <w:p>
      <w:r>
        <w:t>These notes support legal review and programme design. They are not operative terms and do not replace advice from Nigerian counsel or confirmation from the relevant regulator.</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2232"/>
            <w:shd w:fill="123B2A"/>
            <w:tcMar>
              <w:top w:w="120" w:type="dxa"/>
              <w:start w:w="140" w:type="dxa"/>
              <w:bottom w:w="120" w:type="dxa"/>
              <w:end w:w="140" w:type="dxa"/>
            </w:tcMar>
            <w:vAlign w:val="center"/>
          </w:tcPr>
          <w:p>
            <w:r>
              <w:rPr>
                <w:b/>
                <w:color w:val="FFFFFF"/>
                <w:sz w:val="18"/>
              </w:rPr>
              <w:t>Source</w:t>
            </w:r>
          </w:p>
        </w:tc>
        <w:tc>
          <w:tcPr>
            <w:tcW w:type="dxa" w:w="3744"/>
            <w:shd w:fill="123B2A"/>
            <w:tcMar>
              <w:top w:w="120" w:type="dxa"/>
              <w:start w:w="140" w:type="dxa"/>
              <w:bottom w:w="120" w:type="dxa"/>
              <w:end w:w="140" w:type="dxa"/>
            </w:tcMar>
            <w:vAlign w:val="center"/>
          </w:tcPr>
          <w:p>
            <w:r>
              <w:rPr>
                <w:b/>
                <w:color w:val="FFFFFF"/>
                <w:sz w:val="18"/>
              </w:rPr>
              <w:t>Subject</w:t>
            </w:r>
          </w:p>
        </w:tc>
        <w:tc>
          <w:tcPr>
            <w:tcW w:type="dxa" w:w="3384"/>
            <w:shd w:fill="123B2A"/>
            <w:tcMar>
              <w:top w:w="120" w:type="dxa"/>
              <w:start w:w="140" w:type="dxa"/>
              <w:bottom w:w="120" w:type="dxa"/>
              <w:end w:w="140" w:type="dxa"/>
            </w:tcMar>
            <w:vAlign w:val="center"/>
          </w:tcPr>
          <w:p>
            <w:r>
              <w:rPr>
                <w:b/>
                <w:color w:val="FFFFFF"/>
                <w:sz w:val="18"/>
              </w:rPr>
              <w:t>URL</w:t>
            </w:r>
          </w:p>
        </w:tc>
      </w:tr>
      <w:tr>
        <w:trPr>
          <w:cantSplit/>
        </w:trPr>
        <w:tc>
          <w:tcPr>
            <w:tcW w:type="dxa" w:w="2232"/>
            <w:tcMar>
              <w:top w:w="120" w:type="dxa"/>
              <w:start w:w="140" w:type="dxa"/>
              <w:bottom w:w="120" w:type="dxa"/>
              <w:end w:w="140" w:type="dxa"/>
            </w:tcMar>
            <w:vAlign w:val="center"/>
          </w:tcPr>
          <w:p>
            <w:pPr>
              <w:spacing w:after="0"/>
            </w:pPr>
            <w:r>
              <w:rPr>
                <w:sz w:val="18"/>
              </w:rPr>
              <w:t>Federal Competition and Consumer Protection Commission</w:t>
            </w:r>
          </w:p>
        </w:tc>
        <w:tc>
          <w:tcPr>
            <w:tcW w:type="dxa" w:w="3744"/>
            <w:tcMar>
              <w:top w:w="120" w:type="dxa"/>
              <w:start w:w="140" w:type="dxa"/>
              <w:bottom w:w="120" w:type="dxa"/>
              <w:end w:w="140" w:type="dxa"/>
            </w:tcMar>
            <w:vAlign w:val="center"/>
          </w:tcPr>
          <w:p>
            <w:pPr>
              <w:spacing w:after="0"/>
            </w:pPr>
            <w:r>
              <w:rPr>
                <w:sz w:val="18"/>
              </w:rPr>
              <w:t>Digital Electronic Online or Non Traditional Consumer Lending Regulations 2025 and related guidance</w:t>
            </w:r>
          </w:p>
        </w:tc>
        <w:tc>
          <w:tcPr>
            <w:tcW w:type="dxa" w:w="3384"/>
            <w:tcMar>
              <w:top w:w="120" w:type="dxa"/>
              <w:start w:w="140" w:type="dxa"/>
              <w:bottom w:w="120" w:type="dxa"/>
              <w:end w:w="140" w:type="dxa"/>
            </w:tcMar>
            <w:vAlign w:val="center"/>
          </w:tcPr>
          <w:p>
            <w:pPr>
              <w:spacing w:after="0"/>
            </w:pPr>
            <w:r>
              <w:rPr>
                <w:sz w:val="18"/>
              </w:rPr>
              <w:t>https://fccpc.gov.ng/registration-of-digital-money-lenders/</w:t>
            </w:r>
          </w:p>
        </w:tc>
      </w:tr>
      <w:tr>
        <w:trPr>
          <w:cantSplit/>
        </w:trPr>
        <w:tc>
          <w:tcPr>
            <w:tcW w:type="dxa" w:w="2232"/>
            <w:tcMar>
              <w:top w:w="120" w:type="dxa"/>
              <w:start w:w="140" w:type="dxa"/>
              <w:bottom w:w="120" w:type="dxa"/>
              <w:end w:w="140" w:type="dxa"/>
            </w:tcMar>
            <w:vAlign w:val="center"/>
            <w:shd w:fill="F4F7F4"/>
          </w:tcPr>
          <w:p>
            <w:pPr>
              <w:spacing w:after="0"/>
            </w:pPr>
            <w:r>
              <w:rPr>
                <w:sz w:val="18"/>
              </w:rPr>
              <w:t>Nigeria Data Protection Commission</w:t>
            </w:r>
          </w:p>
        </w:tc>
        <w:tc>
          <w:tcPr>
            <w:tcW w:type="dxa" w:w="3744"/>
            <w:tcMar>
              <w:top w:w="120" w:type="dxa"/>
              <w:start w:w="140" w:type="dxa"/>
              <w:bottom w:w="120" w:type="dxa"/>
              <w:end w:w="140" w:type="dxa"/>
            </w:tcMar>
            <w:vAlign w:val="center"/>
            <w:shd w:fill="F4F7F4"/>
          </w:tcPr>
          <w:p>
            <w:pPr>
              <w:spacing w:after="0"/>
            </w:pPr>
            <w:r>
              <w:rPr>
                <w:sz w:val="18"/>
              </w:rPr>
              <w:t>Nigeria Data Protection Act 2023</w:t>
            </w:r>
          </w:p>
        </w:tc>
        <w:tc>
          <w:tcPr>
            <w:tcW w:type="dxa" w:w="3384"/>
            <w:tcMar>
              <w:top w:w="120" w:type="dxa"/>
              <w:start w:w="140" w:type="dxa"/>
              <w:bottom w:w="120" w:type="dxa"/>
              <w:end w:w="140" w:type="dxa"/>
            </w:tcMar>
            <w:vAlign w:val="center"/>
            <w:shd w:fill="F4F7F4"/>
          </w:tcPr>
          <w:p>
            <w:pPr>
              <w:spacing w:after="0"/>
            </w:pPr>
            <w:r>
              <w:rPr>
                <w:sz w:val="18"/>
              </w:rPr>
              <w:t>https://ndpc.gov.ng/wp-content/uploads/2024/03/Nigeria_Data_Protection_Act_2023.pdf</w:t>
            </w:r>
          </w:p>
        </w:tc>
      </w:tr>
      <w:tr>
        <w:trPr>
          <w:cantSplit/>
        </w:trPr>
        <w:tc>
          <w:tcPr>
            <w:tcW w:type="dxa" w:w="2232"/>
            <w:tcMar>
              <w:top w:w="120" w:type="dxa"/>
              <w:start w:w="140" w:type="dxa"/>
              <w:bottom w:w="120" w:type="dxa"/>
              <w:end w:w="140" w:type="dxa"/>
            </w:tcMar>
            <w:vAlign w:val="center"/>
          </w:tcPr>
          <w:p>
            <w:pPr>
              <w:spacing w:after="0"/>
            </w:pPr>
            <w:r>
              <w:rPr>
                <w:sz w:val="18"/>
              </w:rPr>
              <w:t>Central Bank of Nigeria</w:t>
            </w:r>
          </w:p>
        </w:tc>
        <w:tc>
          <w:tcPr>
            <w:tcW w:type="dxa" w:w="3744"/>
            <w:tcMar>
              <w:top w:w="120" w:type="dxa"/>
              <w:start w:w="140" w:type="dxa"/>
              <w:bottom w:w="120" w:type="dxa"/>
              <w:end w:w="140" w:type="dxa"/>
            </w:tcMar>
            <w:vAlign w:val="center"/>
          </w:tcPr>
          <w:p>
            <w:pPr>
              <w:spacing w:after="0"/>
            </w:pPr>
            <w:r>
              <w:rPr>
                <w:sz w:val="18"/>
              </w:rPr>
              <w:t>Agricultural Credit Guarantee Scheme Fund</w:t>
            </w:r>
          </w:p>
        </w:tc>
        <w:tc>
          <w:tcPr>
            <w:tcW w:type="dxa" w:w="3384"/>
            <w:tcMar>
              <w:top w:w="120" w:type="dxa"/>
              <w:start w:w="140" w:type="dxa"/>
              <w:bottom w:w="120" w:type="dxa"/>
              <w:end w:w="140" w:type="dxa"/>
            </w:tcMar>
            <w:vAlign w:val="center"/>
          </w:tcPr>
          <w:p>
            <w:pPr>
              <w:spacing w:after="0"/>
            </w:pPr>
            <w:r>
              <w:rPr>
                <w:sz w:val="18"/>
              </w:rPr>
              <w:t>https://www.cbn.gov.ng/DFD/agriculture/acgsf.html</w:t>
            </w:r>
          </w:p>
        </w:tc>
      </w:tr>
      <w:tr>
        <w:trPr>
          <w:cantSplit/>
        </w:trPr>
        <w:tc>
          <w:tcPr>
            <w:tcW w:type="dxa" w:w="2232"/>
            <w:tcMar>
              <w:top w:w="120" w:type="dxa"/>
              <w:start w:w="140" w:type="dxa"/>
              <w:bottom w:w="120" w:type="dxa"/>
              <w:end w:w="140" w:type="dxa"/>
            </w:tcMar>
            <w:vAlign w:val="center"/>
            <w:shd w:fill="F4F7F4"/>
          </w:tcPr>
          <w:p>
            <w:pPr>
              <w:spacing w:after="0"/>
            </w:pPr>
            <w:r>
              <w:rPr>
                <w:sz w:val="18"/>
              </w:rPr>
              <w:t>Jaiz Bank Plc</w:t>
            </w:r>
          </w:p>
        </w:tc>
        <w:tc>
          <w:tcPr>
            <w:tcW w:type="dxa" w:w="3744"/>
            <w:tcMar>
              <w:top w:w="120" w:type="dxa"/>
              <w:start w:w="140" w:type="dxa"/>
              <w:bottom w:w="120" w:type="dxa"/>
              <w:end w:w="140" w:type="dxa"/>
            </w:tcMar>
            <w:vAlign w:val="center"/>
            <w:shd w:fill="F4F7F4"/>
          </w:tcPr>
          <w:p>
            <w:pPr>
              <w:spacing w:after="0"/>
            </w:pPr>
            <w:r>
              <w:rPr>
                <w:sz w:val="18"/>
              </w:rPr>
              <w:t>Official website and public financial reports</w:t>
            </w:r>
          </w:p>
        </w:tc>
        <w:tc>
          <w:tcPr>
            <w:tcW w:type="dxa" w:w="3384"/>
            <w:tcMar>
              <w:top w:w="120" w:type="dxa"/>
              <w:start w:w="140" w:type="dxa"/>
              <w:bottom w:w="120" w:type="dxa"/>
              <w:end w:w="140" w:type="dxa"/>
            </w:tcMar>
            <w:vAlign w:val="center"/>
            <w:shd w:fill="F4F7F4"/>
          </w:tcPr>
          <w:p>
            <w:pPr>
              <w:spacing w:after="0"/>
            </w:pPr>
            <w:r>
              <w:rPr>
                <w:sz w:val="18"/>
              </w:rPr>
              <w:t>https://www.jaizbankplc.com/</w:t>
            </w:r>
          </w:p>
        </w:tc>
      </w:tr>
      <w:tr>
        <w:trPr>
          <w:cantSplit/>
        </w:trPr>
        <w:tc>
          <w:tcPr>
            <w:tcW w:type="dxa" w:w="2232"/>
            <w:tcMar>
              <w:top w:w="120" w:type="dxa"/>
              <w:start w:w="140" w:type="dxa"/>
              <w:bottom w:w="120" w:type="dxa"/>
              <w:end w:w="140" w:type="dxa"/>
            </w:tcMar>
            <w:vAlign w:val="center"/>
          </w:tcPr>
          <w:p>
            <w:pPr>
              <w:spacing w:after="0"/>
            </w:pPr>
            <w:r>
              <w:rPr>
                <w:sz w:val="18"/>
              </w:rPr>
              <w:t>TAJBank Limited</w:t>
            </w:r>
          </w:p>
        </w:tc>
        <w:tc>
          <w:tcPr>
            <w:tcW w:type="dxa" w:w="3744"/>
            <w:tcMar>
              <w:top w:w="120" w:type="dxa"/>
              <w:start w:w="140" w:type="dxa"/>
              <w:bottom w:w="120" w:type="dxa"/>
              <w:end w:w="140" w:type="dxa"/>
            </w:tcMar>
            <w:vAlign w:val="center"/>
          </w:tcPr>
          <w:p>
            <w:pPr>
              <w:spacing w:after="0"/>
            </w:pPr>
            <w:r>
              <w:rPr>
                <w:sz w:val="18"/>
              </w:rPr>
              <w:t>Official website and public financial reports</w:t>
            </w:r>
          </w:p>
        </w:tc>
        <w:tc>
          <w:tcPr>
            <w:tcW w:type="dxa" w:w="3384"/>
            <w:tcMar>
              <w:top w:w="120" w:type="dxa"/>
              <w:start w:w="140" w:type="dxa"/>
              <w:bottom w:w="120" w:type="dxa"/>
              <w:end w:w="140" w:type="dxa"/>
            </w:tcMar>
            <w:vAlign w:val="center"/>
          </w:tcPr>
          <w:p>
            <w:pPr>
              <w:spacing w:after="0"/>
            </w:pPr>
            <w:r>
              <w:rPr>
                <w:sz w:val="18"/>
              </w:rPr>
              <w:t>https://tajbank.com/</w:t>
            </w:r>
          </w:p>
        </w:tc>
      </w:tr>
      <w:tr>
        <w:trPr>
          <w:cantSplit/>
        </w:trPr>
        <w:tc>
          <w:tcPr>
            <w:tcW w:type="dxa" w:w="2232"/>
            <w:tcMar>
              <w:top w:w="120" w:type="dxa"/>
              <w:start w:w="140" w:type="dxa"/>
              <w:bottom w:w="120" w:type="dxa"/>
              <w:end w:w="140" w:type="dxa"/>
            </w:tcMar>
            <w:vAlign w:val="center"/>
            <w:shd w:fill="F4F7F4"/>
          </w:tcPr>
          <w:p>
            <w:pPr>
              <w:spacing w:after="0"/>
            </w:pPr>
            <w:r>
              <w:rPr>
                <w:sz w:val="18"/>
              </w:rPr>
              <w:t>Bank of Agriculture Limited</w:t>
            </w:r>
          </w:p>
        </w:tc>
        <w:tc>
          <w:tcPr>
            <w:tcW w:type="dxa" w:w="3744"/>
            <w:tcMar>
              <w:top w:w="120" w:type="dxa"/>
              <w:start w:w="140" w:type="dxa"/>
              <w:bottom w:w="120" w:type="dxa"/>
              <w:end w:w="140" w:type="dxa"/>
            </w:tcMar>
            <w:vAlign w:val="center"/>
            <w:shd w:fill="F4F7F4"/>
          </w:tcPr>
          <w:p>
            <w:pPr>
              <w:spacing w:after="0"/>
            </w:pPr>
            <w:r>
              <w:rPr>
                <w:sz w:val="18"/>
              </w:rPr>
              <w:t>Official website and published credit information</w:t>
            </w:r>
          </w:p>
        </w:tc>
        <w:tc>
          <w:tcPr>
            <w:tcW w:type="dxa" w:w="3384"/>
            <w:tcMar>
              <w:top w:w="120" w:type="dxa"/>
              <w:start w:w="140" w:type="dxa"/>
              <w:bottom w:w="120" w:type="dxa"/>
              <w:end w:w="140" w:type="dxa"/>
            </w:tcMar>
            <w:vAlign w:val="center"/>
            <w:shd w:fill="F4F7F4"/>
          </w:tcPr>
          <w:p>
            <w:pPr>
              <w:spacing w:after="0"/>
            </w:pPr>
            <w:r>
              <w:rPr>
                <w:sz w:val="18"/>
              </w:rPr>
              <w:t>https://boanig.com/</w:t>
            </w:r>
          </w:p>
        </w:tc>
      </w:tr>
    </w:tbl>
    <w:p>
      <w:pPr>
        <w:spacing w:after="0"/>
      </w:pPr>
    </w:p>
    <w:p>
      <w:pPr>
        <w:pStyle w:val="Heading2"/>
        <w:keepNext/>
      </w:pPr>
      <w:r>
        <w:t>Items for counsel to complete</w:t>
      </w:r>
    </w:p>
    <w:p>
      <w:pPr>
        <w:pStyle w:val="ListBullet"/>
        <w:ind w:left="648"/>
      </w:pPr>
      <w:r>
        <w:t>Confirm each party's exact registered name, number, address and authorised signatories.</w:t>
      </w:r>
    </w:p>
    <w:p>
      <w:pPr>
        <w:pStyle w:val="ListBullet"/>
        <w:ind w:left="648"/>
      </w:pPr>
      <w:r>
        <w:t>Confirm the applicable FCCPC, CBN and sector approval or registration pathway for the selected Programme.</w:t>
      </w:r>
    </w:p>
    <w:p>
      <w:pPr>
        <w:pStyle w:val="ListBullet"/>
        <w:ind w:left="648"/>
      </w:pPr>
      <w:r>
        <w:t>Complete liability caps, indemnities, insurance, tax, dispute resolution and notice provisions.</w:t>
      </w:r>
    </w:p>
    <w:p>
      <w:pPr>
        <w:pStyle w:val="ListBullet"/>
        <w:ind w:left="648"/>
      </w:pPr>
      <w:r>
        <w:t>Approve the data-controller allocation, privacy notice, retention schedule and cross-border transfer position.</w:t>
      </w:r>
    </w:p>
    <w:p>
      <w:pPr>
        <w:pStyle w:val="ListBullet"/>
        <w:ind w:left="648"/>
      </w:pPr>
      <w:r>
        <w:t>Approve all customer terms, supplier contracts and Shariah documents where applicable.</w:t>
      </w:r>
    </w:p>
    <w:sectPr w:rsidR="00FC693F" w:rsidRPr="0006063C" w:rsidSect="00034616">
      <w:headerReference w:type="default" r:id="rId9"/>
      <w:footerReference w:type="default" r:id="rId10"/>
      <w:pgSz w:w="12240" w:h="15840"/>
      <w:pgMar w:top="1123"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4896"/>
      <w:gridCol w:w="4896"/>
    </w:tblGrid>
    <w:tr>
      <w:tc>
        <w:tcPr>
          <w:tcW w:type="dxa" w:w="4896"/>
        </w:tcPr>
        <w:p>
          <w:r>
            <w:rPr>
              <w:sz w:val="16"/>
            </w:rPr>
            <w:t>Confidential draft  |  27 September 2026</w:t>
          </w:r>
        </w:p>
      </w:tc>
      <w:tc>
        <w:tcPr>
          <w:tcW w:type="dxa" w:w="4896"/>
        </w:tcPr>
        <w:p>
          <w:pPr>
            <w:jc w:val="right"/>
          </w:pPr>
          <w:r>
            <w:rPr>
              <w:sz w:val="16"/>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6544C"/>
        <w:sz w:val="15"/>
      </w:rPr>
      <w:t>AGRISHIELD AI LTD  |  DRAFT FOR DISCUSSION AND LEGAL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C28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Productive Asset Finance Partnership Agreement</dc:title>
  <dc:subject>Draft AgriShield Asset Access partnership framework</dc:subject>
  <dc:creator>AgriShield AI Ltd</dc:creator>
  <cp:keywords>AgriShield, asset finance, agriculture, partnership, Nigeria</cp:keywords>
  <dc:description>generated by python-docx</dc:description>
  <cp:lastModifiedBy/>
  <cp:revision>1</cp:revision>
  <dcterms:created xsi:type="dcterms:W3CDTF">2013-12-23T23:15:00Z</dcterms:created>
  <dcterms:modified xsi:type="dcterms:W3CDTF">2013-12-23T23:15:00Z</dcterms:modified>
  <cp:category/>
</cp:coreProperties>
</file>