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jc w:val="center"/>
        <w:rPr/>
      </w:pPr>
      <w:r>
        <w:rPr>
          <w:rFonts w:ascii="Calibri" w:hAnsi="Calibri"/>
          <w:b/>
          <w:color w:val="1a3a5c"/>
          <w:sz w:val="72"/>
        </w:rPr>
        <w:t xml:space="preserve">TOURISME EN FRANCE</w:t>
      </w:r>
      <w:r/>
    </w:p>
    <w:p>
      <w:pPr>
        <w:pBdr/>
        <w:spacing/>
        <w:ind/>
        <w:jc w:val="center"/>
        <w:rPr>
          <w:rFonts w:ascii="Calibri" w:hAnsi="Calibri"/>
          <w:b w:val="0"/>
          <w:bCs w:val="0"/>
          <w:color w:val="2a7ae2"/>
          <w:sz w:val="36"/>
          <w:szCs w:val="36"/>
        </w:rPr>
      </w:pPr>
      <w:r>
        <w:rPr>
          <w:rFonts w:ascii="Calibri" w:hAnsi="Calibri"/>
          <w:b w:val="0"/>
          <w:color w:val="2a7ae2"/>
          <w:sz w:val="36"/>
        </w:rPr>
        <w:t xml:space="preserve">Analyse de Données &amp; Documentation Technique </w:t>
      </w:r>
      <w:r>
        <w:rPr>
          <w:highlight w:val="none"/>
        </w:rPr>
      </w:r>
    </w:p>
    <w:p w14:paraId="684E3CD7">
      <w:pPr>
        <w:pBdr/>
        <w:spacing/>
        <w:ind/>
        <w:jc w:val="center"/>
        <w:rPr>
          <w:highlight w:val="none"/>
        </w:rPr>
      </w:pPr>
      <w:r>
        <w:rPr>
          <w:rFonts w:ascii="Calibri" w:hAnsi="Calibri"/>
          <w:b w:val="0"/>
          <w:color w:val="2a7ae2"/>
          <w:sz w:val="36"/>
        </w:rPr>
        <w:t xml:space="preserve">ESUGHI Abdulmalek</w:t>
      </w:r>
      <w:r>
        <w:rPr>
          <w:highlight w:val="none"/>
        </w:rPr>
      </w:r>
      <w:r/>
    </w:p>
    <w:p>
      <w:pPr>
        <w:pBdr/>
        <w:spacing/>
        <w:ind/>
        <w:rPr/>
      </w:pPr>
      <w:r/>
      <w:r/>
    </w:p>
    <w:p>
      <w:pPr>
        <w:pBdr>
          <w:bottom w:val="single" w:color="2a7ae2" w:sz="24" w:space="1"/>
        </w:pBdr>
        <w:spacing w:after="40" w:before="40"/>
        <w:ind/>
        <w:rPr/>
      </w:pPr>
      <w:r/>
      <w:r/>
    </w:p>
    <w:p>
      <w:pPr>
        <w:pBdr/>
        <w:spacing/>
        <w:ind/>
        <w:rPr/>
      </w:pPr>
      <w:r/>
      <w:r/>
    </w:p>
    <w:tbl>
      <w:tblPr>
        <w:jc w:val="center"/>
        <w:tblW w:w="0" w:type="auto"/>
        <w:tblBorders/>
        <w:tblLook w:val="04A0" w:firstRow="1" w:lastRow="0" w:firstColumn="1" w:lastColumn="0" w:noHBand="0" w:noVBand="1"/>
      </w:tblPr>
      <w:tblGrid>
        <w:gridCol w:w="4536"/>
        <w:gridCol w:w="4536"/>
      </w:tblGrid>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Période d'analyse</w:t>
            </w:r>
            <w:r/>
          </w:p>
        </w:tc>
        <w:tc>
          <w:tcPr>
            <w:shd w:val="clear" w:color="auto" w:fill="ffffff"/>
            <w:tcBorders/>
            <w:tcW w:w="5040" w:type="dxa"/>
            <w:textDirection w:val="lrTb"/>
            <w:noWrap w:val="false"/>
          </w:tcPr>
          <w:p>
            <w:pPr>
              <w:pBdr/>
              <w:spacing w:after="100" w:before="100"/>
              <w:ind/>
              <w:jc w:val="left"/>
              <w:rPr/>
            </w:pPr>
            <w:r>
              <w:rPr>
                <w:rFonts w:ascii="Calibri" w:hAnsi="Calibri"/>
                <w:b w:val="0"/>
                <w:i w:val="0"/>
                <w:color w:val="343434"/>
                <w:sz w:val="24"/>
              </w:rPr>
              <w:t xml:space="preserve">2019 – 2023</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Régions couvertes</w:t>
            </w:r>
            <w:r/>
          </w:p>
        </w:tc>
        <w:tc>
          <w:tcPr>
            <w:shd w:val="clear" w:color="auto" w:fill="ffffff"/>
            <w:tcBorders/>
            <w:tcW w:w="5040" w:type="dxa"/>
            <w:textDirection w:val="lrTb"/>
            <w:noWrap w:val="false"/>
          </w:tcPr>
          <w:p>
            <w:pPr>
              <w:pBdr/>
              <w:spacing w:after="100" w:before="100"/>
              <w:ind/>
              <w:jc w:val="left"/>
              <w:rPr/>
            </w:pPr>
            <w:r>
              <w:rPr>
                <w:rFonts w:ascii="Calibri" w:hAnsi="Calibri"/>
                <w:b w:val="0"/>
                <w:i w:val="0"/>
                <w:color w:val="343434"/>
                <w:sz w:val="24"/>
              </w:rPr>
              <w:t xml:space="preserve">4 régions françaises</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Total visiteurs</w:t>
            </w:r>
            <w:r/>
          </w:p>
        </w:tc>
        <w:tc>
          <w:tcPr>
            <w:shd w:val="clear" w:color="auto" w:fill="ffffff"/>
            <w:tcBorders/>
            <w:tcW w:w="5040" w:type="dxa"/>
            <w:textDirection w:val="lrTb"/>
            <w:noWrap w:val="false"/>
          </w:tcPr>
          <w:p>
            <w:pPr>
              <w:pBdr/>
              <w:spacing w:after="100" w:before="100"/>
              <w:ind/>
              <w:jc w:val="left"/>
              <w:rPr/>
            </w:pPr>
            <w:r>
              <w:rPr>
                <w:rFonts w:ascii="Calibri" w:hAnsi="Calibri"/>
                <w:b w:val="0"/>
                <w:i w:val="0"/>
                <w:color w:val="343434"/>
                <w:sz w:val="24"/>
              </w:rPr>
              <w:t xml:space="preserve">14 456 000</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Outil d'analyse</w:t>
            </w:r>
            <w:r/>
          </w:p>
        </w:tc>
        <w:tc>
          <w:tcPr>
            <w:shd w:val="clear" w:color="auto" w:fill="ffffff"/>
            <w:tcBorders/>
            <w:tcW w:w="5040" w:type="dxa"/>
            <w:textDirection w:val="lrTb"/>
            <w:noWrap w:val="false"/>
          </w:tcPr>
          <w:p>
            <w:pPr>
              <w:pBdr/>
              <w:spacing w:after="100" w:before="100"/>
              <w:ind/>
              <w:jc w:val="left"/>
              <w:rPr/>
            </w:pPr>
            <w:r>
              <w:rPr>
                <w:rFonts w:ascii="Calibri" w:hAnsi="Calibri"/>
                <w:b w:val="0"/>
                <w:i w:val="0"/>
                <w:color w:val="343434"/>
                <w:sz w:val="24"/>
              </w:rPr>
              <w:t xml:space="preserve">Python 3.12 · pandas · matplotlib · seaborn</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Date du rapport</w:t>
            </w:r>
            <w:r/>
          </w:p>
        </w:tc>
        <w:tc>
          <w:tcPr>
            <w:shd w:val="clear" w:color="auto" w:fill="ffffff"/>
            <w:tcBorders/>
            <w:tcW w:w="5040" w:type="dxa"/>
            <w:textDirection w:val="lrTb"/>
            <w:noWrap w:val="false"/>
          </w:tcPr>
          <w:p>
            <w:pPr>
              <w:pBdr/>
              <w:spacing w:after="100" w:before="100"/>
              <w:ind/>
              <w:jc w:val="left"/>
              <w:rPr/>
            </w:pPr>
            <w:r>
              <w:rPr>
                <w:rFonts w:ascii="Calibri" w:hAnsi="Calibri"/>
                <w:b w:val="0"/>
                <w:i w:val="0"/>
                <w:color w:val="343434"/>
                <w:sz w:val="24"/>
              </w:rPr>
              <w:t xml:space="preserve">Mars 2026</w:t>
            </w:r>
            <w:r/>
          </w:p>
        </w:tc>
      </w:tr>
    </w:tbl>
    <w:p>
      <w:pPr>
        <w:pBdr/>
        <w:spacing/>
        <w:ind/>
        <w:rPr/>
      </w:pPr>
      <w:r/>
      <w:r/>
    </w:p>
    <w:p>
      <w:pPr>
        <w:pBdr/>
        <w:spacing/>
        <w:ind/>
        <w:rPr/>
      </w:pPr>
      <w:r/>
      <w:r/>
    </w:p>
    <w:p>
      <w:pPr>
        <w:pBdr/>
        <w:spacing/>
        <w:ind/>
        <w:rPr/>
      </w:pPr>
      <w:r/>
      <w:r/>
    </w:p>
    <w:p>
      <w:pPr>
        <w:pBdr/>
        <w:spacing/>
        <w:ind/>
        <w:rPr/>
      </w:pPr>
      <w:r/>
      <w:r/>
    </w:p>
    <w:p>
      <w:pPr>
        <w:pBdr>
          <w:bottom w:val="single" w:color="1a3a5c" w:sz="12" w:space="1"/>
        </w:pBdr>
        <w:spacing w:after="40" w:before="40"/>
        <w:ind/>
        <w:rPr/>
      </w:pPr>
      <w:r/>
      <w:r/>
    </w:p>
    <w:p>
      <w:pPr>
        <w:pBdr/>
        <w:spacing/>
        <w:ind/>
        <w:rPr/>
      </w:pPr>
      <w:r>
        <w:br w:type="page" w:clear="all"/>
      </w:r>
      <w:r/>
      <w:r>
        <w:rPr>
          <w:rFonts w:ascii="Calibri" w:hAnsi="Calibri"/>
          <w:b/>
          <w:color w:val="1a3a5c"/>
          <w:sz w:val="36"/>
        </w:rPr>
        <w:t xml:space="preserve">PARTIE I — RAPPORT D'ANALYSE DU TOURISME EN FRANCE</w:t>
      </w:r>
      <w:r/>
      <w:r/>
    </w:p>
    <w:p>
      <w:pPr>
        <w:pBdr>
          <w:bottom w:val="single" w:color="2a7ae2" w:sz="12" w:space="1"/>
        </w:pBdr>
        <w:spacing w:after="40" w:before="40"/>
        <w:ind/>
        <w:rPr/>
      </w:pPr>
      <w:r/>
      <w:r/>
    </w:p>
    <w:p>
      <w:pPr>
        <w:pStyle w:val="694"/>
        <w:pBdr/>
        <w:spacing w:after="80" w:before="280"/>
        <w:ind/>
        <w:rPr/>
      </w:pPr>
      <w:r>
        <w:rPr>
          <w:rFonts w:ascii="Calibri" w:hAnsi="Calibri"/>
          <w:b/>
          <w:color w:val="2a7ae2"/>
          <w:sz w:val="28"/>
        </w:rPr>
        <w:t xml:space="preserve">1. Contexte et Objectifs</w:t>
      </w:r>
      <w:r/>
    </w:p>
    <w:p>
      <w:pPr>
        <w:pBdr/>
        <w:spacing w:after="80" w:before="0" w:line="276" w:lineRule="auto"/>
        <w:ind/>
        <w:rPr/>
      </w:pPr>
      <w:r>
        <w:rPr>
          <w:rFonts w:ascii="Calibri" w:hAnsi="Calibri"/>
          <w:b w:val="0"/>
          <w:i w:val="0"/>
          <w:color w:val="343434"/>
          <w:sz w:val="22"/>
        </w:rPr>
        <w:t xml:space="preserve">Ce rapport présente une analyse quantitative de la fréquentation touristique dans quatre régions françaises : Île-de-France, Provence-Alpes-Côte d'Azur (PACA), Auvergne-Rhône-Alpes et Occitanie.</w:t>
      </w:r>
      <w:r/>
    </w:p>
    <w:p>
      <w:pPr>
        <w:pBdr/>
        <w:spacing w:after="80" w:before="0" w:line="276" w:lineRule="auto"/>
        <w:ind/>
        <w:rPr/>
      </w:pPr>
      <w:r>
        <w:rPr>
          <w:rFonts w:ascii="Calibri" w:hAnsi="Calibri"/>
          <w:b w:val="0"/>
          <w:i w:val="0"/>
          <w:color w:val="343434"/>
          <w:sz w:val="22"/>
        </w:rPr>
        <w:t xml:space="preserve">Les données couvrent la période 2019 à 2023 et incluent le nombre mensuel de visiteurs par région, le type d'hébergement utilisé (Hôtel ou Camping) et la dépense moyenne par visiteur (en euros).</w:t>
      </w:r>
      <w:r/>
    </w:p>
    <w:p>
      <w:pPr>
        <w:pBdr/>
        <w:spacing w:after="80" w:before="0" w:line="276" w:lineRule="auto"/>
        <w:ind/>
        <w:rPr/>
      </w:pPr>
      <w:r>
        <w:rPr>
          <w:rFonts w:ascii="Calibri" w:hAnsi="Calibri"/>
          <w:b w:val="0"/>
          <w:i w:val="0"/>
          <w:color w:val="343434"/>
          <w:sz w:val="22"/>
        </w:rPr>
        <w:t xml:space="preserve">L'objectif est de dégager les tendances clés, d'identifier les disparités régionales et de comprendre la saisonnalité du tourisme en France.</w:t>
      </w:r>
      <w:r/>
    </w:p>
    <w:p>
      <w:pPr>
        <w:pStyle w:val="694"/>
        <w:pBdr/>
        <w:spacing w:after="80" w:before="280"/>
        <w:ind/>
        <w:rPr/>
      </w:pPr>
      <w:r>
        <w:rPr>
          <w:rFonts w:ascii="Calibri" w:hAnsi="Calibri"/>
          <w:b/>
          <w:color w:val="2a7ae2"/>
          <w:sz w:val="28"/>
        </w:rPr>
        <w:t xml:space="preserve">2. Vue d'Ensemble du Jeu de Données</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032" w:type="dxa"/>
            <w:vAlign w:val="center"/>
            <w:textDirection w:val="lrTb"/>
            <w:noWrap w:val="false"/>
          </w:tcPr>
          <w:p>
            <w:pPr>
              <w:pBdr/>
              <w:spacing w:after="80" w:before="80"/>
              <w:ind/>
              <w:jc w:val="center"/>
              <w:rPr/>
            </w:pPr>
            <w:r>
              <w:rPr>
                <w:rFonts w:ascii="Calibri" w:hAnsi="Calibri"/>
                <w:b/>
                <w:i w:val="0"/>
                <w:color w:val="ffffff"/>
                <w:sz w:val="22"/>
              </w:rPr>
              <w:t xml:space="preserve">Indicateur</w:t>
            </w:r>
            <w:r/>
          </w:p>
        </w:tc>
        <w:tc>
          <w:tcPr>
            <w:shd w:val="clear" w:color="auto" w:fill="1a3a5c"/>
            <w:tcBorders/>
            <w:tcW w:w="5184" w:type="dxa"/>
            <w:vAlign w:val="center"/>
            <w:textDirection w:val="lrTb"/>
            <w:noWrap w:val="false"/>
          </w:tcPr>
          <w:p>
            <w:pPr>
              <w:pBdr/>
              <w:spacing w:after="80" w:before="80"/>
              <w:ind/>
              <w:jc w:val="center"/>
              <w:rPr/>
            </w:pPr>
            <w:r>
              <w:rPr>
                <w:rFonts w:ascii="Calibri" w:hAnsi="Calibri"/>
                <w:b/>
                <w:i w:val="0"/>
                <w:color w:val="ffffff"/>
                <w:sz w:val="22"/>
              </w:rPr>
              <w:t xml:space="preserve">Valeur</w:t>
            </w:r>
            <w:r/>
          </w:p>
        </w:tc>
      </w:tr>
      <w:tr>
        <w:trPr/>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Observations totales</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96 enregistrements mensuels</w:t>
            </w:r>
            <w:r/>
          </w:p>
        </w:tc>
      </w:tr>
      <w:tr>
        <w:trPr/>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Régions analysées</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4</w:t>
            </w:r>
            <w:r/>
          </w:p>
        </w:tc>
      </w:tr>
      <w:tr>
        <w:trPr/>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Période couverte</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2019, 2020, 2021, 2023</w:t>
            </w:r>
            <w:r/>
          </w:p>
        </w:tc>
      </w:tr>
      <w:tr>
        <w:trPr/>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Total visiteurs (cumul)</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14 456 000</w:t>
            </w:r>
            <w:r/>
          </w:p>
        </w:tc>
      </w:tr>
      <w:tr>
        <w:trPr/>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Dépense moyenne globale</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116,61 €</w:t>
            </w:r>
            <w:r/>
          </w:p>
        </w:tc>
      </w:tr>
      <w:tr>
        <w:trPr/>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Hébergements présents</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Hôtel, Camping</w:t>
            </w:r>
            <w:r/>
          </w:p>
        </w:tc>
      </w:tr>
    </w:tbl>
    <w:p>
      <w:pPr>
        <w:pBdr/>
        <w:spacing/>
        <w:ind/>
        <w:rPr/>
      </w:pPr>
      <w:r/>
      <w:r/>
    </w:p>
    <w:p>
      <w:pPr>
        <w:pBdr>
          <w:left w:val="single" w:color="e87a1e" w:sz="48" w:space="8"/>
        </w:pBdr>
        <w:spacing w:after="160" w:before="160"/>
        <w:ind w:right="227" w:left="227"/>
        <w:rPr/>
      </w:pPr>
      <w:r>
        <w:rPr>
          <w:rFonts w:ascii="Calibri" w:hAnsi="Calibri"/>
          <w:b/>
          <w:i w:val="0"/>
          <w:color w:val="e87a1e"/>
          <w:sz w:val="20"/>
        </w:rPr>
        <w:t xml:space="preserve">⚠️  ATTENTION</w:t>
        <w:br/>
      </w:r>
      <w:r>
        <w:rPr>
          <w:rFonts w:ascii="Calibri" w:hAnsi="Calibri"/>
          <w:b w:val="0"/>
          <w:i/>
          <w:color w:val="343434"/>
          <w:sz w:val="22"/>
        </w:rPr>
        <w:t xml:space="preserve">L'année 2022 est absente du jeu de données. Les tendances annuelles doivent être interprétées en tenant compte de cette lacune temporelle.</w:t>
      </w:r>
      <w:r/>
    </w:p>
    <w:p>
      <w:pPr>
        <w:pStyle w:val="694"/>
        <w:pBdr/>
        <w:spacing w:after="80" w:before="280"/>
        <w:ind/>
        <w:rPr/>
      </w:pPr>
      <w:r>
        <w:rPr>
          <w:rFonts w:ascii="Calibri" w:hAnsi="Calibri"/>
          <w:b/>
          <w:color w:val="2a7ae2"/>
          <w:sz w:val="28"/>
        </w:rPr>
        <w:t xml:space="preserve">3. Fréquentation par Région</w:t>
      </w:r>
      <w:r/>
    </w:p>
    <w:p>
      <w:pPr>
        <w:pBdr/>
        <w:spacing w:after="80" w:before="0" w:line="276" w:lineRule="auto"/>
        <w:ind/>
        <w:rPr/>
      </w:pPr>
      <w:r>
        <w:rPr>
          <w:rFonts w:ascii="Calibri" w:hAnsi="Calibri"/>
          <w:b w:val="0"/>
          <w:i w:val="0"/>
          <w:color w:val="343434"/>
          <w:sz w:val="22"/>
        </w:rPr>
        <w:t xml:space="preserve">L'Île-de-France domine très largement la fréquentation nationale, concentrant à elle seule près de 69 % des visiteurs totaux.</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4320" w:type="dxa"/>
            <w:vAlign w:val="center"/>
            <w:textDirection w:val="lrTb"/>
            <w:noWrap w:val="false"/>
          </w:tcPr>
          <w:p>
            <w:pPr>
              <w:pBdr/>
              <w:spacing w:after="80" w:before="80"/>
              <w:ind/>
              <w:jc w:val="center"/>
              <w:rPr/>
            </w:pPr>
            <w:r>
              <w:rPr>
                <w:rFonts w:ascii="Calibri" w:hAnsi="Calibri"/>
                <w:b/>
                <w:i w:val="0"/>
                <w:color w:val="ffffff"/>
                <w:sz w:val="22"/>
              </w:rPr>
              <w:t xml:space="preserve">Région</w:t>
            </w:r>
            <w:r/>
          </w:p>
        </w:tc>
        <w:tc>
          <w:tcPr>
            <w:shd w:val="clear" w:color="auto" w:fill="1a3a5c"/>
            <w:tcBorders/>
            <w:tcW w:w="3168" w:type="dxa"/>
            <w:vAlign w:val="center"/>
            <w:textDirection w:val="lrTb"/>
            <w:noWrap w:val="false"/>
          </w:tcPr>
          <w:p>
            <w:pPr>
              <w:pBdr/>
              <w:spacing w:after="80" w:before="80"/>
              <w:ind/>
              <w:jc w:val="center"/>
              <w:rPr/>
            </w:pPr>
            <w:r>
              <w:rPr>
                <w:rFonts w:ascii="Calibri" w:hAnsi="Calibri"/>
                <w:b/>
                <w:i w:val="0"/>
                <w:color w:val="ffffff"/>
                <w:sz w:val="22"/>
              </w:rPr>
              <w:t xml:space="preserve">Total visiteurs</w:t>
            </w:r>
            <w:r/>
          </w:p>
        </w:tc>
        <w:tc>
          <w:tcPr>
            <w:shd w:val="clear" w:color="auto" w:fill="1a3a5c"/>
            <w:tcBorders/>
            <w:tcW w:w="2016" w:type="dxa"/>
            <w:vAlign w:val="center"/>
            <w:textDirection w:val="lrTb"/>
            <w:noWrap w:val="false"/>
          </w:tcPr>
          <w:p>
            <w:pPr>
              <w:pBdr/>
              <w:spacing w:after="80" w:before="80"/>
              <w:ind/>
              <w:jc w:val="center"/>
              <w:rPr/>
            </w:pPr>
            <w:r>
              <w:rPr>
                <w:rFonts w:ascii="Calibri" w:hAnsi="Calibri"/>
                <w:b/>
                <w:i w:val="0"/>
                <w:color w:val="ffffff"/>
                <w:sz w:val="22"/>
              </w:rPr>
              <w:t xml:space="preserve">Part (%)</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Île-de-France</w:t>
            </w:r>
            <w:r/>
          </w:p>
        </w:tc>
        <w:tc>
          <w:tcPr>
            <w:shd w:val="clear" w:color="auto" w:fill="ebf3fc"/>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9 920 000</w:t>
            </w:r>
            <w:r/>
          </w:p>
        </w:tc>
        <w:tc>
          <w:tcPr>
            <w:shd w:val="clear" w:color="auto" w:fill="ebf3fc"/>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68,6 %</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Auvergne-Rhône-Alpes</w:t>
            </w:r>
            <w:r/>
          </w:p>
        </w:tc>
        <w:tc>
          <w:tcPr>
            <w:shd w:val="clear" w:color="auto" w:fill="ffffff"/>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1 814 000</w:t>
            </w:r>
            <w:r/>
          </w:p>
        </w:tc>
        <w:tc>
          <w:tcPr>
            <w:shd w:val="clear" w:color="auto" w:fill="ffffff"/>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12,5 %</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Provence-Alpes-Côte d'Azur</w:t>
            </w:r>
            <w:r/>
          </w:p>
        </w:tc>
        <w:tc>
          <w:tcPr>
            <w:shd w:val="clear" w:color="auto" w:fill="ebf3fc"/>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1 586 000</w:t>
            </w:r>
            <w:r/>
          </w:p>
        </w:tc>
        <w:tc>
          <w:tcPr>
            <w:shd w:val="clear" w:color="auto" w:fill="ebf3fc"/>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11,0 %</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Occitanie</w:t>
            </w:r>
            <w:r/>
          </w:p>
        </w:tc>
        <w:tc>
          <w:tcPr>
            <w:shd w:val="clear" w:color="auto" w:fill="ffffff"/>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1 136 000</w:t>
            </w:r>
            <w:r/>
          </w:p>
        </w:tc>
        <w:tc>
          <w:tcPr>
            <w:shd w:val="clear" w:color="auto" w:fill="ffffff"/>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7,9 %</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TOTAL</w:t>
            </w:r>
            <w:r/>
          </w:p>
        </w:tc>
        <w:tc>
          <w:tcPr>
            <w:shd w:val="clear" w:color="auto" w:fill="ebf3fc"/>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14 456 000</w:t>
            </w:r>
            <w:r/>
          </w:p>
        </w:tc>
        <w:tc>
          <w:tcPr>
            <w:shd w:val="clear" w:color="auto" w:fill="ebf3fc"/>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100,0 %</w:t>
            </w:r>
            <w:r/>
          </w:p>
        </w:tc>
      </w:tr>
    </w:tbl>
    <w:p>
      <w:pPr>
        <w:pBdr/>
        <w:spacing/>
        <w:ind/>
        <w:rPr/>
      </w:pPr>
      <w:r/>
      <w:r/>
    </w:p>
    <w:p>
      <w:pPr>
        <w:pBdr>
          <w:left w:val="single" w:color="1e8a44" w:sz="48" w:space="8"/>
        </w:pBdr>
        <w:spacing w:after="160" w:before="160"/>
        <w:ind w:right="227" w:left="227"/>
        <w:rPr/>
      </w:pPr>
      <w:r>
        <w:rPr>
          <w:rFonts w:ascii="Calibri" w:hAnsi="Calibri"/>
          <w:b/>
          <w:i w:val="0"/>
          <w:color w:val="1e8a44"/>
          <w:sz w:val="20"/>
        </w:rPr>
        <w:t xml:space="preserve">💡 À RETENIR</w:t>
        <w:br/>
      </w:r>
      <w:r>
        <w:rPr>
          <w:rFonts w:ascii="Calibri" w:hAnsi="Calibri"/>
          <w:b w:val="0"/>
          <w:i/>
          <w:color w:val="343434"/>
          <w:sz w:val="22"/>
        </w:rPr>
        <w:t xml:space="preserve">La région parisienne capte plus des deux tiers du tourisme français, reflet de l'attractivité internationale de Paris. Les régions du sud représentent ensemble un levier de croissance important pour le tourisme territorial.</w:t>
      </w:r>
      <w:r/>
    </w:p>
    <w:p>
      <w:pPr>
        <w:pBdr/>
        <w:spacing w:after="40" w:before="120"/>
        <w:ind/>
        <w:jc w:val="center"/>
        <w:rPr/>
      </w:pPr>
      <w:r>
        <mc:AlternateContent>
          <mc:Choice Requires="wpg">
            <w:drawing>
              <wp:inline xmlns:wp="http://schemas.openxmlformats.org/drawingml/2006/wordprocessingDrawing" distT="0" distB="0" distL="0" distR="0">
                <wp:extent cx="5486400" cy="2101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siteurs_par_region.png"/>
                        <pic:cNvPicPr>
                          <a:picLocks noChangeAspect="1"/>
                        </pic:cNvPicPr>
                        <pic:nvPr/>
                      </pic:nvPicPr>
                      <pic:blipFill rotWithShape="1">
                        <a:blip r:embed="rId10"/>
                        <a:stretch/>
                      </pic:blipFill>
                      <pic:spPr bwMode="auto">
                        <a:xfrm>
                          <a:off x="0" y="0"/>
                          <a:ext cx="5486400" cy="21010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65.43pt;mso-wrap-distance-left:0.00pt;mso-wrap-distance-top:0.00pt;mso-wrap-distance-right:0.00pt;mso-wrap-distance-bottom:0.00pt;z-index:1;" stroked="false">
                <v:imagedata r:id="rId10" o:title=""/>
                <o:lock v:ext="edit" rotation="t"/>
              </v:shape>
            </w:pict>
          </mc:Fallback>
        </mc:AlternateContent>
      </w:r>
      <w:r/>
    </w:p>
    <w:p>
      <w:pPr>
        <w:pBdr/>
        <w:spacing w:after="200" w:before="0"/>
        <w:ind/>
        <w:jc w:val="center"/>
        <w:rPr/>
      </w:pPr>
      <w:r>
        <w:rPr>
          <w:rFonts w:ascii="Calibri" w:hAnsi="Calibri"/>
          <w:b w:val="0"/>
          <w:i/>
          <w:color w:val="6b6b6b"/>
          <w:sz w:val="18"/>
        </w:rPr>
        <w:t xml:space="preserve">Figure 1 — Total des visiteurs par région</w:t>
      </w:r>
      <w:r/>
    </w:p>
    <w:p>
      <w:pPr>
        <w:pStyle w:val="694"/>
        <w:pBdr/>
        <w:spacing w:after="80" w:before="280"/>
        <w:ind/>
        <w:rPr/>
      </w:pPr>
      <w:r>
        <w:rPr>
          <w:rFonts w:ascii="Calibri" w:hAnsi="Calibri"/>
          <w:b/>
          <w:color w:val="2a7ae2"/>
          <w:sz w:val="28"/>
        </w:rPr>
        <w:t xml:space="preserve">4. Évolution Annuelle de la Fréquentation</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016" w:type="dxa"/>
            <w:vAlign w:val="center"/>
            <w:textDirection w:val="lrTb"/>
            <w:noWrap w:val="false"/>
          </w:tcPr>
          <w:p>
            <w:pPr>
              <w:pBdr/>
              <w:spacing w:after="80" w:before="80"/>
              <w:ind/>
              <w:jc w:val="center"/>
              <w:rPr/>
            </w:pPr>
            <w:r>
              <w:rPr>
                <w:rFonts w:ascii="Calibri" w:hAnsi="Calibri"/>
                <w:b/>
                <w:i w:val="0"/>
                <w:color w:val="ffffff"/>
                <w:sz w:val="22"/>
              </w:rPr>
              <w:t xml:space="preserve">Année</w:t>
            </w:r>
            <w:r/>
          </w:p>
        </w:tc>
        <w:tc>
          <w:tcPr>
            <w:shd w:val="clear" w:color="auto" w:fill="1a3a5c"/>
            <w:tcBorders/>
            <w:tcW w:w="3456" w:type="dxa"/>
            <w:vAlign w:val="center"/>
            <w:textDirection w:val="lrTb"/>
            <w:noWrap w:val="false"/>
          </w:tcPr>
          <w:p>
            <w:pPr>
              <w:pBdr/>
              <w:spacing w:after="80" w:before="80"/>
              <w:ind/>
              <w:jc w:val="center"/>
              <w:rPr/>
            </w:pPr>
            <w:r>
              <w:rPr>
                <w:rFonts w:ascii="Calibri" w:hAnsi="Calibri"/>
                <w:b/>
                <w:i w:val="0"/>
                <w:color w:val="ffffff"/>
                <w:sz w:val="22"/>
              </w:rPr>
              <w:t xml:space="preserve">Total visiteurs</w:t>
            </w:r>
            <w:r/>
          </w:p>
        </w:tc>
        <w:tc>
          <w:tcPr>
            <w:shd w:val="clear" w:color="auto" w:fill="1a3a5c"/>
            <w:tcBorders/>
            <w:tcW w:w="3456" w:type="dxa"/>
            <w:vAlign w:val="center"/>
            <w:textDirection w:val="lrTb"/>
            <w:noWrap w:val="false"/>
          </w:tcPr>
          <w:p>
            <w:pPr>
              <w:pBdr/>
              <w:spacing w:after="80" w:before="80"/>
              <w:ind/>
              <w:jc w:val="center"/>
              <w:rPr/>
            </w:pPr>
            <w:r>
              <w:rPr>
                <w:rFonts w:ascii="Calibri" w:hAnsi="Calibri"/>
                <w:b/>
                <w:i w:val="0"/>
                <w:color w:val="ffffff"/>
                <w:sz w:val="22"/>
              </w:rPr>
              <w:t xml:space="preserve">Variation N-1</w:t>
            </w:r>
            <w:r/>
          </w:p>
        </w:tc>
      </w:tr>
      <w:tr>
        <w:trPr/>
        <w:tc>
          <w:tcPr>
            <w:shd w:val="clear" w:color="auto" w:fill="ebf3fc"/>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2019</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55 000</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w:t>
            </w:r>
            <w:r/>
          </w:p>
        </w:tc>
      </w:tr>
      <w:tr>
        <w:trPr/>
        <w:tc>
          <w:tcPr>
            <w:shd w:val="clear" w:color="auto" w:fill="ffffff"/>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2020</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395 000</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+618 %</w:t>
            </w:r>
            <w:r/>
          </w:p>
        </w:tc>
      </w:tr>
      <w:tr>
        <w:trPr/>
        <w:tc>
          <w:tcPr>
            <w:shd w:val="clear" w:color="auto" w:fill="ebf3fc"/>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2021</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2 618 000</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+563 %</w:t>
            </w:r>
            <w:r/>
          </w:p>
        </w:tc>
      </w:tr>
      <w:tr>
        <w:trPr/>
        <w:tc>
          <w:tcPr>
            <w:shd w:val="clear" w:color="auto" w:fill="ffffff"/>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2023</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11 388 000</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+335 %</w:t>
            </w:r>
            <w:r/>
          </w:p>
        </w:tc>
      </w:tr>
    </w:tbl>
    <w:p>
      <w:pPr>
        <w:pBdr/>
        <w:spacing/>
        <w:ind/>
        <w:rPr/>
      </w:pPr>
      <w:r/>
      <w:r/>
    </w:p>
    <w:p>
      <w:pPr>
        <w:pBdr/>
        <w:spacing w:after="80" w:before="0" w:line="276" w:lineRule="auto"/>
        <w:ind/>
        <w:rPr/>
      </w:pPr>
      <w:r>
        <w:rPr>
          <w:rFonts w:ascii="Calibri" w:hAnsi="Calibri"/>
          <w:b w:val="0"/>
          <w:i w:val="0"/>
          <w:color w:val="343434"/>
          <w:sz w:val="22"/>
        </w:rPr>
        <w:t xml:space="preserve">Lecture des données :</w:t>
      </w:r>
      <w:r/>
    </w:p>
    <w:p>
      <w:pPr>
        <w:pStyle w:val="723"/>
        <w:pBdr/>
        <w:spacing w:after="40"/>
        <w:ind w:left="283"/>
        <w:rPr/>
      </w:pPr>
      <w:r>
        <w:rPr>
          <w:rFonts w:ascii="Calibri" w:hAnsi="Calibri"/>
          <w:b w:val="0"/>
          <w:i w:val="0"/>
          <w:color w:val="343434"/>
          <w:sz w:val="22"/>
        </w:rPr>
        <w:t xml:space="preserve">2019 : Données partielles — faible volume enregistré.</w:t>
      </w:r>
      <w:r/>
    </w:p>
    <w:p>
      <w:pPr>
        <w:pStyle w:val="723"/>
        <w:pBdr/>
        <w:spacing w:after="40"/>
        <w:ind w:left="283"/>
        <w:rPr/>
      </w:pPr>
      <w:r>
        <w:rPr>
          <w:rFonts w:ascii="Calibri" w:hAnsi="Calibri"/>
          <w:b w:val="0"/>
          <w:i w:val="0"/>
          <w:color w:val="343434"/>
          <w:sz w:val="22"/>
        </w:rPr>
        <w:t xml:space="preserve">2020 : Début d'enregistrement systématique malgré les restrictions COVID-19 qui ont fortement limité le tourisme international.</w:t>
      </w:r>
      <w:r/>
    </w:p>
    <w:p>
      <w:pPr>
        <w:pStyle w:val="723"/>
        <w:pBdr/>
        <w:spacing w:after="40"/>
        <w:ind w:left="283"/>
        <w:rPr/>
      </w:pPr>
      <w:r>
        <w:rPr>
          <w:rFonts w:ascii="Calibri" w:hAnsi="Calibri"/>
          <w:b w:val="0"/>
          <w:i w:val="0"/>
          <w:color w:val="343434"/>
          <w:sz w:val="22"/>
        </w:rPr>
        <w:t xml:space="preserve">2021 : Reprise progressive avec effet de rattrapage post-pandémique. Réouverture des frontières européennes.</w:t>
      </w:r>
      <w:r/>
    </w:p>
    <w:p>
      <w:pPr>
        <w:pStyle w:val="723"/>
        <w:pBdr/>
        <w:spacing w:after="40"/>
        <w:ind w:left="283"/>
        <w:rPr/>
      </w:pPr>
      <w:r>
        <w:rPr>
          <w:rFonts w:ascii="Calibri" w:hAnsi="Calibri"/>
          <w:b w:val="0"/>
          <w:i w:val="0"/>
          <w:color w:val="343434"/>
          <w:sz w:val="22"/>
        </w:rPr>
        <w:t xml:space="preserve">2023 : Retour en force du tourisme. Avec plus de 11 millions de visiteurs, 2023 marque un niveau record dans le jeu de données.</w:t>
      </w:r>
      <w:r/>
    </w:p>
    <w:p>
      <w:pPr>
        <w:pBdr/>
        <w:spacing w:after="40" w:before="120"/>
        <w:ind/>
        <w:jc w:val="center"/>
        <w:rPr/>
      </w:pPr>
      <w:r>
        <mc:AlternateContent>
          <mc:Choice Requires="wpg">
            <w:drawing>
              <wp:inline xmlns:wp="http://schemas.openxmlformats.org/drawingml/2006/wordprocessingDrawing" distT="0" distB="0" distL="0" distR="0">
                <wp:extent cx="54864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siteurs_par_annee.png"/>
                        <pic:cNvPicPr>
                          <a:picLocks noChangeAspect="1"/>
                        </pic:cNvPicPr>
                        <pic:nvPr/>
                      </pic:nvPicPr>
                      <pic:blipFill rotWithShape="1">
                        <a:blip r:embed="rId11"/>
                        <a:stretch/>
                      </pic:blipFill>
                      <pic:spPr bwMode="auto">
                        <a:xfrm>
                          <a:off x="0" y="0"/>
                          <a:ext cx="5486400" cy="3352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64.00pt;mso-wrap-distance-left:0.00pt;mso-wrap-distance-top:0.00pt;mso-wrap-distance-right:0.00pt;mso-wrap-distance-bottom:0.00pt;z-index:1;" stroked="false">
                <v:imagedata r:id="rId11" o:title=""/>
                <o:lock v:ext="edit" rotation="t"/>
              </v:shape>
            </w:pict>
          </mc:Fallback>
        </mc:AlternateContent>
      </w:r>
      <w:r/>
    </w:p>
    <w:p>
      <w:pPr>
        <w:pBdr/>
        <w:spacing w:after="200" w:before="0"/>
        <w:ind/>
        <w:jc w:val="center"/>
        <w:rPr/>
      </w:pPr>
      <w:r>
        <w:rPr>
          <w:rFonts w:ascii="Calibri" w:hAnsi="Calibri"/>
          <w:b w:val="0"/>
          <w:i/>
          <w:color w:val="6b6b6b"/>
          <w:sz w:val="18"/>
        </w:rPr>
        <w:t xml:space="preserve">Figure 2 — Évolution annuelle du nombre de visiteurs</w:t>
      </w:r>
      <w:r/>
    </w:p>
    <w:p>
      <w:pPr>
        <w:pStyle w:val="694"/>
        <w:pBdr/>
        <w:spacing w:after="80" w:before="280"/>
        <w:ind/>
        <w:rPr/>
      </w:pPr>
      <w:r>
        <w:rPr>
          <w:rFonts w:ascii="Calibri" w:hAnsi="Calibri"/>
          <w:b/>
          <w:color w:val="2a7ae2"/>
          <w:sz w:val="28"/>
        </w:rPr>
        <w:t xml:space="preserve">5. Saisonnalité Mensuelle</w:t>
      </w:r>
      <w:r/>
    </w:p>
    <w:p>
      <w:pPr>
        <w:pBdr/>
        <w:spacing w:after="80" w:before="0" w:line="276" w:lineRule="auto"/>
        <w:ind/>
        <w:rPr/>
      </w:pPr>
      <w:r>
        <w:rPr>
          <w:rFonts w:ascii="Calibri" w:hAnsi="Calibri"/>
          <w:b w:val="0"/>
          <w:i w:val="0"/>
          <w:color w:val="343434"/>
          <w:sz w:val="22"/>
        </w:rPr>
        <w:t xml:space="preserve">L'analyse des moyennes mensuelles sur l'ensemble des régions révèle une saisonnalité estivale très marquée. La haute saison (juillet–septembre) concentre la majorité des flux.</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1152" w:type="dxa"/>
            <w:vAlign w:val="center"/>
            <w:textDirection w:val="lrTb"/>
            <w:noWrap w:val="false"/>
          </w:tcPr>
          <w:p>
            <w:pPr>
              <w:pBdr/>
              <w:spacing w:after="80" w:before="80"/>
              <w:ind/>
              <w:jc w:val="center"/>
              <w:rPr/>
            </w:pPr>
            <w:r>
              <w:rPr>
                <w:rFonts w:ascii="Calibri" w:hAnsi="Calibri"/>
                <w:b/>
                <w:i w:val="0"/>
                <w:color w:val="ffffff"/>
                <w:sz w:val="22"/>
              </w:rPr>
              <w:t xml:space="preserve">Rang</w:t>
            </w:r>
            <w:r/>
          </w:p>
        </w:tc>
        <w:tc>
          <w:tcPr>
            <w:shd w:val="clear" w:color="auto" w:fill="1a3a5c"/>
            <w:tcBorders/>
            <w:tcW w:w="2880" w:type="dxa"/>
            <w:vAlign w:val="center"/>
            <w:textDirection w:val="lrTb"/>
            <w:noWrap w:val="false"/>
          </w:tcPr>
          <w:p>
            <w:pPr>
              <w:pBdr/>
              <w:spacing w:after="80" w:before="80"/>
              <w:ind/>
              <w:jc w:val="center"/>
              <w:rPr/>
            </w:pPr>
            <w:r>
              <w:rPr>
                <w:rFonts w:ascii="Calibri" w:hAnsi="Calibri"/>
                <w:b/>
                <w:i w:val="0"/>
                <w:color w:val="ffffff"/>
                <w:sz w:val="22"/>
              </w:rPr>
              <w:t xml:space="preserve">Mois</w:t>
            </w:r>
            <w:r/>
          </w:p>
        </w:tc>
        <w:tc>
          <w:tcPr>
            <w:shd w:val="clear" w:color="auto" w:fill="1a3a5c"/>
            <w:tcBorders/>
            <w:tcW w:w="3168" w:type="dxa"/>
            <w:vAlign w:val="center"/>
            <w:textDirection w:val="lrTb"/>
            <w:noWrap w:val="false"/>
          </w:tcPr>
          <w:p>
            <w:pPr>
              <w:pBdr/>
              <w:spacing w:after="80" w:before="80"/>
              <w:ind/>
              <w:jc w:val="center"/>
              <w:rPr/>
            </w:pPr>
            <w:r>
              <w:rPr>
                <w:rFonts w:ascii="Calibri" w:hAnsi="Calibri"/>
                <w:b/>
                <w:i w:val="0"/>
                <w:color w:val="ffffff"/>
                <w:sz w:val="22"/>
              </w:rPr>
              <w:t xml:space="preserve">Visiteurs moyens</w:t>
            </w:r>
            <w:r/>
          </w:p>
        </w:tc>
      </w:tr>
      <w:tr>
        <w:trPr/>
        <w:tc>
          <w:tcPr>
            <w:shd w:val="clear" w:color="auto" w:fill="ebf3fc"/>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1</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Août</w:t>
            </w:r>
            <w:r/>
          </w:p>
        </w:tc>
        <w:tc>
          <w:tcPr>
            <w:shd w:val="clear" w:color="auto" w:fill="ebf3fc"/>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295 000</w:t>
            </w:r>
            <w:r/>
          </w:p>
        </w:tc>
      </w:tr>
      <w:tr>
        <w:trPr/>
        <w:tc>
          <w:tcPr>
            <w:shd w:val="clear" w:color="auto" w:fill="ffffff"/>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2</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Juillet</w:t>
            </w:r>
            <w:r/>
          </w:p>
        </w:tc>
        <w:tc>
          <w:tcPr>
            <w:shd w:val="clear" w:color="auto" w:fill="ffffff"/>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263 750</w:t>
            </w:r>
            <w:r/>
          </w:p>
        </w:tc>
      </w:tr>
      <w:tr>
        <w:trPr/>
        <w:tc>
          <w:tcPr>
            <w:shd w:val="clear" w:color="auto" w:fill="ebf3fc"/>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3</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Septembre</w:t>
            </w:r>
            <w:r/>
          </w:p>
        </w:tc>
        <w:tc>
          <w:tcPr>
            <w:shd w:val="clear" w:color="auto" w:fill="ebf3fc"/>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222 500</w:t>
            </w:r>
            <w:r/>
          </w:p>
        </w:tc>
      </w:tr>
      <w:tr>
        <w:trPr/>
        <w:tc>
          <w:tcPr>
            <w:shd w:val="clear" w:color="auto" w:fill="ffffff"/>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4</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Juin</w:t>
            </w:r>
            <w:r/>
          </w:p>
        </w:tc>
        <w:tc>
          <w:tcPr>
            <w:shd w:val="clear" w:color="auto" w:fill="ffffff"/>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~180 000</w:t>
            </w:r>
            <w:r/>
          </w:p>
        </w:tc>
      </w:tr>
      <w:tr>
        <w:trPr/>
        <w:tc>
          <w:tcPr>
            <w:shd w:val="clear" w:color="auto" w:fill="ebf3fc"/>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5</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Octobre</w:t>
            </w:r>
            <w:r/>
          </w:p>
        </w:tc>
        <w:tc>
          <w:tcPr>
            <w:shd w:val="clear" w:color="auto" w:fill="ebf3fc"/>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~130 000</w:t>
            </w:r>
            <w:r/>
          </w:p>
        </w:tc>
      </w:tr>
      <w:tr>
        <w:trPr/>
        <w:tc>
          <w:tcPr>
            <w:shd w:val="clear" w:color="auto" w:fill="ffffff"/>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Déc–Fév</w:t>
            </w:r>
            <w:r/>
          </w:p>
        </w:tc>
        <w:tc>
          <w:tcPr>
            <w:shd w:val="clear" w:color="auto" w:fill="ffffff"/>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~60 000</w:t>
            </w:r>
            <w:r/>
          </w:p>
        </w:tc>
      </w:tr>
    </w:tbl>
    <w:p>
      <w:pPr>
        <w:pBdr/>
        <w:spacing/>
        <w:ind/>
        <w:rPr/>
      </w:pPr>
      <w:r/>
      <w:r/>
    </w:p>
    <w:p>
      <w:pPr>
        <w:pBdr>
          <w:left w:val="single" w:color="1e8a44" w:sz="48" w:space="8"/>
        </w:pBdr>
        <w:spacing w:after="160" w:before="160"/>
        <w:ind w:right="227" w:left="227"/>
        <w:rPr/>
      </w:pPr>
      <w:r>
        <w:rPr>
          <w:rFonts w:ascii="Calibri" w:hAnsi="Calibri"/>
          <w:b/>
          <w:i w:val="0"/>
          <w:color w:val="1e8a44"/>
          <w:sz w:val="20"/>
        </w:rPr>
        <w:t xml:space="preserve">💡 À RETENIR</w:t>
        <w:br/>
      </w:r>
      <w:r>
        <w:rPr>
          <w:rFonts w:ascii="Calibri" w:hAnsi="Calibri"/>
          <w:b w:val="0"/>
          <w:i/>
          <w:color w:val="343434"/>
          <w:sz w:val="22"/>
        </w:rPr>
        <w:t xml:space="preserve">Le mois d'août enregistre une fréquentation près de 5 fois supérieure aux mois creux de janvier/février. La saison basse représente un levier de développement pour le tourisme de niche (city-break, thermalisme, ski).</w:t>
      </w:r>
      <w:r/>
    </w:p>
    <w:p>
      <w:pPr>
        <w:pBdr/>
        <w:spacing w:after="40" w:before="120"/>
        <w:ind/>
        <w:jc w:val="center"/>
        <w:rPr/>
      </w:pPr>
      <w:r>
        <mc:AlternateContent>
          <mc:Choice Requires="wpg">
            <w:drawing>
              <wp:inline xmlns:wp="http://schemas.openxmlformats.org/drawingml/2006/wordprocessingDrawing" distT="0" distB="0" distL="0" distR="0">
                <wp:extent cx="5486400" cy="2429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isonnalite_mensuelle.png"/>
                        <pic:cNvPicPr>
                          <a:picLocks noChangeAspect="1"/>
                        </pic:cNvPicPr>
                        <pic:nvPr/>
                      </pic:nvPicPr>
                      <pic:blipFill rotWithShape="1">
                        <a:blip r:embed="rId12"/>
                        <a:stretch/>
                      </pic:blipFill>
                      <pic:spPr bwMode="auto">
                        <a:xfrm>
                          <a:off x="0" y="0"/>
                          <a:ext cx="5486400" cy="24297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191.32pt;mso-wrap-distance-left:0.00pt;mso-wrap-distance-top:0.00pt;mso-wrap-distance-right:0.00pt;mso-wrap-distance-bottom:0.00pt;z-index:1;" stroked="false">
                <v:imagedata r:id="rId12" o:title=""/>
                <o:lock v:ext="edit" rotation="t"/>
              </v:shape>
            </w:pict>
          </mc:Fallback>
        </mc:AlternateContent>
      </w:r>
      <w:r/>
    </w:p>
    <w:p>
      <w:pPr>
        <w:pBdr/>
        <w:spacing w:after="200" w:before="0"/>
        <w:ind/>
        <w:jc w:val="center"/>
        <w:rPr/>
      </w:pPr>
      <w:r>
        <w:rPr>
          <w:rFonts w:ascii="Calibri" w:hAnsi="Calibri"/>
          <w:b w:val="0"/>
          <w:i/>
          <w:color w:val="6b6b6b"/>
          <w:sz w:val="18"/>
        </w:rPr>
        <w:t xml:space="preserve">Figure 3 — Saisonnalité mensuelle (moyenne toutes régions)</w:t>
      </w:r>
      <w:r/>
    </w:p>
    <w:p>
      <w:pPr>
        <w:pStyle w:val="694"/>
        <w:pBdr/>
        <w:spacing w:after="80" w:before="280"/>
        <w:ind/>
        <w:rPr/>
      </w:pPr>
      <w:r>
        <w:rPr>
          <w:rFonts w:ascii="Calibri" w:hAnsi="Calibri"/>
          <w:b/>
          <w:color w:val="2a7ae2"/>
          <w:sz w:val="28"/>
        </w:rPr>
        <w:t xml:space="preserve">6. Dépense Moyenne par Visiteur et par Région</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Région</w:t>
            </w:r>
            <w:r/>
          </w:p>
        </w:tc>
        <w:tc>
          <w:tcPr>
            <w:shd w:val="clear" w:color="auto" w:fill="1a3a5c"/>
            <w:tcBorders/>
            <w:tcW w:w="3456" w:type="dxa"/>
            <w:vAlign w:val="center"/>
            <w:textDirection w:val="lrTb"/>
            <w:noWrap w:val="false"/>
          </w:tcPr>
          <w:p>
            <w:pPr>
              <w:pBdr/>
              <w:spacing w:after="80" w:before="80"/>
              <w:ind/>
              <w:jc w:val="center"/>
              <w:rPr/>
            </w:pPr>
            <w:r>
              <w:rPr>
                <w:rFonts w:ascii="Calibri" w:hAnsi="Calibri"/>
                <w:b/>
                <w:i w:val="0"/>
                <w:color w:val="ffffff"/>
                <w:sz w:val="22"/>
              </w:rPr>
              <w:t xml:space="preserve">Dépense moyenne (€)</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Île-de-France</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175,04 €</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Provence-Alpes-Côte d'Azur</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105,92 €</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Auvergne-Rhône-Alpes</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97,12 €</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Occitanie</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88,36 €</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Moyenne nationale</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116,61 €</w:t>
            </w:r>
            <w:r/>
          </w:p>
        </w:tc>
      </w:tr>
    </w:tbl>
    <w:p>
      <w:pPr>
        <w:pBdr/>
        <w:spacing/>
        <w:ind/>
        <w:rPr/>
      </w:pPr>
      <w:r/>
      <w:r/>
    </w:p>
    <w:p>
      <w:pPr>
        <w:pBdr/>
        <w:spacing w:after="80" w:before="0" w:line="276" w:lineRule="auto"/>
        <w:ind/>
        <w:rPr/>
      </w:pPr>
      <w:r>
        <w:rPr>
          <w:rFonts w:ascii="Calibri" w:hAnsi="Calibri"/>
          <w:b w:val="0"/>
          <w:i w:val="0"/>
          <w:color w:val="343434"/>
          <w:sz w:val="22"/>
        </w:rPr>
        <w:t xml:space="preserve">Les visiteurs de</w:t>
      </w:r>
      <w:r>
        <w:rPr>
          <w:rFonts w:ascii="Calibri" w:hAnsi="Calibri"/>
          <w:b w:val="0"/>
          <w:i w:val="0"/>
          <w:color w:val="343434"/>
          <w:sz w:val="22"/>
        </w:rPr>
        <w:t xml:space="preserve"> la région parisienne dépensent en moyenne 98 % de plus que ceux d'Occitanie, soit presque le double. Cette différence s'explique par le profil international du touriste parisien, les tarifs hôteliers plus élevés et un panier moyen d'achats plus important.</w:t>
      </w:r>
      <w:r/>
    </w:p>
    <w:p>
      <w:pPr>
        <w:pBdr/>
        <w:spacing w:after="40" w:before="120"/>
        <w:ind/>
        <w:jc w:val="center"/>
        <w:rPr/>
      </w:pPr>
      <w:r>
        <mc:AlternateContent>
          <mc:Choice Requires="wpg">
            <w:drawing>
              <wp:inline xmlns:wp="http://schemas.openxmlformats.org/drawingml/2006/wordprocessingDrawing" distT="0" distB="0" distL="0" distR="0">
                <wp:extent cx="5486400" cy="2107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pense_par_region.png"/>
                        <pic:cNvPicPr>
                          <a:picLocks noChangeAspect="1"/>
                        </pic:cNvPicPr>
                        <pic:nvPr/>
                      </pic:nvPicPr>
                      <pic:blipFill rotWithShape="1">
                        <a:blip r:embed="rId13"/>
                        <a:stretch/>
                      </pic:blipFill>
                      <pic:spPr bwMode="auto">
                        <a:xfrm>
                          <a:off x="0" y="0"/>
                          <a:ext cx="5486400" cy="2107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165.91pt;mso-wrap-distance-left:0.00pt;mso-wrap-distance-top:0.00pt;mso-wrap-distance-right:0.00pt;mso-wrap-distance-bottom:0.00pt;z-index:1;" stroked="false">
                <v:imagedata r:id="rId13" o:title=""/>
                <o:lock v:ext="edit" rotation="t"/>
              </v:shape>
            </w:pict>
          </mc:Fallback>
        </mc:AlternateContent>
      </w:r>
      <w:r/>
    </w:p>
    <w:p>
      <w:pPr>
        <w:pBdr/>
        <w:spacing w:after="200" w:before="0"/>
        <w:ind/>
        <w:jc w:val="center"/>
        <w:rPr/>
      </w:pPr>
      <w:r>
        <w:rPr>
          <w:rFonts w:ascii="Calibri" w:hAnsi="Calibri"/>
          <w:b w:val="0"/>
          <w:i/>
          <w:color w:val="6b6b6b"/>
          <w:sz w:val="18"/>
        </w:rPr>
        <w:t xml:space="preserve">Figure 4 — Dépense moyenne par région (€)</w:t>
      </w:r>
      <w:r/>
    </w:p>
    <w:p w14:paraId="46E27A06">
      <w:pPr>
        <w:pStyle w:val="694"/>
        <w:pBdr/>
        <w:spacing w:after="80" w:before="280"/>
        <w:ind/>
        <w:rPr/>
      </w:pPr>
      <w:r>
        <w:rPr>
          <w:rFonts w:ascii="Calibri" w:hAnsi="Calibri"/>
          <w:b/>
          <w:color w:val="2a7ae2"/>
          <w:sz w:val="28"/>
          <w:highlight w:val="none"/>
        </w:rPr>
      </w:r>
      <w:r>
        <w:rPr>
          <w:rFonts w:ascii="Calibri" w:hAnsi="Calibri"/>
          <w:b/>
          <w:color w:val="2a7ae2"/>
          <w:sz w:val="28"/>
          <w:highlight w:val="none"/>
        </w:rPr>
      </w:r>
      <w:r>
        <w:rPr>
          <w:rFonts w:ascii="Calibri" w:hAnsi="Calibri"/>
          <w:b/>
          <w:color w:val="2a7ae2"/>
          <w:sz w:val="28"/>
          <w:highlight w:val="none"/>
        </w:rPr>
      </w:r>
    </w:p>
    <w:p>
      <w:pPr>
        <w:pStyle w:val="694"/>
        <w:pBdr/>
        <w:spacing w:after="80" w:before="280"/>
        <w:ind/>
        <w:rPr>
          <w:rFonts w:ascii="Calibri" w:hAnsi="Calibri"/>
          <w:b/>
          <w:bCs/>
          <w:color w:val="2a7ae2"/>
          <w:sz w:val="28"/>
          <w:szCs w:val="28"/>
          <w:highlight w:val="none"/>
        </w:rPr>
      </w:pPr>
      <w:r>
        <w:rPr>
          <w:rFonts w:ascii="Calibri" w:hAnsi="Calibri"/>
          <w:b/>
          <w:color w:val="2a7ae2"/>
          <w:sz w:val="28"/>
        </w:rPr>
        <w:t xml:space="preserve">7. Répartition par Type d'Hébergement</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3744" w:type="dxa"/>
            <w:vAlign w:val="center"/>
            <w:textDirection w:val="lrTb"/>
            <w:noWrap w:val="false"/>
          </w:tcPr>
          <w:p>
            <w:pPr>
              <w:pBdr/>
              <w:spacing w:after="80" w:before="80"/>
              <w:ind/>
              <w:jc w:val="center"/>
              <w:rPr/>
            </w:pPr>
            <w:r>
              <w:rPr>
                <w:rFonts w:ascii="Calibri" w:hAnsi="Calibri"/>
                <w:b/>
                <w:i w:val="0"/>
                <w:color w:val="ffffff"/>
                <w:sz w:val="22"/>
              </w:rPr>
              <w:t xml:space="preserve">Type d'hébergement</w:t>
            </w:r>
            <w:r/>
          </w:p>
        </w:tc>
        <w:tc>
          <w:tcPr>
            <w:shd w:val="clear" w:color="auto" w:fill="1a3a5c"/>
            <w:tcBorders/>
            <w:tcW w:w="3456" w:type="dxa"/>
            <w:vAlign w:val="center"/>
            <w:textDirection w:val="lrTb"/>
            <w:noWrap w:val="false"/>
          </w:tcPr>
          <w:p>
            <w:pPr>
              <w:pBdr/>
              <w:spacing w:after="80" w:before="80"/>
              <w:ind/>
              <w:jc w:val="center"/>
              <w:rPr/>
            </w:pPr>
            <w:r>
              <w:rPr>
                <w:rFonts w:ascii="Calibri" w:hAnsi="Calibri"/>
                <w:b/>
                <w:i w:val="0"/>
                <w:color w:val="ffffff"/>
                <w:sz w:val="22"/>
              </w:rPr>
              <w:t xml:space="preserve">Total visiteurs</w:t>
            </w:r>
            <w:r/>
          </w:p>
        </w:tc>
        <w:tc>
          <w:tcPr>
            <w:shd w:val="clear" w:color="auto" w:fill="1a3a5c"/>
            <w:tcBorders/>
            <w:tcW w:w="2304" w:type="dxa"/>
            <w:vAlign w:val="center"/>
            <w:textDirection w:val="lrTb"/>
            <w:noWrap w:val="false"/>
          </w:tcPr>
          <w:p>
            <w:pPr>
              <w:pBdr/>
              <w:spacing w:after="80" w:before="80"/>
              <w:ind/>
              <w:jc w:val="center"/>
              <w:rPr/>
            </w:pPr>
            <w:r>
              <w:rPr>
                <w:rFonts w:ascii="Calibri" w:hAnsi="Calibri"/>
                <w:b/>
                <w:i w:val="0"/>
                <w:color w:val="ffffff"/>
                <w:sz w:val="22"/>
              </w:rPr>
              <w:t xml:space="preserve">Part (%)</w:t>
            </w:r>
            <w:r/>
          </w:p>
        </w:tc>
      </w:tr>
      <w:tr>
        <w:trPr/>
        <w:tc>
          <w:tcPr>
            <w:shd w:val="clear" w:color="auto" w:fill="ebf3fc"/>
            <w:tcBorders/>
            <w:tcW w:w="3744" w:type="dxa"/>
            <w:vAlign w:val="center"/>
            <w:textDirection w:val="lrTb"/>
            <w:noWrap w:val="false"/>
          </w:tcPr>
          <w:p>
            <w:pPr>
              <w:pBdr/>
              <w:spacing w:after="60" w:before="60"/>
              <w:ind/>
              <w:jc w:val="center"/>
              <w:rPr/>
            </w:pPr>
            <w:r>
              <w:rPr>
                <w:rFonts w:ascii="Calibri" w:hAnsi="Calibri"/>
                <w:b w:val="0"/>
                <w:i w:val="0"/>
                <w:color w:val="343434"/>
                <w:sz w:val="22"/>
              </w:rPr>
              <w:t xml:space="preserve">Hôtel</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13 426 000</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92,9 %</w:t>
            </w:r>
            <w:r/>
          </w:p>
        </w:tc>
      </w:tr>
      <w:tr>
        <w:trPr/>
        <w:tc>
          <w:tcPr>
            <w:shd w:val="clear" w:color="auto" w:fill="ffffff"/>
            <w:tcBorders/>
            <w:tcW w:w="3744" w:type="dxa"/>
            <w:vAlign w:val="center"/>
            <w:textDirection w:val="lrTb"/>
            <w:noWrap w:val="false"/>
          </w:tcPr>
          <w:p>
            <w:pPr>
              <w:pBdr/>
              <w:spacing w:after="60" w:before="60"/>
              <w:ind/>
              <w:jc w:val="center"/>
              <w:rPr/>
            </w:pPr>
            <w:r>
              <w:rPr>
                <w:rFonts w:ascii="Calibri" w:hAnsi="Calibri"/>
                <w:b w:val="0"/>
                <w:i w:val="0"/>
                <w:color w:val="343434"/>
                <w:sz w:val="22"/>
              </w:rPr>
              <w:t xml:space="preserve">Camping</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1 030 000</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7,1 %</w:t>
            </w:r>
            <w:r/>
          </w:p>
        </w:tc>
      </w:tr>
      <w:tr>
        <w:trPr/>
        <w:tc>
          <w:tcPr>
            <w:shd w:val="clear" w:color="auto" w:fill="ebf3fc"/>
            <w:tcBorders/>
            <w:tcW w:w="3744" w:type="dxa"/>
            <w:vAlign w:val="center"/>
            <w:textDirection w:val="lrTb"/>
            <w:noWrap w:val="false"/>
          </w:tcPr>
          <w:p>
            <w:pPr>
              <w:pBdr/>
              <w:spacing w:after="60" w:before="60"/>
              <w:ind/>
              <w:jc w:val="center"/>
              <w:rPr/>
            </w:pPr>
            <w:r>
              <w:rPr>
                <w:rFonts w:ascii="Calibri" w:hAnsi="Calibri"/>
                <w:b w:val="0"/>
                <w:i w:val="0"/>
                <w:color w:val="343434"/>
                <w:sz w:val="22"/>
              </w:rPr>
              <w:t xml:space="preserve">TOTAL</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14 456 000</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100,0 %</w:t>
            </w:r>
            <w:r/>
          </w:p>
        </w:tc>
      </w:tr>
    </w:tbl>
    <w:p>
      <w:pPr>
        <w:pBdr/>
        <w:spacing/>
        <w:ind/>
        <w:rPr/>
      </w:pPr>
      <w:r/>
      <w:r/>
    </w:p>
    <w:p>
      <w:pPr>
        <w:pBdr/>
        <w:spacing w:after="80" w:before="0" w:line="276" w:lineRule="auto"/>
        <w:ind/>
        <w:rPr/>
      </w:pPr>
      <w:r>
        <w:rPr>
          <w:rFonts w:ascii="Calibri" w:hAnsi="Calibri"/>
          <w:b w:val="0"/>
          <w:i w:val="0"/>
          <w:color w:val="343434"/>
          <w:sz w:val="22"/>
        </w:rPr>
        <w:t xml:space="preserve">L'hôtellerie représente plus de 9 visiteurs sur 10. Le camping, bien que minoritaire, est disproportionnellement présent dans les régions du sud où le tourisme de plein air est une tradition forte.</w:t>
      </w:r>
      <w:r/>
    </w:p>
    <w:p>
      <w:pPr>
        <w:pBdr>
          <w:left w:val="single" w:color="e87a1e" w:sz="48" w:space="8"/>
        </w:pBdr>
        <w:spacing w:after="160" w:before="160"/>
        <w:ind w:right="227" w:left="227"/>
        <w:rPr/>
      </w:pPr>
      <w:r>
        <w:rPr>
          <w:rFonts w:ascii="Calibri" w:hAnsi="Calibri"/>
          <w:b/>
          <w:i w:val="0"/>
          <w:color w:val="e87a1e"/>
          <w:sz w:val="20"/>
        </w:rPr>
        <w:t xml:space="preserve">⚠️  LIMITE</w:t>
        <w:br/>
      </w:r>
      <w:r>
        <w:rPr>
          <w:rFonts w:ascii="Calibri" w:hAnsi="Calibri"/>
          <w:b w:val="0"/>
          <w:i/>
          <w:color w:val="343434"/>
          <w:sz w:val="22"/>
        </w:rPr>
        <w:t xml:space="preserve">L'essor des plateformes de location courte durée (Airbnb, Abritel…) n'est pas reflété dans ce jeu de données et constitue une donnée manquante pour une analyse complète.</w:t>
      </w:r>
      <w:r/>
    </w:p>
    <w:p>
      <w:pPr>
        <w:pBdr/>
        <w:spacing w:after="40" w:before="120"/>
        <w:ind/>
        <w:jc w:val="center"/>
        <w:rPr/>
      </w:pPr>
      <w:r>
        <mc:AlternateContent>
          <mc:Choice Requires="wpg">
            <w:drawing>
              <wp:inline xmlns:wp="http://schemas.openxmlformats.org/drawingml/2006/wordprocessingDrawing" distT="0" distB="0" distL="0" distR="0">
                <wp:extent cx="4114800" cy="4256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artition_hebergement.png"/>
                        <pic:cNvPicPr>
                          <a:picLocks noChangeAspect="1"/>
                        </pic:cNvPicPr>
                        <pic:nvPr/>
                      </pic:nvPicPr>
                      <pic:blipFill rotWithShape="1">
                        <a:blip r:embed="rId14"/>
                        <a:stretch/>
                      </pic:blipFill>
                      <pic:spPr bwMode="auto">
                        <a:xfrm>
                          <a:off x="0" y="0"/>
                          <a:ext cx="4114800" cy="42566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4.00pt;height:335.17pt;mso-wrap-distance-left:0.00pt;mso-wrap-distance-top:0.00pt;mso-wrap-distance-right:0.00pt;mso-wrap-distance-bottom:0.00pt;z-index:1;" stroked="false">
                <v:imagedata r:id="rId14" o:title=""/>
                <o:lock v:ext="edit" rotation="t"/>
              </v:shape>
            </w:pict>
          </mc:Fallback>
        </mc:AlternateContent>
      </w:r>
      <w:r/>
    </w:p>
    <w:p>
      <w:pPr>
        <w:pBdr/>
        <w:spacing w:after="200" w:before="0"/>
        <w:ind/>
        <w:jc w:val="center"/>
        <w:rPr/>
      </w:pPr>
      <w:r>
        <w:rPr>
          <w:rFonts w:ascii="Calibri" w:hAnsi="Calibri"/>
          <w:b w:val="0"/>
          <w:i/>
          <w:color w:val="6b6b6b"/>
          <w:sz w:val="18"/>
        </w:rPr>
        <w:t xml:space="preserve">Figure 5 — Répartition des visiteurs par type d'hébergement</w:t>
      </w:r>
      <w:r/>
    </w:p>
    <w:p w14:paraId="022C8251">
      <w:pPr>
        <w:pStyle w:val="694"/>
        <w:pBdr/>
        <w:spacing w:after="80" w:before="280"/>
        <w:ind/>
        <w:rPr/>
      </w:pPr>
      <w:r>
        <w:rPr>
          <w:rFonts w:ascii="Calibri" w:hAnsi="Calibri"/>
          <w:b/>
          <w:color w:val="2a7ae2"/>
          <w:sz w:val="28"/>
          <w:highlight w:val="none"/>
        </w:rPr>
      </w:r>
      <w:r>
        <w:rPr>
          <w:rFonts w:ascii="Calibri" w:hAnsi="Calibri"/>
          <w:b/>
          <w:color w:val="2a7ae2"/>
          <w:sz w:val="28"/>
          <w:highlight w:val="none"/>
        </w:rPr>
      </w:r>
      <w:r>
        <w:rPr>
          <w:rFonts w:ascii="Calibri" w:hAnsi="Calibri"/>
          <w:b/>
          <w:color w:val="2a7ae2"/>
          <w:sz w:val="28"/>
          <w:highlight w:val="none"/>
        </w:rPr>
      </w:r>
    </w:p>
    <w:p>
      <w:pPr>
        <w:pStyle w:val="694"/>
        <w:pBdr/>
        <w:spacing w:after="80" w:before="280"/>
        <w:ind/>
        <w:rPr>
          <w:rFonts w:ascii="Calibri" w:hAnsi="Calibri"/>
          <w:b/>
          <w:bCs/>
          <w:color w:val="2a7ae2"/>
          <w:sz w:val="28"/>
          <w:szCs w:val="28"/>
          <w:highlight w:val="none"/>
        </w:rPr>
      </w:pPr>
      <w:r>
        <w:rPr>
          <w:rFonts w:ascii="Calibri" w:hAnsi="Calibri"/>
          <w:b/>
          <w:color w:val="2a7ae2"/>
          <w:sz w:val="28"/>
        </w:rPr>
        <w:t xml:space="preserve">8. Synthèse et Recommandations</w:t>
      </w:r>
      <w:r/>
    </w:p>
    <w:p>
      <w:pPr>
        <w:pStyle w:val="695"/>
        <w:pBdr/>
        <w:spacing w:after="60" w:before="200"/>
        <w:ind/>
        <w:rPr/>
      </w:pPr>
      <w:r>
        <w:rPr>
          <w:rFonts w:ascii="Calibri" w:hAnsi="Calibri"/>
          <w:b/>
          <w:i/>
          <w:color w:val="1a3a5c"/>
          <w:sz w:val="24"/>
        </w:rPr>
        <w:t xml:space="preserve">Points forts</w:t>
      </w:r>
      <w:r/>
    </w:p>
    <w:p>
      <w:pPr>
        <w:pStyle w:val="723"/>
        <w:pBdr/>
        <w:spacing w:after="40"/>
        <w:ind w:left="283"/>
        <w:rPr/>
      </w:pPr>
      <w:r>
        <w:rPr>
          <w:rFonts w:ascii="Calibri" w:hAnsi="Calibri"/>
          <w:b w:val="0"/>
          <w:i w:val="0"/>
          <w:color w:val="343434"/>
          <w:sz w:val="22"/>
        </w:rPr>
        <w:t xml:space="preserve">Résilience post-COVID remarquable : la fréquentation 2023 dépasse très largement les niveaux d'avant-crise.</w:t>
      </w:r>
      <w:r/>
    </w:p>
    <w:p>
      <w:pPr>
        <w:pStyle w:val="723"/>
        <w:pBdr/>
        <w:spacing w:after="40"/>
        <w:ind w:left="283"/>
        <w:rPr/>
      </w:pPr>
      <w:r>
        <w:rPr>
          <w:rFonts w:ascii="Calibri" w:hAnsi="Calibri"/>
          <w:b w:val="0"/>
          <w:i w:val="0"/>
          <w:color w:val="343434"/>
          <w:sz w:val="22"/>
        </w:rPr>
        <w:t xml:space="preserve">Concentration géographique forte autour de Paris, moteur incontournable du tourisme national et international.</w:t>
      </w:r>
      <w:r/>
    </w:p>
    <w:p>
      <w:pPr>
        <w:pStyle w:val="723"/>
        <w:pBdr/>
        <w:spacing w:after="40"/>
        <w:ind w:left="283"/>
        <w:rPr/>
      </w:pPr>
      <w:r>
        <w:rPr>
          <w:rFonts w:ascii="Calibri" w:hAnsi="Calibri"/>
          <w:b w:val="0"/>
          <w:i w:val="0"/>
          <w:color w:val="343434"/>
          <w:sz w:val="22"/>
        </w:rPr>
        <w:t xml:space="preserve">Saisonnalité estivale bien établie avec un pic en août, base solide pour planifier les capacités.</w:t>
      </w:r>
      <w:r/>
    </w:p>
    <w:p>
      <w:pPr>
        <w:pStyle w:val="695"/>
        <w:pBdr/>
        <w:spacing w:after="60" w:before="200"/>
        <w:ind/>
        <w:rPr/>
      </w:pPr>
      <w:r>
        <w:rPr>
          <w:rFonts w:ascii="Calibri" w:hAnsi="Calibri"/>
          <w:b/>
          <w:i/>
          <w:color w:val="1a3a5c"/>
          <w:sz w:val="24"/>
        </w:rPr>
        <w:t xml:space="preserve">Axes d'amélioration</w:t>
      </w:r>
      <w:r/>
    </w:p>
    <w:p>
      <w:pPr>
        <w:pStyle w:val="723"/>
        <w:pBdr/>
        <w:spacing w:after="40"/>
        <w:ind w:left="283"/>
        <w:rPr/>
      </w:pPr>
      <w:r>
        <w:rPr>
          <w:rFonts w:ascii="Calibri" w:hAnsi="Calibri"/>
          <w:b w:val="0"/>
          <w:i w:val="0"/>
          <w:color w:val="343434"/>
          <w:sz w:val="22"/>
        </w:rPr>
        <w:t xml:space="preserve">Désaisonnalisation : développer des offres pour les mois creux (congrès, thermalisme, tourisme culturel).</w:t>
      </w:r>
      <w:r/>
    </w:p>
    <w:p>
      <w:pPr>
        <w:pStyle w:val="723"/>
        <w:pBdr/>
        <w:spacing w:after="40"/>
        <w:ind w:left="283"/>
        <w:rPr/>
      </w:pPr>
      <w:r>
        <w:rPr>
          <w:rFonts w:ascii="Calibri" w:hAnsi="Calibri"/>
          <w:b w:val="0"/>
          <w:i w:val="0"/>
          <w:color w:val="343434"/>
          <w:sz w:val="22"/>
        </w:rPr>
        <w:t xml:space="preserve">Développement des régions secondaires : potentiel significatif via le tourisme vert et actif en PACA, Occitanie et Auvergne-Rhône-Alpes.</w:t>
      </w:r>
      <w:r/>
    </w:p>
    <w:p>
      <w:pPr>
        <w:pStyle w:val="723"/>
        <w:pBdr/>
        <w:spacing w:after="40"/>
        <w:ind w:left="283"/>
        <w:rPr/>
      </w:pPr>
      <w:r>
        <w:rPr>
          <w:rFonts w:ascii="Calibri" w:hAnsi="Calibri"/>
          <w:b w:val="0"/>
          <w:i w:val="0"/>
          <w:color w:val="343434"/>
          <w:sz w:val="22"/>
        </w:rPr>
        <w:t xml:space="preserve">Augmentation du panier moyen dans les régions à bas coût (éco-lodges, oenotourisme, expériences gastronomiques).</w:t>
      </w:r>
      <w:r/>
    </w:p>
    <w:p>
      <w:pPr>
        <w:pStyle w:val="723"/>
        <w:pBdr/>
        <w:spacing w:after="40"/>
        <w:ind w:left="283"/>
        <w:rPr/>
      </w:pPr>
      <w:r>
        <w:rPr>
          <w:rFonts w:ascii="Calibri" w:hAnsi="Calibri"/>
          <w:b w:val="0"/>
          <w:i w:val="0"/>
          <w:color w:val="343434"/>
          <w:sz w:val="22"/>
        </w:rPr>
        <w:t xml:space="preserve">Diversification de l'hébergement : intégrer les données des plateformes de location courte durée.</w:t>
      </w:r>
      <w:r/>
    </w:p>
    <w:p>
      <w:pPr>
        <w:pStyle w:val="695"/>
        <w:pBdr/>
        <w:spacing w:after="60" w:before="200"/>
        <w:ind/>
        <w:rPr/>
      </w:pPr>
      <w:r>
        <w:rPr>
          <w:rFonts w:ascii="Calibri" w:hAnsi="Calibri"/>
          <w:b/>
          <w:i/>
          <w:color w:val="1a3a5c"/>
          <w:sz w:val="24"/>
        </w:rPr>
        <w:t xml:space="preserve">Limites de l'analyse</w:t>
      </w:r>
      <w:r/>
    </w:p>
    <w:p>
      <w:pPr>
        <w:pStyle w:val="723"/>
        <w:pBdr/>
        <w:spacing w:after="40"/>
        <w:ind w:left="283"/>
        <w:rPr/>
      </w:pPr>
      <w:r>
        <w:rPr>
          <w:rFonts w:ascii="Calibri" w:hAnsi="Calibri"/>
          <w:b w:val="0"/>
          <w:i w:val="0"/>
          <w:color w:val="343434"/>
          <w:sz w:val="22"/>
        </w:rPr>
        <w:t xml:space="preserve">L'année 2022 est absente du jeu de données.</w:t>
      </w:r>
      <w:r/>
    </w:p>
    <w:p>
      <w:pPr>
        <w:pStyle w:val="723"/>
        <w:pBdr/>
        <w:spacing w:after="40"/>
        <w:ind w:left="283"/>
        <w:rPr/>
      </w:pPr>
      <w:r>
        <w:rPr>
          <w:rFonts w:ascii="Calibri" w:hAnsi="Calibri"/>
          <w:b w:val="0"/>
          <w:i w:val="0"/>
          <w:color w:val="343434"/>
          <w:sz w:val="22"/>
        </w:rPr>
        <w:t xml:space="preserve">Certaines entrées comportaient des incohérences dans les années, nécessitant un retraitement.</w:t>
      </w:r>
      <w:r/>
    </w:p>
    <w:p>
      <w:pPr>
        <w:pStyle w:val="723"/>
        <w:pBdr/>
        <w:spacing w:after="40"/>
        <w:ind w:left="283"/>
        <w:rPr/>
      </w:pPr>
      <w:r>
        <w:rPr>
          <w:rFonts w:ascii="Calibri" w:hAnsi="Calibri"/>
          <w:b w:val="0"/>
          <w:i w:val="0"/>
          <w:color w:val="343434"/>
          <w:sz w:val="22"/>
        </w:rPr>
        <w:t xml:space="preserve">Le jeu de données ne couvre que 4 régions sur les 13 de la France métropolitaine.</w:t>
      </w:r>
      <w:r/>
    </w:p>
    <w:p>
      <w:pPr>
        <w:pStyle w:val="694"/>
        <w:pBdr/>
        <w:spacing w:after="80" w:before="280"/>
        <w:ind/>
        <w:rPr/>
      </w:pPr>
      <w:r>
        <w:rPr>
          <w:rFonts w:ascii="Calibri" w:hAnsi="Calibri"/>
          <w:b/>
          <w:color w:val="2a7ae2"/>
          <w:sz w:val="28"/>
        </w:rPr>
        <w:t xml:space="preserve">9. Carte de Chaleur — Région × Mois</w:t>
      </w:r>
      <w:r/>
    </w:p>
    <w:p>
      <w:pPr>
        <w:pBdr/>
        <w:spacing w:after="80" w:before="0" w:line="276" w:lineRule="auto"/>
        <w:ind/>
        <w:rPr/>
      </w:pPr>
      <w:r>
        <w:rPr>
          <w:rFonts w:ascii="Calibri" w:hAnsi="Calibri"/>
          <w:b w:val="0"/>
          <w:i w:val="0"/>
          <w:color w:val="343434"/>
          <w:sz w:val="22"/>
        </w:rPr>
        <w:t xml:space="preserve">La carte de chaleur ci-dessous synthétise la distribution mensuelle des visiteurs pour chaque région. Elle permet d'identifier d'un seul coup d'œil les combinaisons région/mois les plus fréquentées.</w:t>
      </w:r>
      <w:r/>
    </w:p>
    <w:p>
      <w:pPr>
        <w:pBdr/>
        <w:spacing w:after="40" w:before="120"/>
        <w:ind/>
        <w:jc w:val="center"/>
        <w:rPr/>
      </w:pPr>
      <w:r>
        <mc:AlternateContent>
          <mc:Choice Requires="wpg">
            <w:drawing>
              <wp:inline xmlns:wp="http://schemas.openxmlformats.org/drawingml/2006/wordprocessingDrawing" distT="0" distB="0" distL="0" distR="0">
                <wp:extent cx="5669280" cy="2048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eatmap_region_mois.png"/>
                        <pic:cNvPicPr>
                          <a:picLocks noChangeAspect="1"/>
                        </pic:cNvPicPr>
                        <pic:nvPr/>
                      </pic:nvPicPr>
                      <pic:blipFill rotWithShape="1">
                        <a:blip r:embed="rId15"/>
                        <a:stretch/>
                      </pic:blipFill>
                      <pic:spPr bwMode="auto">
                        <a:xfrm>
                          <a:off x="0" y="0"/>
                          <a:ext cx="5669280" cy="2048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6.40pt;height:161.26pt;mso-wrap-distance-left:0.00pt;mso-wrap-distance-top:0.00pt;mso-wrap-distance-right:0.00pt;mso-wrap-distance-bottom:0.00pt;z-index:1;" stroked="false">
                <v:imagedata r:id="rId15" o:title=""/>
                <o:lock v:ext="edit" rotation="t"/>
              </v:shape>
            </w:pict>
          </mc:Fallback>
        </mc:AlternateContent>
      </w:r>
      <w:r/>
    </w:p>
    <w:p>
      <w:pPr>
        <w:pBdr/>
        <w:spacing w:after="200" w:before="0"/>
        <w:ind/>
        <w:jc w:val="center"/>
        <w:rPr/>
      </w:pPr>
      <w:r>
        <w:rPr>
          <w:rFonts w:ascii="Calibri" w:hAnsi="Calibri"/>
          <w:b w:val="0"/>
          <w:i/>
          <w:color w:val="6b6b6b"/>
          <w:sz w:val="18"/>
        </w:rPr>
        <w:t xml:space="preserve">Figure 6 — Heatmap visiteurs par région et par mois (milliers)</w:t>
      </w:r>
      <w:r/>
    </w:p>
    <w:p>
      <w:pPr>
        <w:pBdr/>
        <w:spacing/>
        <w:ind/>
        <w:rPr/>
      </w:pPr>
      <w:r>
        <w:br w:type="page" w:clear="all"/>
      </w:r>
      <w:r/>
    </w:p>
    <w:p>
      <w:pPr>
        <w:pStyle w:val="693"/>
        <w:pBdr/>
        <w:spacing w:after="120" w:before="360"/>
        <w:ind/>
        <w:rPr/>
      </w:pPr>
      <w:r>
        <w:rPr>
          <w:rFonts w:ascii="Calibri" w:hAnsi="Calibri"/>
          <w:b/>
          <w:color w:val="1a3a5c"/>
          <w:sz w:val="36"/>
        </w:rPr>
        <w:t xml:space="preserve">PARTIE II — DOCUMENTATION TECHNIQUE DU PROJET</w:t>
      </w:r>
      <w:r/>
    </w:p>
    <w:p>
      <w:pPr>
        <w:pBdr>
          <w:bottom w:val="single" w:color="2a7ae2" w:sz="12" w:space="1"/>
        </w:pBdr>
        <w:spacing w:after="40" w:before="40"/>
        <w:ind/>
        <w:rPr/>
      </w:pPr>
      <w:r/>
      <w:r/>
    </w:p>
    <w:p>
      <w:pPr>
        <w:pStyle w:val="694"/>
        <w:pBdr/>
        <w:spacing w:after="80" w:before="280"/>
        <w:ind/>
        <w:rPr/>
      </w:pPr>
      <w:r>
        <w:rPr>
          <w:rFonts w:ascii="Calibri" w:hAnsi="Calibri"/>
          <w:b/>
          <w:color w:val="2a7ae2"/>
          <w:sz w:val="28"/>
        </w:rPr>
        <w:t xml:space="preserve">1. Structure du Projet</w:t>
      </w:r>
      <w:r/>
    </w:p>
    <w:p>
      <w:pPr>
        <w:pBdr/>
        <w:spacing w:after="80" w:before="0" w:line="276" w:lineRule="auto"/>
        <w:ind/>
        <w:rPr/>
      </w:pPr>
      <w:r>
        <w:rPr>
          <w:rFonts w:ascii="Calibri" w:hAnsi="Calibri"/>
          <w:b w:val="0"/>
          <w:i w:val="0"/>
          <w:color w:val="343434"/>
          <w:sz w:val="22"/>
        </w:rPr>
        <w:t xml:space="preserve">Le projet est organisé en un package Python réutilisable (tourisme/) accompagné d'une interface en ligne de commande (CLI) et d'un notebook Jupyter.</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032" w:type="dxa"/>
            <w:vAlign w:val="center"/>
            <w:textDirection w:val="lrTb"/>
            <w:noWrap w:val="false"/>
          </w:tcPr>
          <w:p>
            <w:pPr>
              <w:pBdr/>
              <w:spacing w:after="80" w:before="80"/>
              <w:ind/>
              <w:jc w:val="center"/>
              <w:rPr/>
            </w:pPr>
            <w:r>
              <w:rPr>
                <w:rFonts w:ascii="Calibri" w:hAnsi="Calibri"/>
                <w:b/>
                <w:i w:val="0"/>
                <w:color w:val="ffffff"/>
                <w:sz w:val="22"/>
              </w:rPr>
              <w:t xml:space="preserve">Fichier / Dossier</w:t>
            </w:r>
            <w:r/>
          </w:p>
        </w:tc>
        <w:tc>
          <w:tcPr>
            <w:shd w:val="clear" w:color="auto" w:fill="1a3a5c"/>
            <w:tcBorders/>
            <w:tcW w:w="5472" w:type="dxa"/>
            <w:vAlign w:val="center"/>
            <w:textDirection w:val="lrTb"/>
            <w:noWrap w:val="false"/>
          </w:tcPr>
          <w:p>
            <w:pPr>
              <w:pBdr/>
              <w:spacing w:after="80" w:before="80"/>
              <w:ind/>
              <w:jc w:val="center"/>
              <w:rPr/>
            </w:pPr>
            <w:r>
              <w:rPr>
                <w:rFonts w:ascii="Calibri" w:hAnsi="Calibri"/>
                <w:b/>
                <w:i w:val="0"/>
                <w:color w:val="ffffff"/>
                <w:sz w:val="22"/>
              </w:rPr>
              <w:t xml:space="preserve">Rôle</w:t>
            </w:r>
            <w:r/>
          </w:p>
        </w:tc>
      </w:tr>
      <w:tr>
        <w:trPr/>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main.py</w:t>
            </w:r>
            <w:r/>
          </w:p>
        </w:tc>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Point d'entrée CLI (3 sous-commandes)</w:t>
            </w:r>
            <w:r/>
          </w:p>
        </w:tc>
      </w:tr>
      <w:tr>
        <w:trPr/>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requirements.txt</w:t>
            </w:r>
            <w:r/>
          </w:p>
        </w:tc>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Dépendances Python du projet</w:t>
            </w:r>
            <w:r/>
          </w:p>
        </w:tc>
      </w:tr>
      <w:tr>
        <w:trPr/>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tourisme_brut.csv</w:t>
            </w:r>
            <w:r/>
          </w:p>
        </w:tc>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Jeu de données d'exemple</w:t>
            </w:r>
            <w:r/>
          </w:p>
        </w:tc>
      </w:tr>
      <w:tr>
        <w:trPr/>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TP1.ipynb</w:t>
            </w:r>
            <w:r/>
          </w:p>
        </w:tc>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Notebook Jupyter interactif</w:t>
            </w:r>
            <w:r/>
          </w:p>
        </w:tc>
      </w:tr>
      <w:tr>
        <w:trPr/>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tourisme/__init__.py</w:t>
            </w:r>
            <w:r/>
          </w:p>
        </w:tc>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Déclaration du package</w:t>
            </w:r>
            <w:r/>
          </w:p>
        </w:tc>
      </w:tr>
      <w:tr>
        <w:trPr/>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tourisme/loader.py</w:t>
            </w:r>
            <w:r/>
          </w:p>
        </w:tc>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Chargement et nettoyage des données CSV</w:t>
            </w:r>
            <w:r/>
          </w:p>
        </w:tc>
      </w:tr>
      <w:tr>
        <w:trPr/>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tourisme/analysis.py</w:t>
            </w:r>
            <w:r/>
          </w:p>
        </w:tc>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Classe TourismeAnalyser — statistiques</w:t>
            </w:r>
            <w:r/>
          </w:p>
        </w:tc>
      </w:tr>
      <w:tr>
        <w:trPr/>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tourisme/visualizer.py</w:t>
            </w:r>
            <w:r/>
          </w:p>
        </w:tc>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Classe TourismeVisualizer — graphiques PNG</w:t>
            </w:r>
            <w:r/>
          </w:p>
        </w:tc>
      </w:tr>
      <w:tr>
        <w:trPr/>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output/</w:t>
            </w:r>
            <w:r/>
          </w:p>
        </w:tc>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Dossier de destination des graphiques PNG</w:t>
            </w:r>
            <w:r/>
          </w:p>
        </w:tc>
      </w:tr>
    </w:tbl>
    <w:p>
      <w:pPr>
        <w:pBdr/>
        <w:spacing/>
        <w:ind/>
        <w:rPr/>
      </w:pPr>
      <w:r/>
      <w:r/>
    </w:p>
    <w:p>
      <w:pPr>
        <w:pStyle w:val="694"/>
        <w:pBdr/>
        <w:spacing w:after="80" w:before="280"/>
        <w:ind/>
        <w:rPr/>
      </w:pPr>
      <w:r>
        <w:rPr>
          <w:rFonts w:ascii="Calibri" w:hAnsi="Calibri"/>
          <w:b/>
          <w:color w:val="2a7ae2"/>
          <w:sz w:val="28"/>
        </w:rPr>
        <w:t xml:space="preserve">2. Format du Fichier CSV Attendu</w:t>
      </w:r>
      <w:r/>
    </w:p>
    <w:p>
      <w:pPr>
        <w:pBdr/>
        <w:spacing w:after="80" w:before="0" w:line="276" w:lineRule="auto"/>
        <w:ind/>
        <w:rPr/>
      </w:pPr>
      <w:r>
        <w:rPr>
          <w:rFonts w:ascii="Calibri" w:hAnsi="Calibri"/>
          <w:b w:val="0"/>
          <w:i w:val="0"/>
          <w:color w:val="343434"/>
          <w:sz w:val="22"/>
        </w:rPr>
        <w:t xml:space="preserve">L'outil est compatible avec tout fichier CSV de données touristiques. Le séparateur est détecté automatiquement (point-virgule, virgule, tabulation, pipe).</w:t>
      </w:r>
      <w:r/>
    </w:p>
    <w:p>
      <w:pPr>
        <w:pStyle w:val="695"/>
        <w:pBdr/>
        <w:spacing w:after="60" w:before="200"/>
        <w:ind/>
        <w:rPr/>
      </w:pPr>
      <w:r>
        <w:rPr>
          <w:rFonts w:ascii="Calibri" w:hAnsi="Calibri"/>
          <w:b/>
          <w:i/>
          <w:color w:val="1a3a5c"/>
          <w:sz w:val="24"/>
        </w:rPr>
        <w:t xml:space="preserve">Colonnes requises (minimum)</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592" w:type="dxa"/>
            <w:vAlign w:val="center"/>
            <w:textDirection w:val="lrTb"/>
            <w:noWrap w:val="false"/>
          </w:tcPr>
          <w:p>
            <w:pPr>
              <w:pBdr/>
              <w:spacing w:after="80" w:before="80"/>
              <w:ind/>
              <w:jc w:val="center"/>
              <w:rPr/>
            </w:pPr>
            <w:r>
              <w:rPr>
                <w:rFonts w:ascii="Calibri" w:hAnsi="Calibri"/>
                <w:b/>
                <w:i w:val="0"/>
                <w:color w:val="ffffff"/>
                <w:sz w:val="22"/>
              </w:rPr>
              <w:t xml:space="preserve">Colonne</w:t>
            </w:r>
            <w:r/>
          </w:p>
        </w:tc>
        <w:tc>
          <w:tcPr>
            <w:shd w:val="clear" w:color="auto" w:fill="1a3a5c"/>
            <w:tcBorders/>
            <w:tcW w:w="1728" w:type="dxa"/>
            <w:vAlign w:val="center"/>
            <w:textDirection w:val="lrTb"/>
            <w:noWrap w:val="false"/>
          </w:tcPr>
          <w:p>
            <w:pPr>
              <w:pBdr/>
              <w:spacing w:after="80" w:before="80"/>
              <w:ind/>
              <w:jc w:val="center"/>
              <w:rPr/>
            </w:pPr>
            <w:r>
              <w:rPr>
                <w:rFonts w:ascii="Calibri" w:hAnsi="Calibri"/>
                <w:b/>
                <w:i w:val="0"/>
                <w:color w:val="ffffff"/>
                <w:sz w:val="22"/>
              </w:rPr>
              <w:t xml:space="preserve">Type</w:t>
            </w:r>
            <w:r/>
          </w:p>
        </w:tc>
        <w:tc>
          <w:tcPr>
            <w:shd w:val="clear" w:color="auto" w:fill="1a3a5c"/>
            <w:tcBorders/>
            <w:tcW w:w="5184" w:type="dxa"/>
            <w:vAlign w:val="center"/>
            <w:textDirection w:val="lrTb"/>
            <w:noWrap w:val="false"/>
          </w:tcPr>
          <w:p>
            <w:pPr>
              <w:pBdr/>
              <w:spacing w:after="80" w:before="80"/>
              <w:ind/>
              <w:jc w:val="center"/>
              <w:rPr/>
            </w:pPr>
            <w:r>
              <w:rPr>
                <w:rFonts w:ascii="Calibri" w:hAnsi="Calibri"/>
                <w:b/>
                <w:i w:val="0"/>
                <w:color w:val="ffffff"/>
                <w:sz w:val="22"/>
              </w:rPr>
              <w:t xml:space="preserve">Description</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region</w:t>
            </w:r>
            <w:r/>
          </w:p>
        </w:tc>
        <w:tc>
          <w:tcPr>
            <w:shd w:val="clear" w:color="auto" w:fill="ebf3fc"/>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texte</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Nom de la région géographique</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annee</w:t>
            </w:r>
            <w:r/>
          </w:p>
        </w:tc>
        <w:tc>
          <w:tcPr>
            <w:shd w:val="clear" w:color="auto" w:fill="ffffff"/>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entier</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Année (ex : 2023)</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mois</w:t>
            </w:r>
            <w:r/>
          </w:p>
        </w:tc>
        <w:tc>
          <w:tcPr>
            <w:shd w:val="clear" w:color="auto" w:fill="ebf3fc"/>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entier</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Numéro du mois, 1 à 12</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visiteurs</w:t>
            </w:r>
            <w:r/>
          </w:p>
        </w:tc>
        <w:tc>
          <w:tcPr>
            <w:shd w:val="clear" w:color="auto" w:fill="ffffff"/>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entier</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Nombre de visiteurs</w:t>
            </w:r>
            <w:r/>
          </w:p>
        </w:tc>
      </w:tr>
    </w:tbl>
    <w:p>
      <w:pPr>
        <w:pBdr/>
        <w:spacing/>
        <w:ind/>
        <w:rPr/>
      </w:pPr>
      <w:r/>
      <w:r/>
    </w:p>
    <w:p>
      <w:pPr>
        <w:pStyle w:val="695"/>
        <w:pBdr/>
        <w:spacing w:after="60" w:before="200"/>
        <w:ind/>
        <w:rPr/>
      </w:pPr>
      <w:r>
        <w:rPr>
          <w:rFonts w:ascii="Calibri" w:hAnsi="Calibri"/>
          <w:b/>
          <w:i/>
          <w:color w:val="1a3a5c"/>
          <w:sz w:val="24"/>
        </w:rPr>
        <w:t xml:space="preserve">Colonnes optionnelles</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592" w:type="dxa"/>
            <w:vAlign w:val="center"/>
            <w:textDirection w:val="lrTb"/>
            <w:noWrap w:val="false"/>
          </w:tcPr>
          <w:p>
            <w:pPr>
              <w:pBdr/>
              <w:spacing w:after="80" w:before="80"/>
              <w:ind/>
              <w:jc w:val="center"/>
              <w:rPr/>
            </w:pPr>
            <w:r>
              <w:rPr>
                <w:rFonts w:ascii="Calibri" w:hAnsi="Calibri"/>
                <w:b/>
                <w:i w:val="0"/>
                <w:color w:val="ffffff"/>
                <w:sz w:val="22"/>
              </w:rPr>
              <w:t xml:space="preserve">Colonne</w:t>
            </w:r>
            <w:r/>
          </w:p>
        </w:tc>
        <w:tc>
          <w:tcPr>
            <w:shd w:val="clear" w:color="auto" w:fill="1a3a5c"/>
            <w:tcBorders/>
            <w:tcW w:w="1728" w:type="dxa"/>
            <w:vAlign w:val="center"/>
            <w:textDirection w:val="lrTb"/>
            <w:noWrap w:val="false"/>
          </w:tcPr>
          <w:p>
            <w:pPr>
              <w:pBdr/>
              <w:spacing w:after="80" w:before="80"/>
              <w:ind/>
              <w:jc w:val="center"/>
              <w:rPr/>
            </w:pPr>
            <w:r>
              <w:rPr>
                <w:rFonts w:ascii="Calibri" w:hAnsi="Calibri"/>
                <w:b/>
                <w:i w:val="0"/>
                <w:color w:val="ffffff"/>
                <w:sz w:val="22"/>
              </w:rPr>
              <w:t xml:space="preserve">Type</w:t>
            </w:r>
            <w:r/>
          </w:p>
        </w:tc>
        <w:tc>
          <w:tcPr>
            <w:shd w:val="clear" w:color="auto" w:fill="1a3a5c"/>
            <w:tcBorders/>
            <w:tcW w:w="5184" w:type="dxa"/>
            <w:vAlign w:val="center"/>
            <w:textDirection w:val="lrTb"/>
            <w:noWrap w:val="false"/>
          </w:tcPr>
          <w:p>
            <w:pPr>
              <w:pBdr/>
              <w:spacing w:after="80" w:before="80"/>
              <w:ind/>
              <w:jc w:val="center"/>
              <w:rPr/>
            </w:pPr>
            <w:r>
              <w:rPr>
                <w:rFonts w:ascii="Calibri" w:hAnsi="Calibri"/>
                <w:b/>
                <w:i w:val="0"/>
                <w:color w:val="ffffff"/>
                <w:sz w:val="22"/>
              </w:rPr>
              <w:t xml:space="preserve">Description</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hebergement</w:t>
            </w:r>
            <w:r/>
          </w:p>
        </w:tc>
        <w:tc>
          <w:tcPr>
            <w:shd w:val="clear" w:color="auto" w:fill="ebf3fc"/>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texte</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Type d'hébergement (Hôtel, Camping…)</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depense_moyenne</w:t>
            </w:r>
            <w:r/>
          </w:p>
        </w:tc>
        <w:tc>
          <w:tcPr>
            <w:shd w:val="clear" w:color="auto" w:fill="ffffff"/>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décimal</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Dépense moyenne par visiteur (€)</w:t>
            </w:r>
            <w:r/>
          </w:p>
        </w:tc>
      </w:tr>
    </w:tbl>
    <w:p>
      <w:pPr>
        <w:pBdr/>
        <w:spacing/>
        <w:ind/>
        <w:rPr/>
      </w:pPr>
      <w:r/>
      <w:r/>
    </w:p>
    <w:p>
      <w:pPr>
        <w:pBdr>
          <w:left w:val="single" w:color="1e8a44" w:sz="48" w:space="8"/>
        </w:pBdr>
        <w:spacing w:after="160" w:before="160"/>
        <w:ind w:right="227" w:left="227"/>
        <w:rPr/>
      </w:pPr>
      <w:r>
        <w:rPr>
          <w:rFonts w:ascii="Calibri" w:hAnsi="Calibri"/>
          <w:b/>
          <w:i w:val="0"/>
          <w:color w:val="1e8a44"/>
          <w:sz w:val="20"/>
        </w:rPr>
        <w:t xml:space="preserve">💡 FLEXIBILITÉ</w:t>
        <w:br/>
      </w:r>
      <w:r>
        <w:rPr>
          <w:rFonts w:ascii="Calibri" w:hAnsi="Calibri"/>
          <w:b w:val="0"/>
          <w:i/>
          <w:color w:val="343434"/>
          <w:sz w:val="22"/>
        </w:rPr>
        <w:t xml:space="preserve">Les alias de colonnes sont pris en charge : 'year' → annee, 'visitors' → visiteurs, 'area' → region, etc. Les fautes de frappe courantes dans la colonne hebergement ('Hote', 'hote') sont corrigées automatiquement.</w:t>
      </w:r>
      <w:r/>
    </w:p>
    <w:p>
      <w:pPr>
        <w:pStyle w:val="694"/>
        <w:pBdr/>
        <w:spacing w:after="80" w:before="280"/>
        <w:ind/>
        <w:rPr/>
      </w:pPr>
      <w:r>
        <w:rPr>
          <w:rFonts w:ascii="Calibri" w:hAnsi="Calibri"/>
          <w:b/>
          <w:color w:val="2a7ae2"/>
          <w:sz w:val="28"/>
        </w:rPr>
        <w:t xml:space="preserve">3. Description des Modules Python</w:t>
      </w:r>
      <w:r/>
    </w:p>
    <w:p>
      <w:pPr>
        <w:pStyle w:val="695"/>
        <w:pBdr/>
        <w:spacing w:after="60" w:before="200"/>
        <w:ind/>
        <w:rPr/>
      </w:pPr>
      <w:r>
        <w:rPr>
          <w:rFonts w:ascii="Calibri" w:hAnsi="Calibri"/>
          <w:b/>
          <w:i/>
          <w:color w:val="1a3a5c"/>
          <w:sz w:val="24"/>
        </w:rPr>
        <w:t xml:space="preserve">tourisme/loader.py</w:t>
      </w:r>
      <w:r/>
    </w:p>
    <w:p>
      <w:pPr>
        <w:pStyle w:val="723"/>
        <w:pBdr/>
        <w:spacing w:after="40"/>
        <w:ind w:left="283"/>
        <w:rPr/>
      </w:pPr>
      <w:r>
        <w:rPr>
          <w:rFonts w:ascii="Calibri" w:hAnsi="Calibri"/>
          <w:b w:val="0"/>
          <w:i w:val="0"/>
          <w:color w:val="343434"/>
          <w:sz w:val="22"/>
        </w:rPr>
        <w:t xml:space="preserve">Charge tout fichier CSV touristique quel que soit le séparateur.</w:t>
      </w:r>
      <w:r/>
    </w:p>
    <w:p>
      <w:pPr>
        <w:pStyle w:val="723"/>
        <w:pBdr/>
        <w:spacing w:after="40"/>
        <w:ind w:left="283"/>
        <w:rPr/>
      </w:pPr>
      <w:r>
        <w:rPr>
          <w:rFonts w:ascii="Calibri" w:hAnsi="Calibri"/>
          <w:b w:val="0"/>
          <w:i w:val="0"/>
          <w:color w:val="343434"/>
          <w:sz w:val="22"/>
        </w:rPr>
        <w:t xml:space="preserve">Renomme automatiquement les colonnes aliasées vers les noms canoniques.</w:t>
      </w:r>
      <w:r/>
    </w:p>
    <w:p>
      <w:pPr>
        <w:pStyle w:val="723"/>
        <w:pBdr/>
        <w:spacing w:after="40"/>
        <w:ind w:left="283"/>
        <w:rPr/>
      </w:pPr>
      <w:r>
        <w:rPr>
          <w:rFonts w:ascii="Calibri" w:hAnsi="Calibri"/>
          <w:b w:val="0"/>
          <w:i w:val="0"/>
          <w:color w:val="343434"/>
          <w:sz w:val="22"/>
        </w:rPr>
        <w:t xml:space="preserve">Corrige les fautes fréquentes dans la colonne hebergement.</w:t>
      </w:r>
      <w:r/>
    </w:p>
    <w:p>
      <w:pPr>
        <w:pStyle w:val="723"/>
        <w:pBdr/>
        <w:spacing w:after="40"/>
        <w:ind w:left="283"/>
        <w:rPr/>
      </w:pPr>
      <w:r>
        <w:rPr>
          <w:rFonts w:ascii="Calibri" w:hAnsi="Calibri"/>
          <w:b w:val="0"/>
          <w:i w:val="0"/>
          <w:color w:val="343434"/>
          <w:sz w:val="22"/>
        </w:rPr>
        <w:t xml:space="preserve">Supprime les lignes avec des valeurs manquantes dans les colonnes clés.</w:t>
      </w:r>
      <w:r/>
    </w:p>
    <w:p>
      <w:pPr>
        <w:pStyle w:val="723"/>
        <w:pBdr/>
        <w:spacing w:after="40"/>
        <w:ind w:left="283"/>
        <w:rPr/>
      </w:pPr>
      <w:r>
        <w:rPr>
          <w:rFonts w:ascii="Calibri" w:hAnsi="Calibri"/>
          <w:b w:val="0"/>
          <w:i w:val="0"/>
          <w:color w:val="343434"/>
          <w:sz w:val="22"/>
        </w:rPr>
        <w:t xml:space="preserve">Retourne un DataFrame pandas propre et normalisé.</w:t>
      </w:r>
      <w:r/>
    </w:p>
    <w:p>
      <w:pPr>
        <w:pStyle w:val="723"/>
        <w:pBdr/>
        <w:spacing w:after="40"/>
        <w:ind w:left="283"/>
        <w:rPr/>
      </w:pPr>
      <w:r>
        <w:rPr>
          <w:rFonts w:ascii="Calibri" w:hAnsi="Calibri"/>
          <w:b w:val="0"/>
          <w:i w:val="0"/>
          <w:color w:val="343434"/>
          <w:sz w:val="22"/>
        </w:rPr>
        <w:t xml:space="preserve">Lève FileNotFoundError ou ValueError avec des messages clairs.</w:t>
      </w:r>
      <w:r/>
    </w:p>
    <w:p>
      <w:pPr>
        <w:pStyle w:val="695"/>
        <w:pBdr/>
        <w:spacing w:after="60" w:before="200"/>
        <w:ind/>
        <w:rPr/>
      </w:pPr>
      <w:r>
        <w:rPr>
          <w:rFonts w:ascii="Calibri" w:hAnsi="Calibri"/>
          <w:b/>
          <w:i/>
          <w:color w:val="1a3a5c"/>
          <w:sz w:val="24"/>
        </w:rPr>
        <w:t xml:space="preserve">tourisme/analysis.py — classe TourismeAnalyser</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320" w:type="dxa"/>
            <w:vAlign w:val="center"/>
            <w:textDirection w:val="lrTb"/>
            <w:noWrap w:val="false"/>
          </w:tcPr>
          <w:p>
            <w:pPr>
              <w:pBdr/>
              <w:spacing w:after="80" w:before="80"/>
              <w:ind/>
              <w:jc w:val="center"/>
              <w:rPr/>
            </w:pPr>
            <w:r>
              <w:rPr>
                <w:rFonts w:ascii="Calibri" w:hAnsi="Calibri"/>
                <w:b/>
                <w:i w:val="0"/>
                <w:color w:val="ffffff"/>
                <w:sz w:val="22"/>
              </w:rPr>
              <w:t xml:space="preserve">Méthode</w:t>
            </w:r>
            <w:r/>
          </w:p>
        </w:tc>
        <w:tc>
          <w:tcPr>
            <w:shd w:val="clear" w:color="auto" w:fill="1a3a5c"/>
            <w:tcBorders/>
            <w:tcW w:w="5184" w:type="dxa"/>
            <w:vAlign w:val="center"/>
            <w:textDirection w:val="lrTb"/>
            <w:noWrap w:val="false"/>
          </w:tcPr>
          <w:p>
            <w:pPr>
              <w:pBdr/>
              <w:spacing w:after="80" w:before="80"/>
              <w:ind/>
              <w:jc w:val="center"/>
              <w:rPr/>
            </w:pPr>
            <w:r>
              <w:rPr>
                <w:rFonts w:ascii="Calibri" w:hAnsi="Calibri"/>
                <w:b/>
                <w:i w:val="0"/>
                <w:color w:val="ffffff"/>
                <w:sz w:val="22"/>
              </w:rPr>
              <w:t xml:space="preserve">Description</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overview()</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Dictionnaire de statistiques générales</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visitors_by_region()</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Total visiteurs par région (trié)</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visitors_by_year()</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Total visiteurs par année</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visitors_by_month()</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Moyenne visiteurs par mois calendaire</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monthly_trend(region=None)</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Série temporelle pour une ou toutes les régions</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spending_by_region()</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Dépense moyenne par région</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accommodation_distribution()</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Répartition visiteurs par hébergement</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top_months(n=3)</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Top N mois par fréquentation</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print_report()</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Rapport texte formaté affiché en console</w:t>
            </w:r>
            <w:r/>
          </w:p>
        </w:tc>
      </w:tr>
    </w:tbl>
    <w:p>
      <w:pPr>
        <w:pBdr/>
        <w:spacing/>
        <w:ind/>
        <w:rPr/>
      </w:pPr>
      <w:r/>
      <w:r/>
    </w:p>
    <w:p>
      <w:pPr>
        <w:pStyle w:val="695"/>
        <w:pBdr/>
        <w:spacing w:after="60" w:before="200"/>
        <w:ind/>
        <w:rPr/>
      </w:pPr>
      <w:r>
        <w:rPr>
          <w:rFonts w:ascii="Calibri" w:hAnsi="Calibri"/>
          <w:b/>
          <w:i/>
          <w:color w:val="1a3a5c"/>
          <w:sz w:val="24"/>
        </w:rPr>
        <w:t xml:space="preserve">tourisme/visualizer.py — classe TourismeVisualizer</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896" w:type="dxa"/>
            <w:vAlign w:val="center"/>
            <w:textDirection w:val="lrTb"/>
            <w:noWrap w:val="false"/>
          </w:tcPr>
          <w:p>
            <w:pPr>
              <w:pBdr/>
              <w:spacing w:after="80" w:before="80"/>
              <w:ind/>
              <w:jc w:val="center"/>
              <w:rPr/>
            </w:pPr>
            <w:r>
              <w:rPr>
                <w:rFonts w:ascii="Calibri" w:hAnsi="Calibri"/>
                <w:b/>
                <w:i w:val="0"/>
                <w:color w:val="ffffff"/>
                <w:sz w:val="22"/>
              </w:rPr>
              <w:t xml:space="preserve">Méthode</w:t>
            </w:r>
            <w:r/>
          </w:p>
        </w:tc>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Fichier PNG généré</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plot_visitors_by_region()</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01_visiteurs_par_region.png</w:t>
            </w:r>
            <w:r/>
          </w:p>
        </w:tc>
      </w:tr>
      <w:tr>
        <w:trPr/>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plot_visitors_by_year()</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02_visiteurs_par_annee.png</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plot_monthly_seasonality()</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03_saisonnalite_mensuelle.png</w:t>
            </w:r>
            <w:r/>
          </w:p>
        </w:tc>
      </w:tr>
      <w:tr>
        <w:trPr/>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plot_spending_by_region()</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04_depense_par_region.png</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plot_accommodation_distribution()</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05_repartition_hebergement.png</w:t>
            </w:r>
            <w:r/>
          </w:p>
        </w:tc>
      </w:tr>
      <w:tr>
        <w:trPr/>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plot_heatmap_region_month()</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06_heatmap_region_mois.png</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generate_all()</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Génère les 6 graphiques en un seul appel</w:t>
            </w:r>
            <w:r/>
          </w:p>
        </w:tc>
      </w:tr>
    </w:tbl>
    <w:p w14:paraId="6C22FA7A">
      <w:pPr>
        <w:pBdr/>
        <w:spacing/>
        <w:ind/>
        <w:rPr/>
      </w:pPr>
      <w:r/>
      <w:r/>
      <w:r/>
    </w:p>
    <w:p>
      <w:pPr>
        <w:pBdr/>
        <w:spacing/>
        <w:ind/>
        <w:rPr/>
      </w:pPr>
      <w:r/>
      <w:r/>
    </w:p>
    <w:p>
      <w:pPr>
        <w:pStyle w:val="694"/>
        <w:pBdr/>
        <w:spacing w:after="80" w:before="280"/>
        <w:ind/>
        <w:rPr/>
      </w:pPr>
      <w:r>
        <w:rPr>
          <w:rFonts w:ascii="Calibri" w:hAnsi="Calibri"/>
          <w:b/>
          <w:color w:val="2a7ae2"/>
          <w:sz w:val="28"/>
        </w:rPr>
        <w:t xml:space="preserve">4. Dépendances</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592" w:type="dxa"/>
            <w:vAlign w:val="center"/>
            <w:textDirection w:val="lrTb"/>
            <w:noWrap w:val="false"/>
          </w:tcPr>
          <w:p>
            <w:pPr>
              <w:pBdr/>
              <w:spacing w:after="80" w:before="80"/>
              <w:ind/>
              <w:jc w:val="center"/>
              <w:rPr/>
            </w:pPr>
            <w:r>
              <w:rPr>
                <w:rFonts w:ascii="Calibri" w:hAnsi="Calibri"/>
                <w:b/>
                <w:i w:val="0"/>
                <w:color w:val="ffffff"/>
                <w:sz w:val="22"/>
              </w:rPr>
              <w:t xml:space="preserve">Bibliothèque</w:t>
            </w:r>
            <w:r/>
          </w:p>
        </w:tc>
        <w:tc>
          <w:tcPr>
            <w:shd w:val="clear" w:color="auto" w:fill="1a3a5c"/>
            <w:tcBorders/>
            <w:tcW w:w="2304" w:type="dxa"/>
            <w:vAlign w:val="center"/>
            <w:textDirection w:val="lrTb"/>
            <w:noWrap w:val="false"/>
          </w:tcPr>
          <w:p>
            <w:pPr>
              <w:pBdr/>
              <w:spacing w:after="80" w:before="80"/>
              <w:ind/>
              <w:jc w:val="center"/>
              <w:rPr/>
            </w:pPr>
            <w:r>
              <w:rPr>
                <w:rFonts w:ascii="Calibri" w:hAnsi="Calibri"/>
                <w:b/>
                <w:i w:val="0"/>
                <w:color w:val="ffffff"/>
                <w:sz w:val="22"/>
              </w:rPr>
              <w:t xml:space="preserve">Version minimum</w:t>
            </w:r>
            <w:r/>
          </w:p>
        </w:tc>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Usage</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pandas</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&gt;= 2.0</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Manipulation et analyse des données</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matplotlib</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&gt;= 3.7</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Génération des graphiques</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seaborn</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&gt;= 0.12</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Thèmes visuels avancés</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python-docx</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   —   </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Génération de ce document Word</w:t>
            </w:r>
            <w:r/>
          </w:p>
        </w:tc>
      </w:tr>
    </w:tbl>
    <w:p>
      <w:pPr>
        <w:pBdr/>
        <w:spacing/>
        <w:ind/>
        <w:rPr/>
      </w:pPr>
      <w:r/>
      <w:r/>
    </w:p>
    <w:p>
      <w:pPr>
        <w:pBdr/>
        <w:spacing w:after="80" w:before="0" w:line="276" w:lineRule="auto"/>
        <w:ind/>
        <w:rPr/>
      </w:pPr>
      <w:r>
        <w:rPr>
          <w:rFonts w:ascii="Calibri" w:hAnsi="Calibri"/>
          <w:b w:val="0"/>
          <w:i w:val="0"/>
          <w:color w:val="343434"/>
          <w:sz w:val="22"/>
        </w:rPr>
        <w:t xml:space="preserve">Installation de toutes les dépendances :</w:t>
      </w:r>
      <w:r/>
    </w:p>
    <w:p>
      <w:pPr>
        <w:pBdr/>
        <w:spacing w:after="160"/>
        <w:ind w:left="567"/>
        <w:rPr/>
      </w:pPr>
      <w:r>
        <w:rPr>
          <w:rFonts w:ascii="Courier New" w:hAnsi="Courier New"/>
          <w:b/>
          <w:color w:val="1a3a5c"/>
          <w:sz w:val="21"/>
        </w:rPr>
        <w:t xml:space="preserve">pip install -r requirements.txt</w:t>
      </w:r>
      <w:r/>
    </w:p>
    <w:p>
      <w:pPr>
        <w:pStyle w:val="694"/>
        <w:pBdr/>
        <w:spacing w:after="80" w:before="280"/>
        <w:ind/>
        <w:rPr/>
      </w:pPr>
      <w:r>
        <w:rPr>
          <w:rFonts w:ascii="Calibri" w:hAnsi="Calibri"/>
          <w:b/>
          <w:color w:val="2a7ae2"/>
          <w:sz w:val="28"/>
        </w:rPr>
        <w:t xml:space="preserve">5. Utilisation — Interface en Ligne de Commande (CLI)</w:t>
      </w:r>
      <w:r/>
    </w:p>
    <w:p>
      <w:pPr>
        <w:pStyle w:val="695"/>
        <w:pBdr/>
        <w:spacing w:after="60" w:before="200"/>
        <w:ind/>
        <w:rPr/>
      </w:pPr>
      <w:r>
        <w:rPr>
          <w:rFonts w:ascii="Calibri" w:hAnsi="Calibri"/>
          <w:b/>
          <w:i/>
          <w:color w:val="1a3a5c"/>
          <w:sz w:val="24"/>
        </w:rPr>
        <w:t xml:space="preserve">Activation de l'environnement virtuel</w:t>
      </w:r>
      <w:r/>
    </w:p>
    <w:p>
      <w:pPr>
        <w:pBdr/>
        <w:spacing w:after="40"/>
        <w:ind w:left="567"/>
        <w:rPr/>
      </w:pPr>
      <w:r>
        <w:rPr>
          <w:rFonts w:ascii="Courier New" w:hAnsi="Courier New"/>
          <w:color w:val="1a3a5c"/>
          <w:sz w:val="21"/>
        </w:rPr>
        <w:t xml:space="preserve">source env/bin/activate          # Linux / macOS</w:t>
      </w:r>
      <w:r/>
    </w:p>
    <w:p>
      <w:pPr>
        <w:pBdr/>
        <w:spacing w:after="40"/>
        <w:ind w:left="567"/>
        <w:rPr/>
      </w:pPr>
      <w:r>
        <w:rPr>
          <w:rFonts w:ascii="Courier New" w:hAnsi="Courier New"/>
          <w:color w:val="1a3a5c"/>
          <w:sz w:val="21"/>
        </w:rPr>
        <w:t xml:space="preserve">env\Scripts\activate              # Windows</w:t>
      </w:r>
      <w:r/>
    </w:p>
    <w:p>
      <w:pPr>
        <w:pStyle w:val="695"/>
        <w:pBdr/>
        <w:spacing w:after="60" w:before="200"/>
        <w:ind/>
        <w:rPr/>
      </w:pPr>
      <w:r>
        <w:rPr>
          <w:rFonts w:ascii="Calibri" w:hAnsi="Calibri"/>
          <w:b/>
          <w:i/>
          <w:color w:val="1a3a5c"/>
          <w:sz w:val="24"/>
        </w:rPr>
        <w:t xml:space="preserve">Commandes disponibles</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5184" w:type="dxa"/>
            <w:vAlign w:val="center"/>
            <w:textDirection w:val="lrTb"/>
            <w:noWrap w:val="false"/>
          </w:tcPr>
          <w:p>
            <w:pPr>
              <w:pBdr/>
              <w:spacing w:after="80" w:before="80"/>
              <w:ind/>
              <w:jc w:val="center"/>
              <w:rPr/>
            </w:pPr>
            <w:r>
              <w:rPr>
                <w:rFonts w:ascii="Calibri" w:hAnsi="Calibri"/>
                <w:b/>
                <w:i w:val="0"/>
                <w:color w:val="ffffff"/>
                <w:sz w:val="22"/>
              </w:rPr>
              <w:t xml:space="preserve">Commande</w:t>
            </w:r>
            <w:r/>
          </w:p>
        </w:tc>
        <w:tc>
          <w:tcPr>
            <w:shd w:val="clear" w:color="auto" w:fill="1a3a5c"/>
            <w:tcBorders/>
            <w:tcW w:w="4320" w:type="dxa"/>
            <w:vAlign w:val="center"/>
            <w:textDirection w:val="lrTb"/>
            <w:noWrap w:val="false"/>
          </w:tcPr>
          <w:p>
            <w:pPr>
              <w:pBdr/>
              <w:spacing w:after="80" w:before="80"/>
              <w:ind/>
              <w:jc w:val="center"/>
              <w:rPr/>
            </w:pPr>
            <w:r>
              <w:rPr>
                <w:rFonts w:ascii="Calibri" w:hAnsi="Calibri"/>
                <w:b/>
                <w:i w:val="0"/>
                <w:color w:val="ffffff"/>
                <w:sz w:val="22"/>
              </w:rPr>
              <w:t xml:space="preserve">Description</w:t>
            </w:r>
            <w:r/>
          </w:p>
        </w:tc>
      </w:tr>
      <w:tr>
        <w:trPr/>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python main.py analyse  --file data.csv</w:t>
            </w:r>
            <w:r/>
          </w:p>
        </w:tc>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Rapport statistique textuel uniquement</w:t>
            </w:r>
            <w:r/>
          </w:p>
        </w:tc>
      </w:tr>
      <w:tr>
        <w:trPr/>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python main.py visualize --file data.csv --output out/</w:t>
            </w:r>
            <w:r/>
          </w:p>
        </w:tc>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Génération des 6 graphiques PNG</w:t>
            </w:r>
            <w:r/>
          </w:p>
        </w:tc>
      </w:tr>
      <w:tr>
        <w:trPr/>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python main.py report   --file data.csv --output out/</w:t>
            </w:r>
            <w:r/>
          </w:p>
        </w:tc>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Rapport texte + graphiques combinés</w:t>
            </w:r>
            <w:r/>
          </w:p>
        </w:tc>
      </w:tr>
      <w:tr>
        <w:trPr/>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python main.py --help</w:t>
            </w:r>
            <w:r/>
          </w:p>
        </w:tc>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Afficher l'aide complète</w:t>
            </w:r>
            <w:r/>
          </w:p>
        </w:tc>
      </w:tr>
    </w:tbl>
    <w:p>
      <w:pPr>
        <w:pBdr/>
        <w:spacing/>
        <w:ind/>
        <w:rPr/>
      </w:pPr>
      <w:r/>
      <w:r/>
    </w:p>
    <w:p>
      <w:pPr>
        <w:pStyle w:val="695"/>
        <w:pBdr/>
        <w:spacing w:after="60" w:before="200"/>
        <w:ind/>
        <w:rPr/>
      </w:pPr>
      <w:r>
        <w:rPr>
          <w:rFonts w:ascii="Calibri" w:hAnsi="Calibri"/>
          <w:b/>
          <w:i/>
          <w:color w:val="1a3a5c"/>
          <w:sz w:val="24"/>
        </w:rPr>
        <w:t xml:space="preserve">Exemple avec un autre fichier CSV</w:t>
      </w:r>
      <w:r/>
    </w:p>
    <w:p>
      <w:pPr>
        <w:pBdr/>
        <w:spacing w:after="160"/>
        <w:ind w:left="567"/>
        <w:rPr/>
      </w:pPr>
      <w:r>
        <w:rPr>
          <w:rFonts w:ascii="Courier New" w:hAnsi="Courier New"/>
          <w:b/>
          <w:color w:val="1a3a5c"/>
          <w:sz w:val="21"/>
        </w:rPr>
        <w:t xml:space="preserve">python main.py report --file nouveau_fichier.csv --output resultats/</w:t>
      </w:r>
      <w:r/>
    </w:p>
    <w:sectPr>
      <w:footnotePr/>
      <w:endnotePr/>
      <w:type w:val="nextPage"/>
      <w:pgSz w:h="16838" w:orient="portrait" w:w="11906"/>
      <w:pgMar w:top="1247" w:right="1417" w:bottom="1247"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color w:val="343434"/>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2026-03-09T00:42:44Z</dcterms:modified>
  <cp:category/>
</cp:coreProperties>
</file>