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B15" w:rsidRPr="00150D1F" w:rsidRDefault="00AD5F0E" w:rsidP="00150D1F">
      <w:pPr>
        <w:pStyle w:val="Pagedecouverture"/>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AD712D886454DDA90C63FE17D64EE59" style="width:450.6pt;height:382.2pt">
            <v:imagedata r:id="rId9" o:title=""/>
          </v:shape>
        </w:pict>
      </w:r>
    </w:p>
    <w:p w:rsidR="00686B3D" w:rsidRPr="00150D1F" w:rsidRDefault="00686B3D" w:rsidP="00686B3D">
      <w:pPr>
        <w:pStyle w:val="Pagedecouverture"/>
        <w:sectPr w:rsidR="00686B3D" w:rsidRPr="00150D1F" w:rsidSect="00005517">
          <w:headerReference w:type="even" r:id="rId10"/>
          <w:headerReference w:type="default" r:id="rId11"/>
          <w:footerReference w:type="even" r:id="rId12"/>
          <w:footerReference w:type="default" r:id="rId13"/>
          <w:headerReference w:type="first" r:id="rId14"/>
          <w:footerReference w:type="first" r:id="rId15"/>
          <w:pgSz w:w="11907" w:h="16839"/>
          <w:pgMar w:top="1134" w:right="1417" w:bottom="1134" w:left="1417" w:header="709" w:footer="709" w:gutter="0"/>
          <w:pgNumType w:start="1"/>
          <w:cols w:space="720"/>
          <w:docGrid w:linePitch="360"/>
        </w:sectPr>
      </w:pPr>
    </w:p>
    <w:p w:rsidR="001F3D9E" w:rsidRPr="00150D1F" w:rsidRDefault="00150D1F" w:rsidP="00150D1F">
      <w:pPr>
        <w:pStyle w:val="Typedudocument"/>
      </w:pPr>
      <w:r w:rsidRPr="00150D1F">
        <w:lastRenderedPageBreak/>
        <w:t>RÈGLEMENT D’EXÉCUTION (UE) …/... DE LA COMMISSION</w:t>
      </w:r>
    </w:p>
    <w:p w:rsidR="00401B15" w:rsidRPr="00150D1F" w:rsidRDefault="00150D1F" w:rsidP="00150D1F">
      <w:pPr>
        <w:pStyle w:val="Datedadoption"/>
      </w:pPr>
      <w:r w:rsidRPr="00150D1F">
        <w:t xml:space="preserve">du </w:t>
      </w:r>
      <w:r w:rsidRPr="00150D1F">
        <w:rPr>
          <w:rStyle w:val="Marker2"/>
        </w:rPr>
        <w:t>XXX</w:t>
      </w:r>
    </w:p>
    <w:p w:rsidR="001F3D9E" w:rsidRPr="00150D1F" w:rsidRDefault="00150D1F" w:rsidP="00150D1F">
      <w:pPr>
        <w:pStyle w:val="Titreobjet"/>
      </w:pPr>
      <w:r w:rsidRPr="00150D1F">
        <w:t>modifiant le règlement d’exécution (UE) nº</w:t>
      </w:r>
      <w:r>
        <w:t> </w:t>
      </w:r>
      <w:r w:rsidRPr="00005517">
        <w:t>680</w:t>
      </w:r>
      <w:r w:rsidRPr="00150D1F">
        <w:t>/</w:t>
      </w:r>
      <w:r w:rsidRPr="00005517">
        <w:t>2014</w:t>
      </w:r>
      <w:r w:rsidRPr="00150D1F">
        <w:t xml:space="preserve"> pour ce qui est des instructions et modèles à utiliser</w:t>
      </w:r>
    </w:p>
    <w:p w:rsidR="001F3D9E" w:rsidRPr="00150D1F" w:rsidRDefault="00150D1F" w:rsidP="00150D1F">
      <w:pPr>
        <w:pStyle w:val="IntrtEEE"/>
      </w:pPr>
      <w:r w:rsidRPr="00150D1F">
        <w:t>(Texte présentant de l'intérêt pour l'EEE)</w:t>
      </w:r>
    </w:p>
    <w:p w:rsidR="001F3D9E" w:rsidRPr="00150D1F" w:rsidRDefault="001F3D9E" w:rsidP="004E1EF9">
      <w:pPr>
        <w:pStyle w:val="Institutionquiagit"/>
      </w:pPr>
      <w:r w:rsidRPr="00150D1F">
        <w:t>LA COMMISSION EUROPÉENNE,</w:t>
      </w:r>
    </w:p>
    <w:p w:rsidR="001F3D9E" w:rsidRPr="00150D1F" w:rsidRDefault="001F3D9E" w:rsidP="004E1EF9">
      <w:r w:rsidRPr="00150D1F">
        <w:rPr>
          <w:color w:val="000000"/>
        </w:rPr>
        <w:t>vu le traité sur le fonctionnement de l'Union européenne</w:t>
      </w:r>
      <w:r w:rsidRPr="00150D1F">
        <w:t>,</w:t>
      </w:r>
    </w:p>
    <w:p w:rsidR="001F3D9E" w:rsidRPr="00150D1F" w:rsidRDefault="0021687A" w:rsidP="004E1EF9">
      <w:r w:rsidRPr="00150D1F">
        <w:t>vu le règlement (UE) nº </w:t>
      </w:r>
      <w:r w:rsidRPr="00005517">
        <w:t>575</w:t>
      </w:r>
      <w:r w:rsidRPr="00150D1F">
        <w:t>/</w:t>
      </w:r>
      <w:r w:rsidRPr="00005517">
        <w:t>2013</w:t>
      </w:r>
      <w:r w:rsidRPr="00150D1F">
        <w:t xml:space="preserve"> du Parlement européen et du Conseil du </w:t>
      </w:r>
      <w:r w:rsidRPr="00005517">
        <w:t>26</w:t>
      </w:r>
      <w:r w:rsidRPr="00150D1F">
        <w:t xml:space="preserve"> juin </w:t>
      </w:r>
      <w:r w:rsidRPr="00005517">
        <w:t>2013</w:t>
      </w:r>
      <w:r w:rsidRPr="00150D1F">
        <w:t xml:space="preserve"> concernant les exigences prudentielles applicables aux établissements de crédit et aux entreprises d’investissement et modifiant le règlement (UE) nº </w:t>
      </w:r>
      <w:r w:rsidRPr="00005517">
        <w:t>648</w:t>
      </w:r>
      <w:r w:rsidRPr="00150D1F">
        <w:t>/</w:t>
      </w:r>
      <w:r w:rsidRPr="00005517">
        <w:t>2012</w:t>
      </w:r>
      <w:r w:rsidRPr="00150D1F">
        <w:rPr>
          <w:rStyle w:val="FootnoteReference"/>
        </w:rPr>
        <w:footnoteReference w:id="2"/>
      </w:r>
      <w:r w:rsidRPr="00150D1F">
        <w:t xml:space="preserve">, et notamment son article </w:t>
      </w:r>
      <w:r w:rsidRPr="00005517">
        <w:t>99</w:t>
      </w:r>
      <w:r w:rsidRPr="00150D1F">
        <w:t xml:space="preserve">, paragraphe </w:t>
      </w:r>
      <w:r w:rsidRPr="00005517">
        <w:t>5</w:t>
      </w:r>
      <w:r w:rsidRPr="00150D1F">
        <w:t xml:space="preserve">, quatrième alinéa, son article </w:t>
      </w:r>
      <w:r w:rsidRPr="00005517">
        <w:t>101</w:t>
      </w:r>
      <w:r w:rsidRPr="00150D1F">
        <w:t xml:space="preserve">, paragraphe </w:t>
      </w:r>
      <w:r w:rsidRPr="00005517">
        <w:t>4</w:t>
      </w:r>
      <w:r w:rsidRPr="00150D1F">
        <w:t xml:space="preserve">, troisième alinéa, son article </w:t>
      </w:r>
      <w:r w:rsidRPr="00005517">
        <w:t>415</w:t>
      </w:r>
      <w:r w:rsidRPr="00150D1F">
        <w:t xml:space="preserve">, paragraphe </w:t>
      </w:r>
      <w:r w:rsidRPr="00005517">
        <w:t>3</w:t>
      </w:r>
      <w:r w:rsidRPr="00150D1F">
        <w:t xml:space="preserve">, quatrième alinéa et son article </w:t>
      </w:r>
      <w:r w:rsidRPr="00005517">
        <w:t>430</w:t>
      </w:r>
      <w:r w:rsidRPr="00150D1F">
        <w:t xml:space="preserve">, paragraphe </w:t>
      </w:r>
      <w:r w:rsidRPr="00005517">
        <w:t>2</w:t>
      </w:r>
      <w:r w:rsidRPr="00150D1F">
        <w:t>, troisième alinéa,</w:t>
      </w:r>
    </w:p>
    <w:p w:rsidR="001F3D9E" w:rsidRPr="00150D1F" w:rsidRDefault="001F3D9E" w:rsidP="004E1EF9">
      <w:r w:rsidRPr="00150D1F">
        <w:t>considérant ce qui suit:</w:t>
      </w:r>
    </w:p>
    <w:p w:rsidR="007948B3" w:rsidRPr="00150D1F" w:rsidRDefault="00D84FF4" w:rsidP="00460258">
      <w:pPr>
        <w:pStyle w:val="Considrant"/>
        <w:numPr>
          <w:ilvl w:val="0"/>
          <w:numId w:val="10"/>
        </w:numPr>
        <w:rPr>
          <w:noProof/>
          <w:color w:val="000000"/>
        </w:rPr>
      </w:pPr>
      <w:r w:rsidRPr="00150D1F">
        <w:rPr>
          <w:noProof/>
          <w:color w:val="000000"/>
        </w:rPr>
        <w:t>Le règlement d’exécution (UE) nº </w:t>
      </w:r>
      <w:r w:rsidRPr="00005517">
        <w:rPr>
          <w:noProof/>
          <w:color w:val="000000"/>
        </w:rPr>
        <w:t>680</w:t>
      </w:r>
      <w:r w:rsidRPr="00150D1F">
        <w:rPr>
          <w:noProof/>
          <w:color w:val="000000"/>
        </w:rPr>
        <w:t>/</w:t>
      </w:r>
      <w:r w:rsidRPr="00005517">
        <w:rPr>
          <w:noProof/>
          <w:color w:val="000000"/>
        </w:rPr>
        <w:t>2014</w:t>
      </w:r>
      <w:r w:rsidRPr="00150D1F">
        <w:rPr>
          <w:noProof/>
          <w:color w:val="000000"/>
        </w:rPr>
        <w:t xml:space="preserve"> de la Commission</w:t>
      </w:r>
      <w:r w:rsidRPr="00150D1F">
        <w:rPr>
          <w:rStyle w:val="FootnoteReference"/>
          <w:noProof/>
          <w:color w:val="000000"/>
        </w:rPr>
        <w:footnoteReference w:id="3"/>
      </w:r>
      <w:r w:rsidRPr="00150D1F">
        <w:rPr>
          <w:noProof/>
          <w:color w:val="000000"/>
        </w:rPr>
        <w:t xml:space="preserve"> précise les modalités selon lesquelles les établissements doivent notifier les informations attestant qu’ils respectent les dispositions du règlement (UE) nº </w:t>
      </w:r>
      <w:r w:rsidRPr="00005517">
        <w:rPr>
          <w:noProof/>
          <w:color w:val="000000"/>
        </w:rPr>
        <w:t>575</w:t>
      </w:r>
      <w:r w:rsidRPr="00150D1F">
        <w:rPr>
          <w:noProof/>
          <w:color w:val="000000"/>
        </w:rPr>
        <w:t>/</w:t>
      </w:r>
      <w:r w:rsidRPr="00005517">
        <w:rPr>
          <w:noProof/>
          <w:color w:val="000000"/>
        </w:rPr>
        <w:t>2013</w:t>
      </w:r>
      <w:r w:rsidRPr="00150D1F">
        <w:rPr>
          <w:noProof/>
          <w:color w:val="000000"/>
        </w:rPr>
        <w:t xml:space="preserve">. </w:t>
      </w:r>
      <w:r w:rsidRPr="00150D1F">
        <w:t>Le cadre réglementaire établi par le règlement (UE) nº </w:t>
      </w:r>
      <w:r w:rsidRPr="00005517">
        <w:t>575</w:t>
      </w:r>
      <w:r w:rsidRPr="00150D1F">
        <w:t>/</w:t>
      </w:r>
      <w:r w:rsidRPr="00005517">
        <w:t>2013</w:t>
      </w:r>
      <w:r w:rsidRPr="00150D1F">
        <w:t xml:space="preserve"> étant progressivement complété et modifié en ses éléments non essentiels par l’adoption de nouvelles dispositions de droit dérivé et, dans le cas présent, par le règlement délégué (UE) </w:t>
      </w:r>
      <w:r w:rsidRPr="00005517">
        <w:t>2015</w:t>
      </w:r>
      <w:r w:rsidRPr="00150D1F">
        <w:t>/</w:t>
      </w:r>
      <w:r w:rsidRPr="00005517">
        <w:t>61</w:t>
      </w:r>
      <w:r w:rsidRPr="00150D1F">
        <w:t xml:space="preserve"> de la Commission</w:t>
      </w:r>
      <w:r w:rsidRPr="00150D1F">
        <w:rPr>
          <w:rStyle w:val="FootnoteReference"/>
        </w:rPr>
        <w:footnoteReference w:id="4"/>
      </w:r>
      <w:r w:rsidRPr="00150D1F">
        <w:t>, il y a lieu de mettre à jour également le règlement d’exécution (UE) nº </w:t>
      </w:r>
      <w:r w:rsidRPr="00005517">
        <w:t>680</w:t>
      </w:r>
      <w:r w:rsidRPr="00150D1F">
        <w:t>/</w:t>
      </w:r>
      <w:r w:rsidRPr="00005517">
        <w:t>2014</w:t>
      </w:r>
      <w:r w:rsidRPr="00150D1F">
        <w:t xml:space="preserve"> afin d’y incorporer ces règles et de préciser davantage les instructions et définitions utilisées aux fins de la transmission d’informations prudentielles par les établissements, notamment en ce qui concerne un tableau d’échéances, qui permettrait de rendre compte des asymétries d’échéances du bilan d’un établissement.</w:t>
      </w:r>
    </w:p>
    <w:p w:rsidR="001759CC" w:rsidRPr="00150D1F" w:rsidRDefault="00826EF9" w:rsidP="007948B3">
      <w:pPr>
        <w:pStyle w:val="Considrant"/>
        <w:rPr>
          <w:noProof/>
          <w:color w:val="000000"/>
        </w:rPr>
      </w:pPr>
      <w:r w:rsidRPr="00150D1F">
        <w:t>Il est nécessaire de modifier le règlement (UE) nº </w:t>
      </w:r>
      <w:r w:rsidRPr="00005517">
        <w:t>680</w:t>
      </w:r>
      <w:r w:rsidRPr="00150D1F">
        <w:t>/</w:t>
      </w:r>
      <w:r w:rsidRPr="00005517">
        <w:t>2014</w:t>
      </w:r>
      <w:r w:rsidRPr="00150D1F">
        <w:t xml:space="preserve"> afin de corriger les erreurs de référence et de formatage décelées au cours de son application.</w:t>
      </w:r>
    </w:p>
    <w:p w:rsidR="00D84FF4" w:rsidRPr="00150D1F" w:rsidRDefault="00826EF9" w:rsidP="00D84FF4">
      <w:pPr>
        <w:pStyle w:val="Considrant"/>
        <w:rPr>
          <w:noProof/>
          <w:color w:val="000000"/>
        </w:rPr>
      </w:pPr>
      <w:r w:rsidRPr="00150D1F">
        <w:rPr>
          <w:noProof/>
          <w:color w:val="000000"/>
        </w:rPr>
        <w:t>Il y a lieu également de modifier le règlement d’exécution (UE) nº </w:t>
      </w:r>
      <w:r w:rsidRPr="00005517">
        <w:rPr>
          <w:noProof/>
          <w:color w:val="000000"/>
        </w:rPr>
        <w:t>680</w:t>
      </w:r>
      <w:r w:rsidRPr="00150D1F">
        <w:rPr>
          <w:noProof/>
          <w:color w:val="000000"/>
        </w:rPr>
        <w:t>/</w:t>
      </w:r>
      <w:r w:rsidRPr="00005517">
        <w:rPr>
          <w:noProof/>
          <w:color w:val="000000"/>
        </w:rPr>
        <w:t>2014</w:t>
      </w:r>
      <w:r w:rsidRPr="00150D1F">
        <w:rPr>
          <w:noProof/>
          <w:color w:val="000000"/>
        </w:rPr>
        <w:t xml:space="preserve"> pour qu’il reflète la capacité des autorités compétentes à contrôler et évaluer efficacement le profil de risque des établissements et à obtenir une vue des risques que ceux-ci présentent pour le secteur financier, ce qui requiert une modification des exigences de </w:t>
      </w:r>
      <w:r w:rsidRPr="00150D1F">
        <w:rPr>
          <w:noProof/>
          <w:color w:val="000000"/>
        </w:rPr>
        <w:lastRenderedPageBreak/>
        <w:t>déclaration dans les domaines du risque opérationnel et du risque de crédit ainsi qu’en ce qui concerne les expositions des établissements à des emprunteurs souverains.</w:t>
      </w:r>
    </w:p>
    <w:p w:rsidR="007948B3" w:rsidRPr="00150D1F" w:rsidRDefault="008F0F25" w:rsidP="00E262B0">
      <w:pPr>
        <w:pStyle w:val="Considrant"/>
        <w:rPr>
          <w:noProof/>
        </w:rPr>
      </w:pPr>
      <w:r w:rsidRPr="00150D1F">
        <w:t xml:space="preserve">Afin de laisser aux établissements et aux autorités compétentes suffisamment de temps pour mettre en œuvre les modifications apportées par le présent règlement, celui-ci devrait s’appliquer à partir du </w:t>
      </w:r>
      <w:r w:rsidRPr="00005517">
        <w:t>1</w:t>
      </w:r>
      <w:r w:rsidRPr="00150D1F">
        <w:rPr>
          <w:vertAlign w:val="superscript"/>
        </w:rPr>
        <w:t>er</w:t>
      </w:r>
      <w:r w:rsidRPr="00150D1F">
        <w:t xml:space="preserve"> mars </w:t>
      </w:r>
      <w:r w:rsidRPr="00005517">
        <w:t>2018</w:t>
      </w:r>
      <w:r w:rsidRPr="00150D1F">
        <w:t xml:space="preserve">. </w:t>
      </w:r>
    </w:p>
    <w:p w:rsidR="00D84FF4" w:rsidRPr="00150D1F" w:rsidRDefault="00D84FF4" w:rsidP="00D84FF4">
      <w:pPr>
        <w:pStyle w:val="Considrant"/>
        <w:rPr>
          <w:noProof/>
        </w:rPr>
      </w:pPr>
      <w:r w:rsidRPr="00150D1F">
        <w:t xml:space="preserve">Le présent règlement se fonde sur les projets de normes techniques d'exécution soumis à la Commission par l'Autorité bancaire européenne. </w:t>
      </w:r>
    </w:p>
    <w:p w:rsidR="00D84FF4" w:rsidRPr="00150D1F" w:rsidRDefault="00D84FF4" w:rsidP="003174AC">
      <w:pPr>
        <w:pStyle w:val="Considrant"/>
        <w:rPr>
          <w:noProof/>
        </w:rPr>
      </w:pPr>
      <w:r w:rsidRPr="00150D1F">
        <w:t>L’Autorité bancaire européenne a procédé à des consultations publiques ouvertes sur les projets de normes techniques d'exécution sur lesquels se fonde le présent règlement, analysé les coûts et avantages potentiels qu'ils impliquent et sollicité l’avis du groupe des parties intéressées au secteur bancaire institué en application de l’article </w:t>
      </w:r>
      <w:r w:rsidRPr="00005517">
        <w:t>37</w:t>
      </w:r>
      <w:r w:rsidRPr="00150D1F">
        <w:t xml:space="preserve"> du règlement (UE) nº </w:t>
      </w:r>
      <w:r w:rsidRPr="00005517">
        <w:t>1093</w:t>
      </w:r>
      <w:r w:rsidRPr="00150D1F">
        <w:t>/</w:t>
      </w:r>
      <w:r w:rsidRPr="00005517">
        <w:t>2010</w:t>
      </w:r>
      <w:r w:rsidRPr="00150D1F">
        <w:t xml:space="preserve"> du Parlement européen et du Conseil</w:t>
      </w:r>
      <w:r w:rsidRPr="00247592">
        <w:rPr>
          <w:rStyle w:val="FootnoteReference"/>
          <w:noProof/>
        </w:rPr>
        <w:footnoteReference w:id="5"/>
      </w:r>
      <w:r w:rsidRPr="00150D1F">
        <w:t xml:space="preserve">. </w:t>
      </w:r>
    </w:p>
    <w:p w:rsidR="008E61FF" w:rsidRPr="00150D1F" w:rsidRDefault="0021687A" w:rsidP="004E1EF9">
      <w:pPr>
        <w:pStyle w:val="Considrant"/>
      </w:pPr>
      <w:r w:rsidRPr="00150D1F">
        <w:t>Il y a donc lieu de modifier en conséquence le règlement d'exécution (UE) nº </w:t>
      </w:r>
      <w:r w:rsidRPr="00005517">
        <w:t>680</w:t>
      </w:r>
      <w:r w:rsidRPr="00150D1F">
        <w:t>/</w:t>
      </w:r>
      <w:r w:rsidRPr="00005517">
        <w:t>2014</w:t>
      </w:r>
      <w:r w:rsidRPr="00150D1F">
        <w:t>,</w:t>
      </w:r>
    </w:p>
    <w:p w:rsidR="001F3D9E" w:rsidRPr="00150D1F" w:rsidRDefault="001F3D9E" w:rsidP="004E1EF9">
      <w:pPr>
        <w:pStyle w:val="Formuledadoption"/>
      </w:pPr>
      <w:r w:rsidRPr="00150D1F">
        <w:t>A ADOPTÉ LE PRÉSENT RÈGLEMENT:</w:t>
      </w:r>
    </w:p>
    <w:p w:rsidR="001F3D9E" w:rsidRPr="00150D1F" w:rsidRDefault="001F3D9E" w:rsidP="004E1EF9">
      <w:pPr>
        <w:pStyle w:val="Titrearticle"/>
      </w:pPr>
      <w:r w:rsidRPr="00150D1F">
        <w:t>Article premier</w:t>
      </w:r>
    </w:p>
    <w:p w:rsidR="0021687A" w:rsidRPr="00150D1F" w:rsidRDefault="0021687A" w:rsidP="0021687A">
      <w:pPr>
        <w:keepNext/>
        <w:keepLines/>
        <w:spacing w:before="360"/>
        <w:rPr>
          <w:rFonts w:eastAsia="Times New Roman"/>
          <w:szCs w:val="20"/>
        </w:rPr>
      </w:pPr>
      <w:r w:rsidRPr="00150D1F">
        <w:t>Le règlement d’exécution (UE) nº </w:t>
      </w:r>
      <w:r w:rsidRPr="00005517">
        <w:t>680</w:t>
      </w:r>
      <w:r w:rsidRPr="00150D1F">
        <w:t>/</w:t>
      </w:r>
      <w:r w:rsidRPr="00005517">
        <w:t>2014</w:t>
      </w:r>
      <w:r w:rsidRPr="00150D1F">
        <w:t xml:space="preserve"> est modifié comme suit:</w:t>
      </w:r>
    </w:p>
    <w:p w:rsidR="009E12AA" w:rsidRPr="00150D1F" w:rsidRDefault="00843C95" w:rsidP="00843C95">
      <w:pPr>
        <w:pStyle w:val="Point0"/>
        <w:rPr>
          <w:noProof/>
        </w:rPr>
      </w:pPr>
      <w:r w:rsidRPr="00150D1F">
        <w:t>(</w:t>
      </w:r>
      <w:r w:rsidRPr="00005517">
        <w:t>1</w:t>
      </w:r>
      <w:r w:rsidRPr="00150D1F">
        <w:t>)</w:t>
      </w:r>
      <w:r w:rsidRPr="00150D1F">
        <w:tab/>
        <w:t>À l'article </w:t>
      </w:r>
      <w:r w:rsidRPr="00005517">
        <w:t>5</w:t>
      </w:r>
      <w:r w:rsidRPr="00150D1F">
        <w:t>, point b), le paragraphe </w:t>
      </w:r>
      <w:r w:rsidRPr="00005517">
        <w:t>2</w:t>
      </w:r>
      <w:r w:rsidRPr="00150D1F">
        <w:t xml:space="preserve"> est remplacé par le texte suivant:</w:t>
      </w:r>
    </w:p>
    <w:p w:rsidR="009E12AA" w:rsidRPr="00150D1F" w:rsidRDefault="006B4492" w:rsidP="00BE787C">
      <w:pPr>
        <w:pStyle w:val="Text1"/>
        <w:rPr>
          <w:noProof/>
        </w:rPr>
      </w:pPr>
      <w:r w:rsidRPr="00150D1F">
        <w:t>«</w:t>
      </w:r>
      <w:r w:rsidRPr="00005517">
        <w:t>2</w:t>
      </w:r>
      <w:r w:rsidRPr="00150D1F">
        <w:t>) les informations sur les pertes significatives liées à des événements de risque opérationnel, comme suit:</w:t>
      </w:r>
    </w:p>
    <w:p w:rsidR="009E12AA" w:rsidRPr="00150D1F" w:rsidRDefault="00843C95" w:rsidP="00843C95">
      <w:pPr>
        <w:pStyle w:val="Point2"/>
        <w:rPr>
          <w:noProof/>
        </w:rPr>
      </w:pPr>
      <w:r w:rsidRPr="00150D1F">
        <w:t>a)</w:t>
      </w:r>
      <w:r w:rsidRPr="00150D1F">
        <w:tab/>
        <w:t xml:space="preserve">les établissements qui calculent leurs exigences de fonds propres liées au risque opérationnel en application de la troisième partie, titre III, chapitre </w:t>
      </w:r>
      <w:r w:rsidRPr="00005517">
        <w:t>4</w:t>
      </w:r>
      <w:r w:rsidRPr="00150D1F">
        <w:t>, du règlement (UE) nº </w:t>
      </w:r>
      <w:r w:rsidRPr="00005517">
        <w:t>575</w:t>
      </w:r>
      <w:r w:rsidRPr="00150D1F">
        <w:t>/</w:t>
      </w:r>
      <w:r w:rsidRPr="00005517">
        <w:t>2013</w:t>
      </w:r>
      <w:r w:rsidRPr="00150D1F">
        <w:t xml:space="preserve"> déclarent ces informations selon les modèles </w:t>
      </w:r>
      <w:r w:rsidRPr="00005517">
        <w:t>17</w:t>
      </w:r>
      <w:r w:rsidRPr="00150D1F">
        <w:t>.</w:t>
      </w:r>
      <w:r w:rsidRPr="00005517">
        <w:t>01</w:t>
      </w:r>
      <w:r w:rsidRPr="00150D1F">
        <w:t xml:space="preserve"> et </w:t>
      </w:r>
      <w:r w:rsidRPr="00005517">
        <w:t>17</w:t>
      </w:r>
      <w:r w:rsidRPr="00150D1F">
        <w:t>.</w:t>
      </w:r>
      <w:r w:rsidRPr="00005517">
        <w:t>02</w:t>
      </w:r>
      <w:r w:rsidRPr="00150D1F">
        <w:t xml:space="preserve"> de l'annexe I, conformément aux instructions de la partie II, point </w:t>
      </w:r>
      <w:r w:rsidRPr="00005517">
        <w:t>4</w:t>
      </w:r>
      <w:r w:rsidRPr="00150D1F">
        <w:t>.</w:t>
      </w:r>
      <w:r w:rsidRPr="00005517">
        <w:t>2</w:t>
      </w:r>
      <w:r w:rsidRPr="00150D1F">
        <w:t xml:space="preserve">, de l'annexe II; </w:t>
      </w:r>
    </w:p>
    <w:p w:rsidR="009E12AA" w:rsidRPr="00150D1F" w:rsidRDefault="00843C95" w:rsidP="00843C95">
      <w:pPr>
        <w:pStyle w:val="Point2"/>
        <w:rPr>
          <w:noProof/>
        </w:rPr>
      </w:pPr>
      <w:r w:rsidRPr="00150D1F">
        <w:t>b)</w:t>
      </w:r>
      <w:r w:rsidRPr="00150D1F">
        <w:tab/>
        <w:t xml:space="preserve">les établissements qui calculent leurs exigences de fonds propres liées au risque opérationnel en application de la troisième partie, titre III, chapitre </w:t>
      </w:r>
      <w:r w:rsidRPr="00005517">
        <w:t>3</w:t>
      </w:r>
      <w:r w:rsidRPr="00150D1F">
        <w:t>, du règlement (UE) nº </w:t>
      </w:r>
      <w:r w:rsidRPr="00005517">
        <w:t>575</w:t>
      </w:r>
      <w:r w:rsidRPr="00150D1F">
        <w:t>/</w:t>
      </w:r>
      <w:r w:rsidRPr="00005517">
        <w:t>2013</w:t>
      </w:r>
      <w:r w:rsidRPr="00150D1F">
        <w:t xml:space="preserve"> déclarent ces informations selon les modèles </w:t>
      </w:r>
      <w:r w:rsidRPr="00005517">
        <w:t>17</w:t>
      </w:r>
      <w:r w:rsidRPr="00150D1F">
        <w:t>.</w:t>
      </w:r>
      <w:r w:rsidRPr="00005517">
        <w:t>01</w:t>
      </w:r>
      <w:r w:rsidRPr="00150D1F">
        <w:t xml:space="preserve"> et </w:t>
      </w:r>
      <w:r w:rsidRPr="00005517">
        <w:t>17</w:t>
      </w:r>
      <w:r w:rsidRPr="00150D1F">
        <w:t>.</w:t>
      </w:r>
      <w:r w:rsidRPr="00005517">
        <w:t>02</w:t>
      </w:r>
      <w:r w:rsidRPr="00150D1F">
        <w:t xml:space="preserve"> de l'annexe I, conformément aux instructions de la partie II, point </w:t>
      </w:r>
      <w:r w:rsidRPr="00005517">
        <w:t>4</w:t>
      </w:r>
      <w:r w:rsidRPr="00150D1F">
        <w:t>.</w:t>
      </w:r>
      <w:r w:rsidRPr="00005517">
        <w:t>2</w:t>
      </w:r>
      <w:r w:rsidRPr="00150D1F">
        <w:t>, de l'annexe II, s’ils répondent au moins à l’un des critères suivants:</w:t>
      </w:r>
    </w:p>
    <w:p w:rsidR="009E12AA" w:rsidRPr="00150D1F" w:rsidRDefault="00150D1F" w:rsidP="00843C95">
      <w:pPr>
        <w:pStyle w:val="Point3"/>
        <w:rPr>
          <w:noProof/>
        </w:rPr>
      </w:pPr>
      <w:r>
        <w:t>i)</w:t>
      </w:r>
      <w:r>
        <w:tab/>
      </w:r>
      <w:r w:rsidR="00BC715E" w:rsidRPr="00150D1F">
        <w:t xml:space="preserve">le ratio entre le total du bilan individuel et la somme des totaux des bilans individuels de tous les établissements du même État membre est égal ou supérieur à </w:t>
      </w:r>
      <w:r w:rsidR="00BC715E" w:rsidRPr="00005517">
        <w:t>1</w:t>
      </w:r>
      <w:r w:rsidR="00BC715E" w:rsidRPr="00150D1F">
        <w:t xml:space="preserve"> %, lorsque les totaux des bilans reposent sur les chiffres de fin d’exercice pour l’exercice qui précède l’exercice précédant la date de référence de la déclaration; </w:t>
      </w:r>
    </w:p>
    <w:p w:rsidR="009E12AA" w:rsidRPr="00150D1F" w:rsidRDefault="00150D1F" w:rsidP="00843C95">
      <w:pPr>
        <w:pStyle w:val="Point3"/>
        <w:rPr>
          <w:noProof/>
        </w:rPr>
      </w:pPr>
      <w:r>
        <w:t>ii)</w:t>
      </w:r>
      <w:r>
        <w:tab/>
      </w:r>
      <w:r w:rsidR="00BC715E" w:rsidRPr="00150D1F">
        <w:t xml:space="preserve">la valeur totale des actifs de l’établissement est supérieure à </w:t>
      </w:r>
      <w:r w:rsidR="00BC715E" w:rsidRPr="00005517">
        <w:t>30</w:t>
      </w:r>
      <w:r w:rsidR="00BC715E" w:rsidRPr="00150D1F">
        <w:t> milliards d’EUR;</w:t>
      </w:r>
    </w:p>
    <w:p w:rsidR="009E12AA" w:rsidRPr="00150D1F" w:rsidRDefault="00BC715E" w:rsidP="00843C95">
      <w:pPr>
        <w:pStyle w:val="Point3"/>
        <w:rPr>
          <w:noProof/>
        </w:rPr>
      </w:pPr>
      <w:r w:rsidRPr="00150D1F">
        <w:lastRenderedPageBreak/>
        <w:t>iii)</w:t>
      </w:r>
      <w:r w:rsidRPr="00150D1F">
        <w:tab/>
        <w:t xml:space="preserve">la valeur totale des actifs de l’établissement est supérieure à </w:t>
      </w:r>
      <w:r w:rsidRPr="00005517">
        <w:t>5</w:t>
      </w:r>
      <w:r w:rsidRPr="00150D1F">
        <w:t xml:space="preserve"> milliards d’EUR et à </w:t>
      </w:r>
      <w:r w:rsidRPr="00005517">
        <w:t>20</w:t>
      </w:r>
      <w:r w:rsidRPr="00150D1F">
        <w:t> % du PIB de l’État membre dans lequel il est établi;</w:t>
      </w:r>
    </w:p>
    <w:p w:rsidR="009E12AA" w:rsidRPr="00150D1F" w:rsidRDefault="00BC715E" w:rsidP="00843C95">
      <w:pPr>
        <w:pStyle w:val="Point3"/>
        <w:rPr>
          <w:noProof/>
        </w:rPr>
      </w:pPr>
      <w:r w:rsidRPr="00150D1F">
        <w:t>iv)</w:t>
      </w:r>
      <w:r w:rsidRPr="00150D1F">
        <w:tab/>
        <w:t>la valeur totale des actifs de l’établissement le classe parmi les trois principaux établissements établis dans un État membre donné;</w:t>
      </w:r>
    </w:p>
    <w:p w:rsidR="001B5FA5" w:rsidRPr="00150D1F" w:rsidRDefault="00BC715E" w:rsidP="00843C95">
      <w:pPr>
        <w:pStyle w:val="Point3"/>
        <w:rPr>
          <w:noProof/>
        </w:rPr>
      </w:pPr>
      <w:r w:rsidRPr="00150D1F">
        <w:t>v)</w:t>
      </w:r>
      <w:r w:rsidRPr="00150D1F">
        <w:tab/>
        <w:t xml:space="preserve">l’établissement est la société mère de filiales qui sont elles-mêmes des établissements de crédit établis dans au moins deux États membres autres que l’État membre dans lequel l’établissement mère est agréé, pour autant que les deux conditions suivantes soient remplies: </w:t>
      </w:r>
    </w:p>
    <w:p w:rsidR="001B5FA5" w:rsidRPr="00150D1F" w:rsidRDefault="009E12AA" w:rsidP="00B52549">
      <w:pPr>
        <w:pStyle w:val="Tiret4"/>
        <w:numPr>
          <w:ilvl w:val="0"/>
          <w:numId w:val="11"/>
        </w:numPr>
        <w:rPr>
          <w:noProof/>
        </w:rPr>
      </w:pPr>
      <w:r w:rsidRPr="00150D1F">
        <w:t xml:space="preserve">la valeur du total des actifs consolidés de l’établissement est supérieure à </w:t>
      </w:r>
      <w:r w:rsidRPr="00005517">
        <w:t>5</w:t>
      </w:r>
      <w:r w:rsidRPr="00150D1F">
        <w:t> milliards d’EUR;</w:t>
      </w:r>
    </w:p>
    <w:p w:rsidR="009E12AA" w:rsidRPr="00150D1F" w:rsidRDefault="009E12AA" w:rsidP="00843C95">
      <w:pPr>
        <w:pStyle w:val="Tiret4"/>
        <w:rPr>
          <w:noProof/>
        </w:rPr>
      </w:pPr>
      <w:r w:rsidRPr="00150D1F">
        <w:t xml:space="preserve">plus de </w:t>
      </w:r>
      <w:r w:rsidRPr="00005517">
        <w:t>20</w:t>
      </w:r>
      <w:r w:rsidRPr="00150D1F">
        <w:t xml:space="preserve"> % du total des actifs consolidés de l’établissement au sens du modèle </w:t>
      </w:r>
      <w:r w:rsidRPr="00005517">
        <w:t>1</w:t>
      </w:r>
      <w:r w:rsidRPr="00150D1F">
        <w:t>.</w:t>
      </w:r>
      <w:r w:rsidRPr="00005517">
        <w:t>1</w:t>
      </w:r>
      <w:r w:rsidRPr="00150D1F">
        <w:t xml:space="preserve"> de l’annexe III ou IV, selon le cas, ou du total des passifs consolidés de l’établissement au sens du modèle </w:t>
      </w:r>
      <w:r w:rsidRPr="00005517">
        <w:t>1</w:t>
      </w:r>
      <w:r w:rsidRPr="00150D1F">
        <w:t>.</w:t>
      </w:r>
      <w:r w:rsidRPr="00005517">
        <w:t>2</w:t>
      </w:r>
      <w:r w:rsidRPr="00150D1F">
        <w:t xml:space="preserve"> de l’annexe III ou IV, selon le cas, sont liés à des activités avec des contreparties situées dans un État membre autre que celui dans lequel l’établissement mère est agréé;</w:t>
      </w:r>
    </w:p>
    <w:p w:rsidR="009E12AA" w:rsidRPr="00150D1F" w:rsidRDefault="00843C95" w:rsidP="00843C95">
      <w:pPr>
        <w:pStyle w:val="Point2"/>
        <w:rPr>
          <w:noProof/>
        </w:rPr>
      </w:pPr>
      <w:r w:rsidRPr="00150D1F">
        <w:t>c)</w:t>
      </w:r>
      <w:r w:rsidRPr="00150D1F">
        <w:tab/>
        <w:t xml:space="preserve">les établissements qui calculent leurs exigences de fonds propres liées au risque opérationnel en application de la troisième partie, titre III, chapitre </w:t>
      </w:r>
      <w:r w:rsidRPr="00005517">
        <w:t>3</w:t>
      </w:r>
      <w:r w:rsidRPr="00150D1F">
        <w:t>, du règlement (UE) nº </w:t>
      </w:r>
      <w:r w:rsidRPr="00005517">
        <w:t>575</w:t>
      </w:r>
      <w:r w:rsidRPr="00150D1F">
        <w:t>/</w:t>
      </w:r>
      <w:r w:rsidRPr="00005517">
        <w:t>2013</w:t>
      </w:r>
      <w:r w:rsidRPr="00150D1F">
        <w:t xml:space="preserve"> et qui ne remplissent aucune des conditions du point b) déclarent les informations visées aux points i) et ii) ci-après, conformément aux instructions de la partie II, point </w:t>
      </w:r>
      <w:r w:rsidRPr="00005517">
        <w:t>4</w:t>
      </w:r>
      <w:r w:rsidRPr="00150D1F">
        <w:t>.</w:t>
      </w:r>
      <w:r w:rsidRPr="00005517">
        <w:t>2</w:t>
      </w:r>
      <w:r w:rsidRPr="00150D1F">
        <w:t>, de l'annexe II:</w:t>
      </w:r>
    </w:p>
    <w:p w:rsidR="009E12AA" w:rsidRPr="00150D1F" w:rsidRDefault="00377A2A" w:rsidP="00843C95">
      <w:pPr>
        <w:pStyle w:val="Point3"/>
        <w:rPr>
          <w:noProof/>
        </w:rPr>
      </w:pPr>
      <w:r w:rsidRPr="00150D1F">
        <w:t>i)</w:t>
      </w:r>
      <w:r w:rsidRPr="00150D1F">
        <w:tab/>
        <w:t xml:space="preserve">les informations visées dans la colonne </w:t>
      </w:r>
      <w:r w:rsidRPr="00005517">
        <w:t>080</w:t>
      </w:r>
      <w:r w:rsidRPr="00150D1F">
        <w:t xml:space="preserve"> du modèle </w:t>
      </w:r>
      <w:r w:rsidRPr="00005517">
        <w:t>17</w:t>
      </w:r>
      <w:r w:rsidRPr="00150D1F">
        <w:t>.</w:t>
      </w:r>
      <w:r w:rsidRPr="00005517">
        <w:t>01</w:t>
      </w:r>
      <w:r w:rsidRPr="00150D1F">
        <w:t xml:space="preserve"> de l’annexe I pour les lignes suivantes:</w:t>
      </w:r>
    </w:p>
    <w:p w:rsidR="009E12AA" w:rsidRPr="00150D1F" w:rsidRDefault="009E12AA" w:rsidP="00843C95">
      <w:pPr>
        <w:pStyle w:val="Tiret4"/>
        <w:rPr>
          <w:noProof/>
        </w:rPr>
      </w:pPr>
      <w:r w:rsidRPr="00150D1F">
        <w:t xml:space="preserve">nombre d'événements (nouveaux événements) (ligne </w:t>
      </w:r>
      <w:r w:rsidRPr="00005517">
        <w:t>910</w:t>
      </w:r>
      <w:r w:rsidRPr="00150D1F">
        <w:t>);</w:t>
      </w:r>
    </w:p>
    <w:p w:rsidR="009E12AA" w:rsidRPr="00150D1F" w:rsidRDefault="009E12AA" w:rsidP="00843C95">
      <w:pPr>
        <w:pStyle w:val="Tiret4"/>
        <w:rPr>
          <w:noProof/>
        </w:rPr>
      </w:pPr>
      <w:r w:rsidRPr="00150D1F">
        <w:t xml:space="preserve">montant de perte brute (nouveaux événements) (ligne </w:t>
      </w:r>
      <w:r w:rsidRPr="00005517">
        <w:t>920</w:t>
      </w:r>
      <w:r w:rsidRPr="00150D1F">
        <w:t>);</w:t>
      </w:r>
    </w:p>
    <w:p w:rsidR="009E12AA" w:rsidRPr="00150D1F" w:rsidRDefault="009E12AA" w:rsidP="00843C95">
      <w:pPr>
        <w:pStyle w:val="Tiret4"/>
        <w:rPr>
          <w:noProof/>
        </w:rPr>
      </w:pPr>
      <w:r w:rsidRPr="00150D1F">
        <w:t xml:space="preserve">nombre d’événements </w:t>
      </w:r>
      <w:r w:rsidR="00150D1F">
        <w:t>faisant l'objet d'</w:t>
      </w:r>
      <w:r w:rsidRPr="00150D1F">
        <w:t xml:space="preserve">ajustements de perte (ligne </w:t>
      </w:r>
      <w:r w:rsidRPr="00005517">
        <w:t>930</w:t>
      </w:r>
      <w:r w:rsidRPr="00150D1F">
        <w:t>);</w:t>
      </w:r>
    </w:p>
    <w:p w:rsidR="009E12AA" w:rsidRPr="00150D1F" w:rsidRDefault="009E12AA" w:rsidP="00843C95">
      <w:pPr>
        <w:pStyle w:val="Tiret4"/>
        <w:rPr>
          <w:noProof/>
        </w:rPr>
      </w:pPr>
      <w:r w:rsidRPr="00150D1F">
        <w:t xml:space="preserve">ajustements de perte relatifs à des périodes de déclaration précédentes (ligne </w:t>
      </w:r>
      <w:r w:rsidRPr="00005517">
        <w:t>940</w:t>
      </w:r>
      <w:r w:rsidRPr="00150D1F">
        <w:t>)</w:t>
      </w:r>
    </w:p>
    <w:p w:rsidR="009E12AA" w:rsidRPr="00150D1F" w:rsidRDefault="00377A2A" w:rsidP="00843C95">
      <w:pPr>
        <w:pStyle w:val="Tiret4"/>
        <w:rPr>
          <w:noProof/>
        </w:rPr>
      </w:pPr>
      <w:r w:rsidRPr="00150D1F">
        <w:t xml:space="preserve">perte individuelle maximale (ligne </w:t>
      </w:r>
      <w:r w:rsidRPr="00005517">
        <w:t>950</w:t>
      </w:r>
      <w:r w:rsidRPr="00150D1F">
        <w:t xml:space="preserve">); </w:t>
      </w:r>
    </w:p>
    <w:p w:rsidR="009E12AA" w:rsidRPr="00150D1F" w:rsidRDefault="00377A2A" w:rsidP="00843C95">
      <w:pPr>
        <w:pStyle w:val="Tiret4"/>
        <w:rPr>
          <w:noProof/>
        </w:rPr>
      </w:pPr>
      <w:r w:rsidRPr="00150D1F">
        <w:t xml:space="preserve">somme des cinq pertes les plus élevées (ligne </w:t>
      </w:r>
      <w:r w:rsidRPr="00005517">
        <w:t>960</w:t>
      </w:r>
      <w:r w:rsidRPr="00150D1F">
        <w:t>);</w:t>
      </w:r>
    </w:p>
    <w:p w:rsidR="009E12AA" w:rsidRPr="00150D1F" w:rsidRDefault="009E12AA" w:rsidP="00843C95">
      <w:pPr>
        <w:pStyle w:val="Tiret4"/>
        <w:rPr>
          <w:noProof/>
        </w:rPr>
      </w:pPr>
      <w:r w:rsidRPr="00150D1F">
        <w:t xml:space="preserve">recouvrements de pertes directs totaux (à l’exception de ceux provenant des assurances et autres mécanismes de transfert du risque) (ligne </w:t>
      </w:r>
      <w:r w:rsidRPr="00005517">
        <w:t>970</w:t>
      </w:r>
      <w:r w:rsidRPr="00150D1F">
        <w:t>);</w:t>
      </w:r>
    </w:p>
    <w:p w:rsidR="009E12AA" w:rsidRPr="00150D1F" w:rsidRDefault="009E12AA" w:rsidP="00843C95">
      <w:pPr>
        <w:pStyle w:val="Tiret4"/>
        <w:rPr>
          <w:noProof/>
        </w:rPr>
      </w:pPr>
      <w:r w:rsidRPr="00150D1F">
        <w:t xml:space="preserve">recouvrements totaux provenant des assurances et autres mécanismes de transfert du risque) (ligne </w:t>
      </w:r>
      <w:r w:rsidRPr="00005517">
        <w:t>980</w:t>
      </w:r>
      <w:r w:rsidRPr="00150D1F">
        <w:t>);</w:t>
      </w:r>
    </w:p>
    <w:p w:rsidR="009E12AA" w:rsidRPr="00150D1F" w:rsidRDefault="00377A2A" w:rsidP="00843C95">
      <w:pPr>
        <w:pStyle w:val="Point3"/>
        <w:rPr>
          <w:noProof/>
        </w:rPr>
      </w:pPr>
      <w:r w:rsidRPr="00150D1F">
        <w:t>ii)</w:t>
      </w:r>
      <w:r w:rsidRPr="00150D1F">
        <w:tab/>
        <w:t xml:space="preserve">les informations visées au modèle </w:t>
      </w:r>
      <w:r w:rsidRPr="00005517">
        <w:t>17</w:t>
      </w:r>
      <w:r w:rsidRPr="00150D1F">
        <w:t>.</w:t>
      </w:r>
      <w:r w:rsidRPr="00005517">
        <w:t>02</w:t>
      </w:r>
      <w:r w:rsidRPr="00150D1F">
        <w:t xml:space="preserve"> de l’annexe I;</w:t>
      </w:r>
    </w:p>
    <w:p w:rsidR="009E12AA" w:rsidRPr="00150D1F" w:rsidRDefault="00843C95" w:rsidP="00843C95">
      <w:pPr>
        <w:pStyle w:val="Point2"/>
        <w:rPr>
          <w:noProof/>
        </w:rPr>
      </w:pPr>
      <w:r w:rsidRPr="00150D1F">
        <w:t>d)</w:t>
      </w:r>
      <w:r w:rsidRPr="00150D1F">
        <w:tab/>
        <w:t xml:space="preserve">les établissements visés au point c) peuvent déclarer l’ensemble complet d’informations visé aux modèles </w:t>
      </w:r>
      <w:r w:rsidRPr="00005517">
        <w:t>17</w:t>
      </w:r>
      <w:r w:rsidRPr="00150D1F">
        <w:t>.</w:t>
      </w:r>
      <w:r w:rsidRPr="00005517">
        <w:t>01</w:t>
      </w:r>
      <w:r w:rsidRPr="00150D1F">
        <w:t xml:space="preserve"> et </w:t>
      </w:r>
      <w:r w:rsidRPr="00005517">
        <w:t>17</w:t>
      </w:r>
      <w:r w:rsidRPr="00150D1F">
        <w:t>.</w:t>
      </w:r>
      <w:r w:rsidRPr="00005517">
        <w:t>02</w:t>
      </w:r>
      <w:r w:rsidRPr="00150D1F">
        <w:t xml:space="preserve"> de l’annexe I, conformément aux instructions de la partie II, point </w:t>
      </w:r>
      <w:r w:rsidRPr="00005517">
        <w:t>4</w:t>
      </w:r>
      <w:r w:rsidRPr="00150D1F">
        <w:t>.</w:t>
      </w:r>
      <w:r w:rsidRPr="00005517">
        <w:t>2</w:t>
      </w:r>
      <w:r w:rsidRPr="00150D1F">
        <w:t>, de l’annexe II;</w:t>
      </w:r>
    </w:p>
    <w:p w:rsidR="009E12AA" w:rsidRPr="00150D1F" w:rsidRDefault="00843C95" w:rsidP="00843C95">
      <w:pPr>
        <w:pStyle w:val="Point2"/>
        <w:rPr>
          <w:noProof/>
        </w:rPr>
      </w:pPr>
      <w:r w:rsidRPr="00150D1F">
        <w:lastRenderedPageBreak/>
        <w:t>e)</w:t>
      </w:r>
      <w:r w:rsidRPr="00150D1F">
        <w:tab/>
        <w:t xml:space="preserve">les établissements qui calculent leurs exigences de fonds propres liées au risque opérationnel en application de la troisième partie, titre III, chapitre </w:t>
      </w:r>
      <w:r w:rsidRPr="00005517">
        <w:t>2</w:t>
      </w:r>
      <w:r w:rsidRPr="00150D1F">
        <w:t>, du règlement (UE) nº </w:t>
      </w:r>
      <w:r w:rsidRPr="00005517">
        <w:t>575</w:t>
      </w:r>
      <w:r w:rsidRPr="00150D1F">
        <w:t>/</w:t>
      </w:r>
      <w:r w:rsidRPr="00005517">
        <w:t>2013</w:t>
      </w:r>
      <w:r w:rsidRPr="00150D1F">
        <w:t xml:space="preserve"> et qui remplissent au moins l’une des conditions du point b) ii) à v) déclarent les informations en la matière indiquées dans les modèles </w:t>
      </w:r>
      <w:r w:rsidRPr="00005517">
        <w:t>17</w:t>
      </w:r>
      <w:r w:rsidRPr="00150D1F">
        <w:t>.</w:t>
      </w:r>
      <w:r w:rsidRPr="00005517">
        <w:t>01</w:t>
      </w:r>
      <w:r w:rsidRPr="00150D1F">
        <w:t xml:space="preserve"> et </w:t>
      </w:r>
      <w:r w:rsidRPr="00005517">
        <w:t>17</w:t>
      </w:r>
      <w:r w:rsidRPr="00150D1F">
        <w:t>.</w:t>
      </w:r>
      <w:r w:rsidRPr="00005517">
        <w:t>02</w:t>
      </w:r>
      <w:r w:rsidRPr="00150D1F">
        <w:t xml:space="preserve"> de l'annexe I conformément aux instructions de la partie II, point </w:t>
      </w:r>
      <w:r w:rsidRPr="00005517">
        <w:t>4</w:t>
      </w:r>
      <w:r w:rsidRPr="00150D1F">
        <w:t>.</w:t>
      </w:r>
      <w:r w:rsidRPr="00005517">
        <w:t>2</w:t>
      </w:r>
      <w:r w:rsidRPr="00150D1F">
        <w:t>, de l'annexe II;</w:t>
      </w:r>
    </w:p>
    <w:p w:rsidR="009E12AA" w:rsidRPr="00150D1F" w:rsidRDefault="00843C95" w:rsidP="00843C95">
      <w:pPr>
        <w:pStyle w:val="Point2"/>
      </w:pPr>
      <w:r w:rsidRPr="00150D1F">
        <w:t>f)</w:t>
      </w:r>
      <w:r w:rsidRPr="00150D1F">
        <w:tab/>
        <w:t xml:space="preserve">les établissements qui calculent leurs exigences de fonds propres liées au risque opérationnel en application de la troisième partie, titre III, chapitre </w:t>
      </w:r>
      <w:r w:rsidRPr="00005517">
        <w:t>2</w:t>
      </w:r>
      <w:r w:rsidRPr="00150D1F">
        <w:t>, du règlement (UE) nº </w:t>
      </w:r>
      <w:r w:rsidRPr="00005517">
        <w:t>575</w:t>
      </w:r>
      <w:r w:rsidRPr="00150D1F">
        <w:t>/</w:t>
      </w:r>
      <w:r w:rsidRPr="00005517">
        <w:t>2013</w:t>
      </w:r>
      <w:r w:rsidRPr="00150D1F">
        <w:t xml:space="preserve"> et qui ne remplissent aucune des conditions du point b) ii) à v) peuvent déclarer les informations indiquées dans les modèles </w:t>
      </w:r>
      <w:r w:rsidRPr="00005517">
        <w:t>17</w:t>
      </w:r>
      <w:r w:rsidRPr="00150D1F">
        <w:t>.</w:t>
      </w:r>
      <w:r w:rsidRPr="00005517">
        <w:t>01</w:t>
      </w:r>
      <w:r w:rsidRPr="00150D1F">
        <w:t xml:space="preserve"> et </w:t>
      </w:r>
      <w:r w:rsidRPr="00005517">
        <w:t>17</w:t>
      </w:r>
      <w:r w:rsidRPr="00150D1F">
        <w:t>.</w:t>
      </w:r>
      <w:r w:rsidRPr="00005517">
        <w:t>02</w:t>
      </w:r>
      <w:r w:rsidRPr="00150D1F">
        <w:t xml:space="preserve"> de l'annexe I conformément aux instructions de la partie II, point </w:t>
      </w:r>
      <w:r w:rsidRPr="00005517">
        <w:t>4</w:t>
      </w:r>
      <w:r w:rsidRPr="00150D1F">
        <w:t>.</w:t>
      </w:r>
      <w:r w:rsidRPr="00005517">
        <w:t>2</w:t>
      </w:r>
      <w:r w:rsidRPr="00150D1F">
        <w:t>, de l’annexe II;</w:t>
      </w:r>
    </w:p>
    <w:p w:rsidR="009E12AA" w:rsidRPr="00150D1F" w:rsidRDefault="00843C95" w:rsidP="00843C95">
      <w:pPr>
        <w:pStyle w:val="Point2"/>
        <w:rPr>
          <w:noProof/>
        </w:rPr>
      </w:pPr>
      <w:r w:rsidRPr="00150D1F">
        <w:t>g)</w:t>
      </w:r>
      <w:r w:rsidRPr="00150D1F">
        <w:tab/>
        <w:t xml:space="preserve">les critères d'entrée et de sortie de l'article </w:t>
      </w:r>
      <w:r w:rsidRPr="00005517">
        <w:t>4</w:t>
      </w:r>
      <w:r w:rsidRPr="00150D1F">
        <w:t xml:space="preserve"> s'appliquent.»;</w:t>
      </w:r>
    </w:p>
    <w:p w:rsidR="009E12AA" w:rsidRPr="00150D1F" w:rsidRDefault="00240D7D" w:rsidP="00843C95">
      <w:pPr>
        <w:pStyle w:val="Point0"/>
        <w:rPr>
          <w:noProof/>
        </w:rPr>
      </w:pPr>
      <w:r w:rsidRPr="00150D1F">
        <w:t>(</w:t>
      </w:r>
      <w:r w:rsidRPr="00005517">
        <w:t>2</w:t>
      </w:r>
      <w:r w:rsidRPr="00150D1F">
        <w:t>)</w:t>
      </w:r>
      <w:r w:rsidRPr="00150D1F">
        <w:tab/>
        <w:t xml:space="preserve">À l’article </w:t>
      </w:r>
      <w:r w:rsidRPr="00005517">
        <w:t>5</w:t>
      </w:r>
      <w:r w:rsidRPr="00150D1F">
        <w:t xml:space="preserve">, point b), le paragraphe </w:t>
      </w:r>
      <w:r w:rsidRPr="00005517">
        <w:t>3</w:t>
      </w:r>
      <w:r w:rsidRPr="00150D1F">
        <w:t xml:space="preserve"> suivant est ajouté:</w:t>
      </w:r>
    </w:p>
    <w:p w:rsidR="009E12AA" w:rsidRPr="00150D1F" w:rsidRDefault="006B4492" w:rsidP="00317EE5">
      <w:pPr>
        <w:pStyle w:val="Text1"/>
        <w:rPr>
          <w:noProof/>
        </w:rPr>
      </w:pPr>
      <w:r w:rsidRPr="00150D1F">
        <w:t>«</w:t>
      </w:r>
      <w:r w:rsidRPr="00005517">
        <w:t>3</w:t>
      </w:r>
      <w:r w:rsidRPr="00150D1F">
        <w:t>) les informations sur les expositions souveraines, comme suit:</w:t>
      </w:r>
    </w:p>
    <w:p w:rsidR="009E12AA" w:rsidRPr="00150D1F" w:rsidRDefault="00843C95" w:rsidP="00843C95">
      <w:pPr>
        <w:pStyle w:val="Point2"/>
        <w:rPr>
          <w:noProof/>
        </w:rPr>
      </w:pPr>
      <w:r w:rsidRPr="00150D1F">
        <w:t>a)</w:t>
      </w:r>
      <w:r w:rsidRPr="00150D1F">
        <w:tab/>
        <w:t xml:space="preserve">les établissements déclarent les informations spécifiées au modèle </w:t>
      </w:r>
      <w:r w:rsidRPr="00005517">
        <w:t>33</w:t>
      </w:r>
      <w:r w:rsidRPr="00150D1F">
        <w:t xml:space="preserve"> de l’annexe I conformément aux instructions de la partie II, point </w:t>
      </w:r>
      <w:r w:rsidRPr="00005517">
        <w:t>6</w:t>
      </w:r>
      <w:r w:rsidRPr="00150D1F">
        <w:t xml:space="preserve">, de l’annexe II, lorsque la valeur comptable totale des actifs financiers de la contrepartie «Administrations publiques» est égale ou supérieure à </w:t>
      </w:r>
      <w:r w:rsidRPr="00005517">
        <w:t>1</w:t>
      </w:r>
      <w:r w:rsidRPr="00150D1F">
        <w:t xml:space="preserve"> % de la somme des valeurs comptables totales des «Titres de créance et des prêts et avances». Pour déterminer ces valeurs comptables, les établissements appliquent les définitions utilisées dans les modèles </w:t>
      </w:r>
      <w:r w:rsidRPr="00005517">
        <w:t>4</w:t>
      </w:r>
      <w:r w:rsidRPr="00150D1F">
        <w:t>.</w:t>
      </w:r>
      <w:r w:rsidRPr="00005517">
        <w:t>1</w:t>
      </w:r>
      <w:r w:rsidRPr="00150D1F">
        <w:t xml:space="preserve"> à </w:t>
      </w:r>
      <w:r w:rsidRPr="00005517">
        <w:t>4</w:t>
      </w:r>
      <w:r w:rsidRPr="00150D1F">
        <w:t>.</w:t>
      </w:r>
      <w:r w:rsidRPr="00005517">
        <w:t>4</w:t>
      </w:r>
      <w:r w:rsidRPr="00150D1F">
        <w:t>.</w:t>
      </w:r>
      <w:r w:rsidRPr="00005517">
        <w:t>1</w:t>
      </w:r>
      <w:r w:rsidRPr="00150D1F">
        <w:t xml:space="preserve"> de l’annexe III ou les modèles </w:t>
      </w:r>
      <w:r w:rsidRPr="00005517">
        <w:t>4</w:t>
      </w:r>
      <w:r w:rsidRPr="00150D1F">
        <w:t>.</w:t>
      </w:r>
      <w:r w:rsidRPr="00005517">
        <w:t>1</w:t>
      </w:r>
      <w:r w:rsidRPr="00150D1F">
        <w:t xml:space="preserve"> à </w:t>
      </w:r>
      <w:r w:rsidRPr="00005517">
        <w:t>4</w:t>
      </w:r>
      <w:r w:rsidRPr="00150D1F">
        <w:t>.</w:t>
      </w:r>
      <w:r w:rsidRPr="00005517">
        <w:t>4</w:t>
      </w:r>
      <w:r w:rsidRPr="00150D1F">
        <w:t>.</w:t>
      </w:r>
      <w:r w:rsidRPr="00005517">
        <w:t>1</w:t>
      </w:r>
      <w:r w:rsidRPr="00150D1F">
        <w:t xml:space="preserve"> et </w:t>
      </w:r>
      <w:r w:rsidRPr="00005517">
        <w:t>4</w:t>
      </w:r>
      <w:r w:rsidRPr="00150D1F">
        <w:t>.</w:t>
      </w:r>
      <w:r w:rsidRPr="00005517">
        <w:t>6</w:t>
      </w:r>
      <w:r w:rsidRPr="00150D1F">
        <w:t xml:space="preserve"> à </w:t>
      </w:r>
      <w:r w:rsidRPr="00005517">
        <w:t>4</w:t>
      </w:r>
      <w:r w:rsidRPr="00150D1F">
        <w:t>.</w:t>
      </w:r>
      <w:r w:rsidRPr="00005517">
        <w:t>10</w:t>
      </w:r>
      <w:r w:rsidRPr="00150D1F">
        <w:t xml:space="preserve"> de l’annexe IV, selon le cas;</w:t>
      </w:r>
    </w:p>
    <w:p w:rsidR="009E12AA" w:rsidRPr="00150D1F" w:rsidRDefault="00843C95" w:rsidP="00843C95">
      <w:pPr>
        <w:pStyle w:val="Point2"/>
        <w:rPr>
          <w:noProof/>
        </w:rPr>
      </w:pPr>
      <w:r w:rsidRPr="00150D1F">
        <w:t>b)</w:t>
      </w:r>
      <w:r w:rsidRPr="00150D1F">
        <w:tab/>
        <w:t xml:space="preserve">lorsque la valeur déclarée pour les expositions domestiques d'actifs financiers non dérivés au sens de la ligne </w:t>
      </w:r>
      <w:r w:rsidRPr="00005517">
        <w:t>010</w:t>
      </w:r>
      <w:r w:rsidRPr="00150D1F">
        <w:t xml:space="preserve">, colonne </w:t>
      </w:r>
      <w:r w:rsidRPr="00005517">
        <w:t>010</w:t>
      </w:r>
      <w:r w:rsidRPr="00150D1F">
        <w:t>, du modèle </w:t>
      </w:r>
      <w:r w:rsidRPr="00005517">
        <w:t>33</w:t>
      </w:r>
      <w:r w:rsidRPr="00150D1F">
        <w:t xml:space="preserve"> de l’annexe I représente moins de </w:t>
      </w:r>
      <w:r w:rsidRPr="00005517">
        <w:t>90</w:t>
      </w:r>
      <w:r w:rsidRPr="00150D1F">
        <w:t xml:space="preserve"> % de la valeur déclarée pour les expositions domestiques et non domestiques du même point de données, les établissements qui répondent au critère visé au point a) déclarent les informations spécifiées au modèle </w:t>
      </w:r>
      <w:r w:rsidRPr="00005517">
        <w:t>33</w:t>
      </w:r>
      <w:r w:rsidRPr="00150D1F">
        <w:t xml:space="preserve"> de l’annexe I conformément aux instructions de la partie II, point </w:t>
      </w:r>
      <w:r w:rsidRPr="00005517">
        <w:t>6</w:t>
      </w:r>
      <w:r w:rsidRPr="00150D1F">
        <w:t>, de l’annexe II, agrégées au niveau total et pour chacun des pays auxquels ils sont exposés;</w:t>
      </w:r>
    </w:p>
    <w:p w:rsidR="00530F7B" w:rsidRPr="00150D1F" w:rsidRDefault="00843C95" w:rsidP="00843C95">
      <w:pPr>
        <w:pStyle w:val="Point2"/>
        <w:rPr>
          <w:noProof/>
        </w:rPr>
      </w:pPr>
      <w:r w:rsidRPr="00150D1F">
        <w:t>c)</w:t>
      </w:r>
      <w:r w:rsidRPr="00150D1F">
        <w:tab/>
        <w:t xml:space="preserve">les établissements qui répondent au critère visé au point a) mais pas à celui visé au point b) communiquent les informations spécifiées au modèle </w:t>
      </w:r>
      <w:r w:rsidRPr="00005517">
        <w:t>33</w:t>
      </w:r>
      <w:r w:rsidRPr="00150D1F">
        <w:t xml:space="preserve"> de l’annexe I conformément aux instructions de la partie II, point </w:t>
      </w:r>
      <w:r w:rsidRPr="00005517">
        <w:t>6</w:t>
      </w:r>
      <w:r w:rsidRPr="00150D1F">
        <w:t>, de l’annexe II, avec les expositions agrégées au niveau total et au niveau national;</w:t>
      </w:r>
    </w:p>
    <w:p w:rsidR="00530F7B" w:rsidRPr="00150D1F" w:rsidRDefault="00843C95" w:rsidP="00843C95">
      <w:pPr>
        <w:pStyle w:val="Point2"/>
        <w:rPr>
          <w:noProof/>
        </w:rPr>
      </w:pPr>
      <w:r w:rsidRPr="00150D1F">
        <w:t>d)</w:t>
      </w:r>
      <w:r w:rsidRPr="00150D1F">
        <w:tab/>
        <w:t xml:space="preserve">les critères d'entrée et de sortie de l'article </w:t>
      </w:r>
      <w:r w:rsidRPr="00005517">
        <w:t>4</w:t>
      </w:r>
      <w:r w:rsidRPr="00150D1F">
        <w:t xml:space="preserve"> s'appliquent.»;</w:t>
      </w:r>
    </w:p>
    <w:p w:rsidR="00517ABE" w:rsidRPr="00150D1F" w:rsidRDefault="00240D7D" w:rsidP="00843C95">
      <w:pPr>
        <w:pStyle w:val="Point0"/>
        <w:rPr>
          <w:noProof/>
        </w:rPr>
      </w:pPr>
      <w:r w:rsidRPr="00150D1F">
        <w:t>(</w:t>
      </w:r>
      <w:r w:rsidRPr="00005517">
        <w:t>3</w:t>
      </w:r>
      <w:r w:rsidRPr="00150D1F">
        <w:t>)</w:t>
      </w:r>
      <w:r w:rsidRPr="00150D1F">
        <w:tab/>
        <w:t xml:space="preserve">À l’article </w:t>
      </w:r>
      <w:r w:rsidRPr="00005517">
        <w:t>16</w:t>
      </w:r>
      <w:r w:rsidRPr="00150D1F">
        <w:t xml:space="preserve"> </w:t>
      </w:r>
      <w:r w:rsidRPr="00150D1F">
        <w:rPr>
          <w:i/>
        </w:rPr>
        <w:t>ter</w:t>
      </w:r>
      <w:r w:rsidRPr="00150D1F">
        <w:t>, paragraphe </w:t>
      </w:r>
      <w:r w:rsidRPr="00005517">
        <w:t>1</w:t>
      </w:r>
      <w:r w:rsidRPr="00150D1F">
        <w:t xml:space="preserve">, le point c) suivant est ajouté: </w:t>
      </w:r>
    </w:p>
    <w:p w:rsidR="006B4492" w:rsidRPr="00150D1F" w:rsidRDefault="006B4492" w:rsidP="00C21747">
      <w:pPr>
        <w:pStyle w:val="Text1"/>
        <w:rPr>
          <w:noProof/>
        </w:rPr>
      </w:pPr>
      <w:r w:rsidRPr="00150D1F">
        <w:t>«c) les informations spécifiées à l'annexe XXII conformément aux instructions de l'annexe XXIII.»;</w:t>
      </w:r>
    </w:p>
    <w:p w:rsidR="00517ABE" w:rsidRPr="00150D1F" w:rsidRDefault="002D728C" w:rsidP="00843C95">
      <w:pPr>
        <w:pStyle w:val="Point0"/>
        <w:rPr>
          <w:noProof/>
        </w:rPr>
      </w:pPr>
      <w:r w:rsidRPr="00150D1F">
        <w:t>(</w:t>
      </w:r>
      <w:r w:rsidRPr="00005517">
        <w:t>4</w:t>
      </w:r>
      <w:r w:rsidRPr="00150D1F">
        <w:t>)</w:t>
      </w:r>
      <w:r w:rsidRPr="00150D1F">
        <w:tab/>
        <w:t xml:space="preserve">À l'article </w:t>
      </w:r>
      <w:r w:rsidRPr="00005517">
        <w:t>16</w:t>
      </w:r>
      <w:r w:rsidRPr="00150D1F">
        <w:t xml:space="preserve"> </w:t>
      </w:r>
      <w:r w:rsidRPr="00150D1F">
        <w:rPr>
          <w:i/>
        </w:rPr>
        <w:t>ter</w:t>
      </w:r>
      <w:r w:rsidRPr="00150D1F">
        <w:t xml:space="preserve">, paragraphe </w:t>
      </w:r>
      <w:r w:rsidRPr="00005517">
        <w:t>2</w:t>
      </w:r>
      <w:r w:rsidRPr="00150D1F">
        <w:t xml:space="preserve">, le point a) est remplacé par le texte suivant: </w:t>
      </w:r>
    </w:p>
    <w:p w:rsidR="006B4492" w:rsidRPr="00150D1F" w:rsidRDefault="006B4492" w:rsidP="00C21747">
      <w:pPr>
        <w:pStyle w:val="Text1"/>
        <w:rPr>
          <w:noProof/>
        </w:rPr>
      </w:pPr>
      <w:r w:rsidRPr="00150D1F">
        <w:t xml:space="preserve">«a) l’établissement ne fait pas partie d’un groupe comptant des établissements de crédit, des entreprises d’investissement ou des établissements financiers dont des </w:t>
      </w:r>
      <w:r w:rsidRPr="00150D1F">
        <w:lastRenderedPageBreak/>
        <w:t xml:space="preserve">filiales ou des établissements mères sont situés en dehors du territoire sur lequel il est enregistré;»; </w:t>
      </w:r>
    </w:p>
    <w:p w:rsidR="001F23FA" w:rsidRPr="00150D1F" w:rsidRDefault="002D728C" w:rsidP="00843C95">
      <w:pPr>
        <w:pStyle w:val="Point0"/>
        <w:rPr>
          <w:noProof/>
        </w:rPr>
      </w:pPr>
      <w:r w:rsidRPr="00150D1F">
        <w:t>(</w:t>
      </w:r>
      <w:r w:rsidRPr="00005517">
        <w:t>5</w:t>
      </w:r>
      <w:r w:rsidRPr="00150D1F">
        <w:t>)</w:t>
      </w:r>
      <w:r w:rsidRPr="00150D1F">
        <w:tab/>
        <w:t xml:space="preserve">L'annexe I est remplacée par le texte figurant à l'annexe I du présent règlement; </w:t>
      </w:r>
    </w:p>
    <w:p w:rsidR="00775058" w:rsidRPr="00150D1F" w:rsidRDefault="00F02212" w:rsidP="00843C95">
      <w:pPr>
        <w:pStyle w:val="Point0"/>
        <w:rPr>
          <w:noProof/>
        </w:rPr>
      </w:pPr>
      <w:r w:rsidRPr="00150D1F">
        <w:t>(</w:t>
      </w:r>
      <w:r w:rsidRPr="00005517">
        <w:t>6</w:t>
      </w:r>
      <w:r w:rsidRPr="00150D1F">
        <w:t>)</w:t>
      </w:r>
      <w:r w:rsidRPr="00150D1F">
        <w:tab/>
        <w:t xml:space="preserve">L'annexe II est remplacée par le texte figurant à l'annexe II du présent règlement; </w:t>
      </w:r>
    </w:p>
    <w:p w:rsidR="0021687A" w:rsidRPr="00150D1F" w:rsidRDefault="00F02212" w:rsidP="00843C95">
      <w:pPr>
        <w:pStyle w:val="Point0"/>
        <w:rPr>
          <w:noProof/>
        </w:rPr>
      </w:pPr>
      <w:r w:rsidRPr="00150D1F">
        <w:t>(</w:t>
      </w:r>
      <w:r w:rsidRPr="00005517">
        <w:t>7</w:t>
      </w:r>
      <w:r w:rsidRPr="00150D1F">
        <w:t>)</w:t>
      </w:r>
      <w:r w:rsidRPr="00150D1F">
        <w:tab/>
        <w:t>L'annexe VII est remplacée par le texte figurant à l'annexe III du présent règlement;</w:t>
      </w:r>
    </w:p>
    <w:p w:rsidR="001F3D9E" w:rsidRPr="00150D1F" w:rsidRDefault="00F02212" w:rsidP="00843C95">
      <w:pPr>
        <w:pStyle w:val="Point0"/>
        <w:rPr>
          <w:noProof/>
        </w:rPr>
      </w:pPr>
      <w:r w:rsidRPr="00150D1F">
        <w:t>(</w:t>
      </w:r>
      <w:r w:rsidRPr="00005517">
        <w:t>8</w:t>
      </w:r>
      <w:r w:rsidRPr="00150D1F">
        <w:t>)</w:t>
      </w:r>
      <w:r w:rsidRPr="00150D1F">
        <w:tab/>
        <w:t>L'annexe XI est remplacée par le texte figurant à l'annexe IV du présent règlement;</w:t>
      </w:r>
    </w:p>
    <w:p w:rsidR="00D84FF4" w:rsidRPr="00150D1F" w:rsidRDefault="00F02212" w:rsidP="00843C95">
      <w:pPr>
        <w:pStyle w:val="Point0"/>
        <w:rPr>
          <w:noProof/>
        </w:rPr>
      </w:pPr>
      <w:r w:rsidRPr="00150D1F">
        <w:t>(</w:t>
      </w:r>
      <w:r w:rsidRPr="00005517">
        <w:t>9</w:t>
      </w:r>
      <w:r w:rsidRPr="00150D1F">
        <w:t>)</w:t>
      </w:r>
      <w:r w:rsidRPr="00150D1F">
        <w:tab/>
        <w:t>L'annexe XIV est remplacée par le texte figurant à l'annexe V du présent règlement;</w:t>
      </w:r>
    </w:p>
    <w:p w:rsidR="00D84FF4" w:rsidRPr="00150D1F" w:rsidRDefault="00F02212" w:rsidP="00843C95">
      <w:pPr>
        <w:pStyle w:val="Point0"/>
        <w:rPr>
          <w:noProof/>
        </w:rPr>
      </w:pPr>
      <w:r w:rsidRPr="00150D1F">
        <w:t>(</w:t>
      </w:r>
      <w:r w:rsidRPr="00005517">
        <w:t>10</w:t>
      </w:r>
      <w:r w:rsidRPr="00150D1F">
        <w:t>)</w:t>
      </w:r>
      <w:r w:rsidRPr="00150D1F">
        <w:tab/>
        <w:t>L’annexe XV est remplacée par le texte figurant à l’annexe VI du présent règlement;</w:t>
      </w:r>
    </w:p>
    <w:p w:rsidR="006B4492" w:rsidRPr="00150D1F" w:rsidRDefault="00F02212" w:rsidP="00843C95">
      <w:pPr>
        <w:pStyle w:val="Point0"/>
        <w:rPr>
          <w:noProof/>
        </w:rPr>
      </w:pPr>
      <w:r w:rsidRPr="00150D1F">
        <w:t>(</w:t>
      </w:r>
      <w:r w:rsidRPr="00005517">
        <w:t>11</w:t>
      </w:r>
      <w:r w:rsidRPr="00150D1F">
        <w:t>)</w:t>
      </w:r>
      <w:r w:rsidRPr="00150D1F">
        <w:tab/>
        <w:t>L'annexe XVIII est remplacée par le texte figurant à l'annexe VII du présent règlement;</w:t>
      </w:r>
    </w:p>
    <w:p w:rsidR="006B4492" w:rsidRPr="00150D1F" w:rsidRDefault="00F02212" w:rsidP="00843C95">
      <w:pPr>
        <w:pStyle w:val="Point0"/>
        <w:rPr>
          <w:noProof/>
        </w:rPr>
      </w:pPr>
      <w:r w:rsidRPr="00150D1F">
        <w:t>(</w:t>
      </w:r>
      <w:r w:rsidRPr="00005517">
        <w:t>12</w:t>
      </w:r>
      <w:r w:rsidRPr="00150D1F">
        <w:t>)</w:t>
      </w:r>
      <w:r w:rsidRPr="00150D1F">
        <w:tab/>
        <w:t>L'annexe XIX est remplacée par le texte figurant à l'annexe VIII du présent règlement;</w:t>
      </w:r>
    </w:p>
    <w:p w:rsidR="006B4492" w:rsidRPr="00150D1F" w:rsidRDefault="00F02212" w:rsidP="00843C95">
      <w:pPr>
        <w:pStyle w:val="Point0"/>
        <w:rPr>
          <w:noProof/>
        </w:rPr>
      </w:pPr>
      <w:r w:rsidRPr="00150D1F">
        <w:t>(</w:t>
      </w:r>
      <w:r w:rsidRPr="00005517">
        <w:t>13</w:t>
      </w:r>
      <w:r w:rsidRPr="00150D1F">
        <w:t>)</w:t>
      </w:r>
      <w:r w:rsidRPr="00150D1F">
        <w:tab/>
        <w:t>L'annexe XX est remplacée par le texte figurant à l'annexe IX du présent règlement;</w:t>
      </w:r>
    </w:p>
    <w:p w:rsidR="006B4492" w:rsidRPr="00150D1F" w:rsidRDefault="00F02212" w:rsidP="00843C95">
      <w:pPr>
        <w:pStyle w:val="Point0"/>
        <w:rPr>
          <w:noProof/>
        </w:rPr>
      </w:pPr>
      <w:r w:rsidRPr="00150D1F">
        <w:t>(</w:t>
      </w:r>
      <w:r w:rsidRPr="00005517">
        <w:t>14</w:t>
      </w:r>
      <w:r w:rsidRPr="00150D1F">
        <w:t>)</w:t>
      </w:r>
      <w:r w:rsidRPr="00150D1F">
        <w:tab/>
        <w:t>L'annexe XXI est remplacée par le texte figurant à l'annexe X du présent règlement;</w:t>
      </w:r>
    </w:p>
    <w:p w:rsidR="006B4492" w:rsidRPr="00150D1F" w:rsidRDefault="00F02212" w:rsidP="00843C95">
      <w:pPr>
        <w:pStyle w:val="Point0"/>
        <w:rPr>
          <w:noProof/>
        </w:rPr>
      </w:pPr>
      <w:r w:rsidRPr="00150D1F">
        <w:t>(</w:t>
      </w:r>
      <w:r w:rsidRPr="00005517">
        <w:t>15</w:t>
      </w:r>
      <w:r w:rsidRPr="00150D1F">
        <w:t>)</w:t>
      </w:r>
      <w:r w:rsidRPr="00150D1F">
        <w:tab/>
        <w:t>Une nouvelle annexe XXII, dont le texte figure à l'annexe XI du présent règlement, est ajoutée.</w:t>
      </w:r>
    </w:p>
    <w:p w:rsidR="006B4492" w:rsidRPr="00150D1F" w:rsidRDefault="00F02212" w:rsidP="00843C95">
      <w:pPr>
        <w:pStyle w:val="Point0"/>
        <w:rPr>
          <w:noProof/>
        </w:rPr>
      </w:pPr>
      <w:r w:rsidRPr="00150D1F">
        <w:t>(</w:t>
      </w:r>
      <w:r w:rsidRPr="00005517">
        <w:t>16</w:t>
      </w:r>
      <w:r w:rsidRPr="00150D1F">
        <w:t>)</w:t>
      </w:r>
      <w:r w:rsidRPr="00150D1F">
        <w:tab/>
        <w:t>Une nouvelle annexe XXIII, dont le texte figure à l'annexe XII du présent règlement, est ajoutée.</w:t>
      </w:r>
    </w:p>
    <w:p w:rsidR="001F3D9E" w:rsidRPr="00150D1F" w:rsidRDefault="001F3D9E" w:rsidP="004E1EF9">
      <w:pPr>
        <w:pStyle w:val="Titrearticle"/>
      </w:pPr>
      <w:r w:rsidRPr="00150D1F">
        <w:t>Article </w:t>
      </w:r>
      <w:r w:rsidRPr="00005517">
        <w:t>2</w:t>
      </w:r>
    </w:p>
    <w:p w:rsidR="0021687A" w:rsidRPr="00150D1F" w:rsidRDefault="0021687A" w:rsidP="0021687A">
      <w:pPr>
        <w:rPr>
          <w:rFonts w:eastAsia="Times New Roman"/>
          <w:szCs w:val="20"/>
        </w:rPr>
      </w:pPr>
      <w:r w:rsidRPr="00150D1F">
        <w:t xml:space="preserve">Le présent règlement entre en vigueur le vingtième jour suivant celui de sa publication au </w:t>
      </w:r>
      <w:r w:rsidRPr="00150D1F">
        <w:rPr>
          <w:i/>
        </w:rPr>
        <w:t>Journal officiel de l'Union européenne</w:t>
      </w:r>
      <w:r w:rsidRPr="00150D1F">
        <w:t>.</w:t>
      </w:r>
    </w:p>
    <w:p w:rsidR="0021687A" w:rsidRPr="00150D1F" w:rsidRDefault="00517ABE" w:rsidP="0021687A">
      <w:pPr>
        <w:pStyle w:val="Applicationdirecte"/>
      </w:pPr>
      <w:r w:rsidRPr="00150D1F">
        <w:t xml:space="preserve">Il s'applique à partir du </w:t>
      </w:r>
      <w:r w:rsidRPr="00005517">
        <w:t>1</w:t>
      </w:r>
      <w:r w:rsidRPr="00150D1F">
        <w:rPr>
          <w:vertAlign w:val="superscript"/>
        </w:rPr>
        <w:t>er</w:t>
      </w:r>
      <w:r w:rsidRPr="00150D1F">
        <w:t xml:space="preserve"> mars </w:t>
      </w:r>
      <w:r w:rsidRPr="00005517">
        <w:t>2018</w:t>
      </w:r>
      <w:r w:rsidRPr="00150D1F">
        <w:t>.</w:t>
      </w:r>
    </w:p>
    <w:p w:rsidR="001F3D9E" w:rsidRPr="00150D1F" w:rsidRDefault="0021687A" w:rsidP="0021687A">
      <w:pPr>
        <w:pStyle w:val="Applicationdirecte"/>
        <w:keepNext/>
        <w:keepLines/>
      </w:pPr>
      <w:r w:rsidRPr="00150D1F">
        <w:t>Le présent règlement est obligatoire dans tous ses éléments et directement applicable dans tout État membre.</w:t>
      </w:r>
    </w:p>
    <w:p w:rsidR="001F3D9E" w:rsidRPr="00150D1F" w:rsidRDefault="00150D1F" w:rsidP="00150D1F">
      <w:pPr>
        <w:pStyle w:val="Fait"/>
      </w:pPr>
      <w:r w:rsidRPr="00150D1F">
        <w:t>Fait à Bruxelles, le</w:t>
      </w:r>
    </w:p>
    <w:p w:rsidR="001F3D9E" w:rsidRPr="00150D1F" w:rsidRDefault="001F3D9E" w:rsidP="001F3D9E">
      <w:pPr>
        <w:pStyle w:val="Institutionquisigne"/>
      </w:pPr>
      <w:r w:rsidRPr="00150D1F">
        <w:tab/>
        <w:t>Par la Commission</w:t>
      </w:r>
    </w:p>
    <w:p w:rsidR="001F3D9E" w:rsidRPr="00150D1F" w:rsidRDefault="001F3D9E" w:rsidP="001F3D9E">
      <w:pPr>
        <w:pStyle w:val="Personnequisigne"/>
      </w:pPr>
      <w:r w:rsidRPr="00150D1F">
        <w:tab/>
        <w:t>Le président</w:t>
      </w:r>
      <w:r w:rsidRPr="00150D1F">
        <w:br/>
      </w:r>
      <w:r w:rsidRPr="00150D1F">
        <w:tab/>
        <w:t>Jean-Claude Juncker</w:t>
      </w:r>
    </w:p>
    <w:sectPr w:rsidR="001F3D9E" w:rsidRPr="00150D1F" w:rsidSect="00005517">
      <w:footerReference w:type="default" r:id="rId16"/>
      <w:footerReference w:type="first" r:id="rId17"/>
      <w:pgSz w:w="11907" w:h="16839"/>
      <w:pgMar w:top="1134" w:right="1417" w:bottom="1134" w:left="1417" w:header="709" w:footer="709"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7C80E5" w15:done="0"/>
  <w15:commentEx w15:paraId="5169BAD7" w15:done="0"/>
  <w15:commentEx w15:paraId="6031A84A" w15:done="0"/>
  <w15:commentEx w15:paraId="6C120515" w15:done="0"/>
  <w15:commentEx w15:paraId="0A59ED8B" w15:done="0"/>
  <w15:commentEx w15:paraId="36FAAB2A" w15:done="0"/>
  <w15:commentEx w15:paraId="4985308A" w15:done="0"/>
  <w15:commentEx w15:paraId="52C8532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BFD" w:rsidRDefault="00286BFD" w:rsidP="001F3D9E">
      <w:pPr>
        <w:spacing w:before="0" w:after="0"/>
      </w:pPr>
      <w:r>
        <w:separator/>
      </w:r>
    </w:p>
  </w:endnote>
  <w:endnote w:type="continuationSeparator" w:id="0">
    <w:p w:rsidR="00286BFD" w:rsidRDefault="00286BFD" w:rsidP="001F3D9E">
      <w:pPr>
        <w:spacing w:before="0" w:after="0"/>
      </w:pPr>
      <w:r>
        <w:continuationSeparator/>
      </w:r>
    </w:p>
  </w:endnote>
  <w:endnote w:type="continuationNotice" w:id="1">
    <w:p w:rsidR="00286BFD" w:rsidRDefault="00286BF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0E" w:rsidRDefault="00AD5F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6058" w:rsidRPr="00005517" w:rsidRDefault="00005517" w:rsidP="00005517">
    <w:pPr>
      <w:pStyle w:val="Footer"/>
      <w:rPr>
        <w:rFonts w:ascii="Arial" w:hAnsi="Arial" w:cs="Arial"/>
        <w:b/>
        <w:sz w:val="48"/>
      </w:rPr>
    </w:pPr>
    <w:r w:rsidRPr="00005517">
      <w:rPr>
        <w:rFonts w:ascii="Arial" w:hAnsi="Arial" w:cs="Arial"/>
        <w:b/>
        <w:sz w:val="48"/>
      </w:rPr>
      <w:t>FR</w:t>
    </w:r>
    <w:r w:rsidRPr="00005517">
      <w:rPr>
        <w:rFonts w:ascii="Arial" w:hAnsi="Arial" w:cs="Arial"/>
        <w:b/>
        <w:sz w:val="48"/>
      </w:rPr>
      <w:tab/>
    </w:r>
    <w:r w:rsidRPr="00005517">
      <w:rPr>
        <w:rFonts w:ascii="Arial" w:hAnsi="Arial" w:cs="Arial"/>
        <w:b/>
        <w:sz w:val="48"/>
      </w:rPr>
      <w:tab/>
    </w:r>
    <w:fldSimple w:instr=" DOCVARIABLE &quot;LW_Confidence&quot; \* MERGEFORMAT ">
      <w:r>
        <w:t xml:space="preserve"> </w:t>
      </w:r>
    </w:fldSimple>
    <w:r w:rsidRPr="00005517">
      <w:tab/>
    </w:r>
    <w:r w:rsidRPr="00005517">
      <w:rPr>
        <w:rFonts w:ascii="Arial" w:hAnsi="Arial" w:cs="Arial"/>
        <w:b/>
        <w:sz w:val="48"/>
      </w:rPr>
      <w:t>FR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0E" w:rsidRDefault="00AD5F0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517" w:rsidRPr="00005517" w:rsidRDefault="00005517" w:rsidP="00005517">
    <w:pPr>
      <w:pStyle w:val="Footer"/>
      <w:rPr>
        <w:rFonts w:ascii="Arial" w:hAnsi="Arial" w:cs="Arial"/>
        <w:b/>
        <w:sz w:val="48"/>
      </w:rPr>
    </w:pPr>
    <w:r w:rsidRPr="00005517">
      <w:rPr>
        <w:rFonts w:ascii="Arial" w:hAnsi="Arial" w:cs="Arial"/>
        <w:b/>
        <w:sz w:val="48"/>
      </w:rPr>
      <w:t>FR</w:t>
    </w:r>
    <w:r w:rsidRPr="00005517">
      <w:rPr>
        <w:rFonts w:ascii="Arial" w:hAnsi="Arial" w:cs="Arial"/>
        <w:b/>
        <w:sz w:val="48"/>
      </w:rPr>
      <w:tab/>
    </w:r>
    <w:r>
      <w:fldChar w:fldCharType="begin"/>
    </w:r>
    <w:r>
      <w:instrText xml:space="preserve"> PAGE  \* MERGEFORMAT </w:instrText>
    </w:r>
    <w:r>
      <w:fldChar w:fldCharType="separate"/>
    </w:r>
    <w:r w:rsidR="00AD5F0E">
      <w:rPr>
        <w:noProof/>
      </w:rPr>
      <w:t>3</w:t>
    </w:r>
    <w:r>
      <w:fldChar w:fldCharType="end"/>
    </w:r>
    <w:r>
      <w:tab/>
    </w:r>
    <w:fldSimple w:instr=" DOCVARIABLE &quot;LW_Confidence&quot; \* MERGEFORMAT ">
      <w:r>
        <w:t xml:space="preserve"> </w:t>
      </w:r>
    </w:fldSimple>
    <w:r w:rsidRPr="00005517">
      <w:tab/>
    </w:r>
    <w:r w:rsidRPr="00005517">
      <w:rPr>
        <w:rFonts w:ascii="Arial" w:hAnsi="Arial" w:cs="Arial"/>
        <w:b/>
        <w:sz w:val="48"/>
      </w:rPr>
      <w:t>FR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517" w:rsidRPr="00005517" w:rsidRDefault="00005517" w:rsidP="000055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BFD" w:rsidRDefault="00286BFD" w:rsidP="001F3D9E">
      <w:pPr>
        <w:spacing w:before="0" w:after="0"/>
      </w:pPr>
      <w:r>
        <w:separator/>
      </w:r>
    </w:p>
  </w:footnote>
  <w:footnote w:type="continuationSeparator" w:id="0">
    <w:p w:rsidR="00286BFD" w:rsidRDefault="00286BFD" w:rsidP="001F3D9E">
      <w:pPr>
        <w:spacing w:before="0" w:after="0"/>
      </w:pPr>
      <w:r>
        <w:continuationSeparator/>
      </w:r>
    </w:p>
  </w:footnote>
  <w:footnote w:type="continuationNotice" w:id="1">
    <w:p w:rsidR="00286BFD" w:rsidRDefault="00286BFD">
      <w:pPr>
        <w:spacing w:before="0" w:after="0"/>
      </w:pPr>
    </w:p>
  </w:footnote>
  <w:footnote w:id="2">
    <w:p w:rsidR="0021687A" w:rsidRPr="00150D1F" w:rsidRDefault="0021687A" w:rsidP="0021687A">
      <w:pPr>
        <w:pStyle w:val="FootnoteText"/>
      </w:pPr>
      <w:r>
        <w:rPr>
          <w:rStyle w:val="FootnoteReference"/>
        </w:rPr>
        <w:footnoteRef/>
      </w:r>
      <w:r w:rsidRPr="00150D1F">
        <w:tab/>
        <w:t>JO L </w:t>
      </w:r>
      <w:r w:rsidRPr="00005517">
        <w:t>176</w:t>
      </w:r>
      <w:r w:rsidRPr="00150D1F">
        <w:t xml:space="preserve"> du </w:t>
      </w:r>
      <w:r w:rsidRPr="00005517">
        <w:t>27</w:t>
      </w:r>
      <w:r w:rsidRPr="00150D1F">
        <w:t>.</w:t>
      </w:r>
      <w:r w:rsidRPr="00005517">
        <w:t>6</w:t>
      </w:r>
      <w:r w:rsidRPr="00150D1F">
        <w:t>.</w:t>
      </w:r>
      <w:r w:rsidRPr="00005517">
        <w:t>2013</w:t>
      </w:r>
      <w:r w:rsidRPr="00150D1F">
        <w:t>, p. </w:t>
      </w:r>
      <w:r w:rsidRPr="00005517">
        <w:t>1</w:t>
      </w:r>
      <w:r w:rsidRPr="00150D1F">
        <w:t>.</w:t>
      </w:r>
    </w:p>
  </w:footnote>
  <w:footnote w:id="3">
    <w:p w:rsidR="00D84FF4" w:rsidRPr="00150D1F" w:rsidRDefault="00D84FF4" w:rsidP="00EC5DC5">
      <w:pPr>
        <w:pStyle w:val="FootnoteText"/>
      </w:pPr>
      <w:r>
        <w:rPr>
          <w:rStyle w:val="FootnoteReference"/>
        </w:rPr>
        <w:footnoteRef/>
      </w:r>
      <w:r w:rsidRPr="00150D1F">
        <w:tab/>
        <w:t>Règlement d'exécution (UE) nº </w:t>
      </w:r>
      <w:r w:rsidRPr="00005517">
        <w:t>680</w:t>
      </w:r>
      <w:r w:rsidRPr="00150D1F">
        <w:t>/</w:t>
      </w:r>
      <w:r w:rsidRPr="00005517">
        <w:t>2014</w:t>
      </w:r>
      <w:r w:rsidRPr="00150D1F">
        <w:t xml:space="preserve"> de la Commission définissant des normes techniques d'exécution en ce qui concerne l'information prudentielle à fournir par les établissements, conformément au règlement (UE) nº </w:t>
      </w:r>
      <w:r w:rsidRPr="00005517">
        <w:t>575</w:t>
      </w:r>
      <w:r w:rsidRPr="00150D1F">
        <w:t>/</w:t>
      </w:r>
      <w:r w:rsidRPr="00005517">
        <w:t>2013</w:t>
      </w:r>
      <w:r w:rsidRPr="00150D1F">
        <w:t xml:space="preserve"> du Parlement européen et du Conseil (JO L </w:t>
      </w:r>
      <w:r w:rsidRPr="00005517">
        <w:t>191</w:t>
      </w:r>
      <w:r w:rsidRPr="00150D1F">
        <w:t xml:space="preserve"> du </w:t>
      </w:r>
      <w:r w:rsidRPr="00005517">
        <w:t>28</w:t>
      </w:r>
      <w:r w:rsidRPr="00150D1F">
        <w:t>.</w:t>
      </w:r>
      <w:r w:rsidRPr="00005517">
        <w:t>6</w:t>
      </w:r>
      <w:r w:rsidRPr="00150D1F">
        <w:t>.</w:t>
      </w:r>
      <w:r w:rsidRPr="00005517">
        <w:t>2014</w:t>
      </w:r>
      <w:r w:rsidRPr="00150D1F">
        <w:t>, p. </w:t>
      </w:r>
      <w:r w:rsidRPr="00005517">
        <w:t>1</w:t>
      </w:r>
      <w:r w:rsidRPr="00150D1F">
        <w:t>).</w:t>
      </w:r>
    </w:p>
  </w:footnote>
  <w:footnote w:id="4">
    <w:p w:rsidR="003438C3" w:rsidRPr="00150D1F" w:rsidRDefault="001759CC" w:rsidP="003438C3">
      <w:pPr>
        <w:pStyle w:val="FootnoteText"/>
      </w:pPr>
      <w:r>
        <w:rPr>
          <w:rStyle w:val="FootnoteReference"/>
        </w:rPr>
        <w:footnoteRef/>
      </w:r>
      <w:r w:rsidRPr="00150D1F">
        <w:tab/>
        <w:t xml:space="preserve">Règlement délégué (UE) </w:t>
      </w:r>
      <w:r w:rsidRPr="00005517">
        <w:t>2015</w:t>
      </w:r>
      <w:r w:rsidRPr="00150D1F">
        <w:t>/</w:t>
      </w:r>
      <w:r w:rsidRPr="00005517">
        <w:t>61</w:t>
      </w:r>
      <w:r w:rsidRPr="00150D1F">
        <w:t xml:space="preserve"> de la Commission du </w:t>
      </w:r>
      <w:r w:rsidRPr="00005517">
        <w:t>10</w:t>
      </w:r>
      <w:r w:rsidRPr="00150D1F">
        <w:t xml:space="preserve"> octobre </w:t>
      </w:r>
      <w:r w:rsidRPr="00005517">
        <w:t>2014</w:t>
      </w:r>
      <w:r w:rsidRPr="00150D1F">
        <w:t xml:space="preserve"> complétant le règlement (UE) nº </w:t>
      </w:r>
      <w:r w:rsidRPr="00005517">
        <w:t>575</w:t>
      </w:r>
      <w:r w:rsidRPr="00150D1F">
        <w:t>/</w:t>
      </w:r>
      <w:r w:rsidRPr="00005517">
        <w:t>2013</w:t>
      </w:r>
      <w:r w:rsidRPr="00150D1F">
        <w:t xml:space="preserve"> du Parlement européen et du Conseil en ce qui concerne l'exigence de couverture des besoins de liquidité pour les établissements de crédit (JO L </w:t>
      </w:r>
      <w:r w:rsidRPr="00005517">
        <w:t>11</w:t>
      </w:r>
      <w:r w:rsidRPr="00150D1F">
        <w:t xml:space="preserve"> du </w:t>
      </w:r>
      <w:r w:rsidRPr="00005517">
        <w:t>17</w:t>
      </w:r>
      <w:r w:rsidRPr="00150D1F">
        <w:t>.</w:t>
      </w:r>
      <w:r w:rsidRPr="00005517">
        <w:t>1</w:t>
      </w:r>
      <w:r w:rsidRPr="00150D1F">
        <w:t>.</w:t>
      </w:r>
      <w:r w:rsidRPr="00005517">
        <w:t>2015</w:t>
      </w:r>
      <w:r w:rsidRPr="00150D1F">
        <w:t>, p. </w:t>
      </w:r>
      <w:r w:rsidRPr="00005517">
        <w:t>1</w:t>
      </w:r>
      <w:r w:rsidRPr="00150D1F">
        <w:t>).</w:t>
      </w:r>
    </w:p>
    <w:p w:rsidR="003438C3" w:rsidRPr="00150D1F" w:rsidRDefault="003438C3" w:rsidP="003438C3">
      <w:pPr>
        <w:pStyle w:val="FootnoteText"/>
      </w:pPr>
      <w:r w:rsidRPr="00150D1F">
        <w:t xml:space="preserve"> </w:t>
      </w:r>
    </w:p>
    <w:p w:rsidR="003438C3" w:rsidRPr="00150D1F" w:rsidRDefault="003438C3" w:rsidP="003438C3">
      <w:pPr>
        <w:pStyle w:val="FootnoteText"/>
      </w:pPr>
    </w:p>
    <w:p w:rsidR="001759CC" w:rsidRPr="00150D1F" w:rsidRDefault="001759CC" w:rsidP="003438C3">
      <w:pPr>
        <w:pStyle w:val="FootnoteText"/>
      </w:pPr>
    </w:p>
  </w:footnote>
  <w:footnote w:id="5">
    <w:p w:rsidR="00D84FF4" w:rsidRPr="00150D1F" w:rsidRDefault="00D84FF4" w:rsidP="00E51822">
      <w:pPr>
        <w:pStyle w:val="FootnoteText"/>
        <w:ind w:left="0" w:firstLine="0"/>
      </w:pPr>
      <w:r>
        <w:rPr>
          <w:rStyle w:val="FootnoteReference"/>
        </w:rPr>
        <w:footnoteRef/>
      </w:r>
      <w:r w:rsidRPr="00150D1F">
        <w:tab/>
        <w:t>Règlement (UE) nº </w:t>
      </w:r>
      <w:r w:rsidRPr="00005517">
        <w:t>1093</w:t>
      </w:r>
      <w:r w:rsidRPr="00150D1F">
        <w:t>/</w:t>
      </w:r>
      <w:r w:rsidRPr="00005517">
        <w:t>2010</w:t>
      </w:r>
      <w:r w:rsidRPr="00150D1F">
        <w:t xml:space="preserve"> du Parlement européen et du Conseil du </w:t>
      </w:r>
      <w:r w:rsidRPr="00005517">
        <w:t>24</w:t>
      </w:r>
      <w:r w:rsidRPr="00150D1F">
        <w:t xml:space="preserve"> novembre </w:t>
      </w:r>
      <w:r w:rsidRPr="00005517">
        <w:t>2010</w:t>
      </w:r>
      <w:r w:rsidRPr="00150D1F">
        <w:t xml:space="preserve"> instituant une Autorité européenne de surveillance (Autorité bancaire européenne), modifiant la décision nº </w:t>
      </w:r>
      <w:r w:rsidRPr="00005517">
        <w:t>716</w:t>
      </w:r>
      <w:r w:rsidRPr="00150D1F">
        <w:t>/</w:t>
      </w:r>
      <w:r w:rsidRPr="00005517">
        <w:t>2009</w:t>
      </w:r>
      <w:r w:rsidRPr="00150D1F">
        <w:t xml:space="preserve">/CE et abrogeant la décision </w:t>
      </w:r>
      <w:r w:rsidRPr="00005517">
        <w:t>2009</w:t>
      </w:r>
      <w:r w:rsidRPr="00150D1F">
        <w:t>/</w:t>
      </w:r>
      <w:r w:rsidRPr="00005517">
        <w:t>78</w:t>
      </w:r>
      <w:r w:rsidRPr="00150D1F">
        <w:t>/CE de la Commission (JO L </w:t>
      </w:r>
      <w:r w:rsidRPr="00005517">
        <w:t>331</w:t>
      </w:r>
      <w:r w:rsidRPr="00150D1F">
        <w:t xml:space="preserve"> du </w:t>
      </w:r>
      <w:r w:rsidRPr="00005517">
        <w:t>15</w:t>
      </w:r>
      <w:r w:rsidRPr="00150D1F">
        <w:t>.</w:t>
      </w:r>
      <w:r w:rsidRPr="00005517">
        <w:t>12</w:t>
      </w:r>
      <w:r w:rsidRPr="00150D1F">
        <w:t>.</w:t>
      </w:r>
      <w:r w:rsidRPr="00005517">
        <w:t>2010</w:t>
      </w:r>
      <w:r w:rsidRPr="00150D1F">
        <w:t>, p. </w:t>
      </w:r>
      <w:r w:rsidRPr="00005517">
        <w:t>12</w:t>
      </w:r>
      <w:r w:rsidRPr="00150D1F">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0E" w:rsidRDefault="00AD5F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0E" w:rsidRDefault="00AD5F0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F0E" w:rsidRDefault="00AD5F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D5A4828C"/>
    <w:lvl w:ilvl="0">
      <w:start w:val="1"/>
      <w:numFmt w:val="decimal"/>
      <w:pStyle w:val="ListNumber4"/>
      <w:lvlText w:val="%1."/>
      <w:lvlJc w:val="left"/>
      <w:pPr>
        <w:tabs>
          <w:tab w:val="num" w:pos="1209"/>
        </w:tabs>
        <w:ind w:left="1209" w:hanging="360"/>
      </w:pPr>
    </w:lvl>
  </w:abstractNum>
  <w:abstractNum w:abstractNumId="1">
    <w:nsid w:val="FFFFFF7E"/>
    <w:multiLevelType w:val="singleLevel"/>
    <w:tmpl w:val="016A9E8E"/>
    <w:lvl w:ilvl="0">
      <w:start w:val="1"/>
      <w:numFmt w:val="decimal"/>
      <w:pStyle w:val="ListNumber3"/>
      <w:lvlText w:val="%1."/>
      <w:lvlJc w:val="left"/>
      <w:pPr>
        <w:tabs>
          <w:tab w:val="num" w:pos="926"/>
        </w:tabs>
        <w:ind w:left="926" w:hanging="360"/>
      </w:pPr>
    </w:lvl>
  </w:abstractNum>
  <w:abstractNum w:abstractNumId="2">
    <w:nsid w:val="FFFFFF7F"/>
    <w:multiLevelType w:val="singleLevel"/>
    <w:tmpl w:val="5AD890DC"/>
    <w:lvl w:ilvl="0">
      <w:start w:val="1"/>
      <w:numFmt w:val="decimal"/>
      <w:pStyle w:val="ListNumber2"/>
      <w:lvlText w:val="%1."/>
      <w:lvlJc w:val="left"/>
      <w:pPr>
        <w:tabs>
          <w:tab w:val="num" w:pos="643"/>
        </w:tabs>
        <w:ind w:left="643" w:hanging="360"/>
      </w:pPr>
    </w:lvl>
  </w:abstractNum>
  <w:abstractNum w:abstractNumId="3">
    <w:nsid w:val="FFFFFF81"/>
    <w:multiLevelType w:val="singleLevel"/>
    <w:tmpl w:val="A99C6C04"/>
    <w:lvl w:ilvl="0">
      <w:start w:val="1"/>
      <w:numFmt w:val="bullet"/>
      <w:pStyle w:val="ListBullet4"/>
      <w:lvlText w:val=""/>
      <w:lvlJc w:val="left"/>
      <w:pPr>
        <w:tabs>
          <w:tab w:val="num" w:pos="1209"/>
        </w:tabs>
        <w:ind w:left="1209" w:hanging="360"/>
      </w:pPr>
      <w:rPr>
        <w:rFonts w:ascii="Symbol" w:hAnsi="Symbol" w:hint="default"/>
      </w:rPr>
    </w:lvl>
  </w:abstractNum>
  <w:abstractNum w:abstractNumId="4">
    <w:nsid w:val="FFFFFF82"/>
    <w:multiLevelType w:val="singleLevel"/>
    <w:tmpl w:val="23AA895C"/>
    <w:lvl w:ilvl="0">
      <w:start w:val="1"/>
      <w:numFmt w:val="bullet"/>
      <w:pStyle w:val="ListBullet3"/>
      <w:lvlText w:val=""/>
      <w:lvlJc w:val="left"/>
      <w:pPr>
        <w:tabs>
          <w:tab w:val="num" w:pos="926"/>
        </w:tabs>
        <w:ind w:left="926" w:hanging="360"/>
      </w:pPr>
      <w:rPr>
        <w:rFonts w:ascii="Symbol" w:hAnsi="Symbol" w:hint="default"/>
      </w:rPr>
    </w:lvl>
  </w:abstractNum>
  <w:abstractNum w:abstractNumId="5">
    <w:nsid w:val="FFFFFF83"/>
    <w:multiLevelType w:val="singleLevel"/>
    <w:tmpl w:val="D5B64BF0"/>
    <w:lvl w:ilvl="0">
      <w:start w:val="1"/>
      <w:numFmt w:val="bullet"/>
      <w:pStyle w:val="ListBullet2"/>
      <w:lvlText w:val=""/>
      <w:lvlJc w:val="left"/>
      <w:pPr>
        <w:tabs>
          <w:tab w:val="num" w:pos="643"/>
        </w:tabs>
        <w:ind w:left="643" w:hanging="360"/>
      </w:pPr>
      <w:rPr>
        <w:rFonts w:ascii="Symbol" w:hAnsi="Symbol" w:hint="default"/>
      </w:rPr>
    </w:lvl>
  </w:abstractNum>
  <w:abstractNum w:abstractNumId="6">
    <w:nsid w:val="FFFFFF88"/>
    <w:multiLevelType w:val="singleLevel"/>
    <w:tmpl w:val="6B7251D2"/>
    <w:lvl w:ilvl="0">
      <w:start w:val="1"/>
      <w:numFmt w:val="decimal"/>
      <w:pStyle w:val="ListNumber"/>
      <w:lvlText w:val="%1."/>
      <w:lvlJc w:val="left"/>
      <w:pPr>
        <w:tabs>
          <w:tab w:val="num" w:pos="360"/>
        </w:tabs>
        <w:ind w:left="360" w:hanging="360"/>
      </w:pPr>
    </w:lvl>
  </w:abstractNum>
  <w:abstractNum w:abstractNumId="7">
    <w:nsid w:val="FFFFFF89"/>
    <w:multiLevelType w:val="singleLevel"/>
    <w:tmpl w:val="756879AC"/>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3">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4">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5">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6">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7">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8">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19">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1">
    <w:nsid w:val="71064D88"/>
    <w:multiLevelType w:val="hybridMultilevel"/>
    <w:tmpl w:val="DACEA436"/>
    <w:lvl w:ilvl="0" w:tplc="3502039C">
      <w:start w:val="1"/>
      <w:numFmt w:val="bullet"/>
      <w:pStyle w:val="List1"/>
      <w:lvlText w:val=""/>
      <w:lvlJc w:val="left"/>
      <w:pPr>
        <w:ind w:left="2880" w:hanging="72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7"/>
  </w:num>
  <w:num w:numId="2">
    <w:abstractNumId w:val="5"/>
  </w:num>
  <w:num w:numId="3">
    <w:abstractNumId w:val="4"/>
  </w:num>
  <w:num w:numId="4">
    <w:abstractNumId w:val="3"/>
  </w:num>
  <w:num w:numId="5">
    <w:abstractNumId w:val="6"/>
  </w:num>
  <w:num w:numId="6">
    <w:abstractNumId w:val="2"/>
  </w:num>
  <w:num w:numId="7">
    <w:abstractNumId w:val="1"/>
  </w:num>
  <w:num w:numId="8">
    <w:abstractNumId w:val="0"/>
  </w:num>
  <w:num w:numId="9">
    <w:abstractNumId w:val="21"/>
  </w:num>
  <w:num w:numId="10">
    <w:abstractNumId w:val="22"/>
    <w:lvlOverride w:ilvl="0">
      <w:startOverride w:val="1"/>
    </w:lvlOverride>
  </w:num>
  <w:num w:numId="11">
    <w:abstractNumId w:val="13"/>
    <w:lvlOverride w:ilvl="0">
      <w:startOverride w:val="1"/>
    </w:lvlOverride>
  </w:num>
  <w:num w:numId="12">
    <w:abstractNumId w:val="18"/>
  </w:num>
  <w:num w:numId="13">
    <w:abstractNumId w:val="12"/>
  </w:num>
  <w:num w:numId="14">
    <w:abstractNumId w:val="20"/>
  </w:num>
  <w:num w:numId="15">
    <w:abstractNumId w:val="11"/>
  </w:num>
  <w:num w:numId="16">
    <w:abstractNumId w:val="13"/>
  </w:num>
  <w:num w:numId="17">
    <w:abstractNumId w:val="9"/>
  </w:num>
  <w:num w:numId="18">
    <w:abstractNumId w:val="19"/>
  </w:num>
  <w:num w:numId="19">
    <w:abstractNumId w:val="8"/>
  </w:num>
  <w:num w:numId="20">
    <w:abstractNumId w:val="14"/>
  </w:num>
  <w:num w:numId="21">
    <w:abstractNumId w:val="16"/>
  </w:num>
  <w:num w:numId="22">
    <w:abstractNumId w:val="17"/>
  </w:num>
  <w:num w:numId="23">
    <w:abstractNumId w:val="10"/>
  </w:num>
  <w:num w:numId="24">
    <w:abstractNumId w:val="15"/>
  </w:num>
  <w:num w:numId="25">
    <w:abstractNumId w:val="22"/>
  </w:num>
  <w:numIdMacAtCleanup w:val="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drute">
    <w15:presenceInfo w15:providerId="None" w15:userId="Audrut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attachedTemplate r:id="rId1"/>
  <w:defaultTabStop w:val="720"/>
  <w:hyphenationZone w:val="396"/>
  <w:characterSpacingControl w:val="doNotCompress"/>
  <w:hdrShapeDefaults>
    <o:shapedefaults v:ext="edit" spidmax="6758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VERPAGE_EXISTS" w:val="True"/>
    <w:docVar w:name="DQCDateTime" w:val="2017-10-11 14:20:36"/>
    <w:docVar w:name="DQCResult_Distribution" w:val="0;0"/>
    <w:docVar w:name="DQCResult_DocumentContent" w:val="0;0"/>
    <w:docVar w:name="DQCResult_DocumentSize" w:val="0;0"/>
    <w:docVar w:name="DQCResult_DocumentVersions" w:val="0;0"/>
    <w:docVar w:name="DQCResult_ExistenceOfMacros" w:val="0;0"/>
    <w:docVar w:name="DQCResult_InvalidFootnotes" w:val="0;0"/>
    <w:docVar w:name="DQCResult_LinkedStyles" w:val="0;0"/>
    <w:docVar w:name="DQCResult_ModifiedMargins" w:val="0;1"/>
    <w:docVar w:name="DQCResult_ModifiedMarkers" w:val="0;0"/>
    <w:docVar w:name="DQCResult_ModifiedNumbering" w:val="0;0"/>
    <w:docVar w:name="DQCResult_Objects" w:val="0;0"/>
    <w:docVar w:name="DQCResult_Sections" w:val="0;0"/>
    <w:docVar w:name="DQCResult_StructureCheck" w:val="0;0"/>
    <w:docVar w:name="DQCResult_SuperfluousWhitespace" w:val="0;3"/>
    <w:docVar w:name="DQCResult_UnknownFonts" w:val="0;0"/>
    <w:docVar w:name="DQCResult_UnknownStyles" w:val="0;0"/>
    <w:docVar w:name="DQCStatus" w:val="Green"/>
    <w:docVar w:name="DQCVersion" w:val="3"/>
    <w:docVar w:name="DQCWithWarnings" w:val="0"/>
    <w:docVar w:name="LW_CONFIDENCE" w:val=" "/>
    <w:docVar w:name="LW_CONST_RESTREINT_UE" w:val="RESTREINT UE"/>
    <w:docVar w:name="LW_COVERPAGE_GUID" w:val="DAD712D886454DDA90C63FE17D64EE59"/>
    <w:docVar w:name="LW_CROSSREFERENCE" w:val="&lt;UNUSED&gt;"/>
    <w:docVar w:name="LW_DATE.ADOPT.CP" w:val="du XXX"/>
    <w:docVar w:name="LW_DATE.ADOPT.CP_DATEFORMAT" w:val="du %DATE%"/>
    <w:docVar w:name="LW_DATE.ADOPT.CP_ISODATE" w:val="&lt;EMPTY&gt;"/>
    <w:docVar w:name="LW_DocType" w:val="COM"/>
    <w:docVar w:name="LW_EMISSION" w:val="&lt;EMPTY&gt;"/>
    <w:docVar w:name="LW_EMISSION_ISODATE" w:val="&lt;EMPTY&gt;"/>
    <w:docVar w:name="LW_EMISSION_LOCATION" w:val="BRX"/>
    <w:docVar w:name="LW_EMISSION_PREFIX" w:val="Bruxelles, le "/>
    <w:docVar w:name="LW_EMISSION_SUFFIX" w:val=" "/>
    <w:docVar w:name="LW_ID_DOCMODEL" w:val="SJ-004"/>
    <w:docVar w:name="LW_ID_DOCSIGNATURE" w:val="SJ-004"/>
    <w:docVar w:name="LW_ID_DOCSTRUCTURE" w:val="COM/AA"/>
    <w:docVar w:name="LW_ID_DOCTYPE" w:val="SJ-004"/>
    <w:docVar w:name="LW_INTERETEEE.CP" w:val="(Texte présentant de l'intérêt pour l'EEE)"/>
    <w:docVar w:name="LW_LANGUE" w:val="FR"/>
    <w:docVar w:name="LW_LANGUESFAISANTFOI.CP" w:val="&lt;UNUSED&gt;"/>
    <w:docVar w:name="LW_MARKING" w:val="&lt;UNUSED&gt;"/>
    <w:docVar w:name="LW_NOM.INST" w:val="COMMISSION EUROPÉENNE"/>
    <w:docVar w:name="LW_NOM.INST_JOINTDOC" w:val="&lt;EMPTY&gt;"/>
    <w:docVar w:name="LW_PART_NBR" w:val="1"/>
    <w:docVar w:name="LW_PART_NBR_TOTAL" w:val="1"/>
    <w:docVar w:name="LW_REF.INST.NEW" w:val="&lt;EMPTY&gt;"/>
    <w:docVar w:name="LW_REF.INST.NEW_ADOPTED" w:val="&lt;EMPTY&gt;"/>
    <w:docVar w:name="LW_REF.INST.NEW_TEXT" w:val="(2017) XXX"/>
    <w:docVar w:name="LW_REF.INTERNE" w:val="&lt;UNUSED&gt;"/>
    <w:docVar w:name="LW_SOUS.TITRE.OBJ.CP" w:val="&lt;UNUSED&gt;"/>
    <w:docVar w:name="LW_SUPERTITRE" w:val="&lt;UNUSED&gt;"/>
    <w:docVar w:name="LW_TITRE.OBJ.CP" w:val="modifiant le règlement d\u8217?exécution (UE) nº 680/2014 pour ce qui est des instructions et modèles à utiliser"/>
    <w:docVar w:name="LW_TYPE.DOC.CP" w:val="RÈGLEMENT D\u8217?EXÉCUTION (UE) \u8230?/... DE LA COMMISSION"/>
  </w:docVars>
  <w:rsids>
    <w:rsidRoot w:val="001F3D9E"/>
    <w:rsid w:val="00005517"/>
    <w:rsid w:val="00007454"/>
    <w:rsid w:val="0002089B"/>
    <w:rsid w:val="0002137F"/>
    <w:rsid w:val="0002290C"/>
    <w:rsid w:val="0002367E"/>
    <w:rsid w:val="00056293"/>
    <w:rsid w:val="000623F7"/>
    <w:rsid w:val="000747C4"/>
    <w:rsid w:val="00081598"/>
    <w:rsid w:val="000A6BA1"/>
    <w:rsid w:val="000C04ED"/>
    <w:rsid w:val="000C2471"/>
    <w:rsid w:val="000D3B73"/>
    <w:rsid w:val="000D6C93"/>
    <w:rsid w:val="000E04E5"/>
    <w:rsid w:val="000E74C6"/>
    <w:rsid w:val="000F0692"/>
    <w:rsid w:val="00104BCC"/>
    <w:rsid w:val="00111158"/>
    <w:rsid w:val="001133D3"/>
    <w:rsid w:val="00127240"/>
    <w:rsid w:val="001413DA"/>
    <w:rsid w:val="00146710"/>
    <w:rsid w:val="00146FBE"/>
    <w:rsid w:val="00150D1F"/>
    <w:rsid w:val="001643F5"/>
    <w:rsid w:val="0017091C"/>
    <w:rsid w:val="00171635"/>
    <w:rsid w:val="001759CC"/>
    <w:rsid w:val="00186E3E"/>
    <w:rsid w:val="00191162"/>
    <w:rsid w:val="00193022"/>
    <w:rsid w:val="001A356D"/>
    <w:rsid w:val="001A468C"/>
    <w:rsid w:val="001B5FA5"/>
    <w:rsid w:val="001C145E"/>
    <w:rsid w:val="001C5A8C"/>
    <w:rsid w:val="001C77DA"/>
    <w:rsid w:val="001D684A"/>
    <w:rsid w:val="001E0F3D"/>
    <w:rsid w:val="001E5F03"/>
    <w:rsid w:val="001F23FA"/>
    <w:rsid w:val="001F3D9E"/>
    <w:rsid w:val="00207035"/>
    <w:rsid w:val="002113CE"/>
    <w:rsid w:val="0021687A"/>
    <w:rsid w:val="002319C6"/>
    <w:rsid w:val="00235A23"/>
    <w:rsid w:val="00240D7D"/>
    <w:rsid w:val="00244760"/>
    <w:rsid w:val="00244B9B"/>
    <w:rsid w:val="00247592"/>
    <w:rsid w:val="00253CBE"/>
    <w:rsid w:val="002650BD"/>
    <w:rsid w:val="0027349F"/>
    <w:rsid w:val="00286A36"/>
    <w:rsid w:val="00286BFD"/>
    <w:rsid w:val="0028722C"/>
    <w:rsid w:val="002874D4"/>
    <w:rsid w:val="00294136"/>
    <w:rsid w:val="002B0F0A"/>
    <w:rsid w:val="002B151C"/>
    <w:rsid w:val="002B6F08"/>
    <w:rsid w:val="002C329C"/>
    <w:rsid w:val="002C523F"/>
    <w:rsid w:val="002D1CED"/>
    <w:rsid w:val="002D3799"/>
    <w:rsid w:val="002D4BF2"/>
    <w:rsid w:val="002D728C"/>
    <w:rsid w:val="002F7D86"/>
    <w:rsid w:val="00302067"/>
    <w:rsid w:val="003174AC"/>
    <w:rsid w:val="00317EE5"/>
    <w:rsid w:val="00320E80"/>
    <w:rsid w:val="0033384C"/>
    <w:rsid w:val="003438C3"/>
    <w:rsid w:val="0034445E"/>
    <w:rsid w:val="003569CB"/>
    <w:rsid w:val="003742E5"/>
    <w:rsid w:val="00375302"/>
    <w:rsid w:val="00377A2A"/>
    <w:rsid w:val="0039283D"/>
    <w:rsid w:val="003A1F5B"/>
    <w:rsid w:val="003A400E"/>
    <w:rsid w:val="003A7890"/>
    <w:rsid w:val="003B7012"/>
    <w:rsid w:val="003C09FC"/>
    <w:rsid w:val="003C33DE"/>
    <w:rsid w:val="003C3EA7"/>
    <w:rsid w:val="003D297A"/>
    <w:rsid w:val="003D48BD"/>
    <w:rsid w:val="003D7D75"/>
    <w:rsid w:val="003E3341"/>
    <w:rsid w:val="003F1B0F"/>
    <w:rsid w:val="00401B15"/>
    <w:rsid w:val="0040547D"/>
    <w:rsid w:val="00423128"/>
    <w:rsid w:val="00433998"/>
    <w:rsid w:val="00444548"/>
    <w:rsid w:val="004453F9"/>
    <w:rsid w:val="00446CA4"/>
    <w:rsid w:val="00460258"/>
    <w:rsid w:val="004605DB"/>
    <w:rsid w:val="00460C9F"/>
    <w:rsid w:val="00460F7C"/>
    <w:rsid w:val="00472A14"/>
    <w:rsid w:val="00475F2E"/>
    <w:rsid w:val="00483B40"/>
    <w:rsid w:val="00484CE9"/>
    <w:rsid w:val="0048650A"/>
    <w:rsid w:val="00490AAF"/>
    <w:rsid w:val="004B2C4E"/>
    <w:rsid w:val="004B7AF2"/>
    <w:rsid w:val="004C1027"/>
    <w:rsid w:val="004C221A"/>
    <w:rsid w:val="004D4679"/>
    <w:rsid w:val="004E65E7"/>
    <w:rsid w:val="004F053D"/>
    <w:rsid w:val="005119EC"/>
    <w:rsid w:val="00511B3A"/>
    <w:rsid w:val="00515073"/>
    <w:rsid w:val="00515408"/>
    <w:rsid w:val="005174BD"/>
    <w:rsid w:val="00517ABE"/>
    <w:rsid w:val="0052103D"/>
    <w:rsid w:val="00521998"/>
    <w:rsid w:val="00522A65"/>
    <w:rsid w:val="00530F7B"/>
    <w:rsid w:val="00535C6E"/>
    <w:rsid w:val="00545E6C"/>
    <w:rsid w:val="00547F49"/>
    <w:rsid w:val="005504A7"/>
    <w:rsid w:val="00551DC0"/>
    <w:rsid w:val="00554079"/>
    <w:rsid w:val="005574FC"/>
    <w:rsid w:val="005770E6"/>
    <w:rsid w:val="00586690"/>
    <w:rsid w:val="00594155"/>
    <w:rsid w:val="005A7811"/>
    <w:rsid w:val="005B06CD"/>
    <w:rsid w:val="005C29AB"/>
    <w:rsid w:val="005D3A9E"/>
    <w:rsid w:val="005D3CBA"/>
    <w:rsid w:val="005E7BFB"/>
    <w:rsid w:val="005F35EA"/>
    <w:rsid w:val="006037FF"/>
    <w:rsid w:val="00606E3B"/>
    <w:rsid w:val="00620318"/>
    <w:rsid w:val="00634FA5"/>
    <w:rsid w:val="00650EDF"/>
    <w:rsid w:val="00661B54"/>
    <w:rsid w:val="00671DD3"/>
    <w:rsid w:val="00673264"/>
    <w:rsid w:val="00686B3D"/>
    <w:rsid w:val="00690DEE"/>
    <w:rsid w:val="00694397"/>
    <w:rsid w:val="006954F3"/>
    <w:rsid w:val="006B4492"/>
    <w:rsid w:val="006B5056"/>
    <w:rsid w:val="006D38DE"/>
    <w:rsid w:val="006E2787"/>
    <w:rsid w:val="006F6980"/>
    <w:rsid w:val="006F7B4C"/>
    <w:rsid w:val="0071357B"/>
    <w:rsid w:val="00715D61"/>
    <w:rsid w:val="00720851"/>
    <w:rsid w:val="0073247A"/>
    <w:rsid w:val="00751070"/>
    <w:rsid w:val="00753081"/>
    <w:rsid w:val="0075397A"/>
    <w:rsid w:val="0075475C"/>
    <w:rsid w:val="00762194"/>
    <w:rsid w:val="00775058"/>
    <w:rsid w:val="007804D2"/>
    <w:rsid w:val="0078447A"/>
    <w:rsid w:val="00784D44"/>
    <w:rsid w:val="0078588B"/>
    <w:rsid w:val="007948B3"/>
    <w:rsid w:val="00794C91"/>
    <w:rsid w:val="00795FF2"/>
    <w:rsid w:val="007B10A6"/>
    <w:rsid w:val="007B46E1"/>
    <w:rsid w:val="007C1296"/>
    <w:rsid w:val="007D1FC4"/>
    <w:rsid w:val="007D53B6"/>
    <w:rsid w:val="007E1776"/>
    <w:rsid w:val="007E4CBE"/>
    <w:rsid w:val="007F55A4"/>
    <w:rsid w:val="007F7FA9"/>
    <w:rsid w:val="00803444"/>
    <w:rsid w:val="0080518F"/>
    <w:rsid w:val="0080785E"/>
    <w:rsid w:val="00810C66"/>
    <w:rsid w:val="00817C50"/>
    <w:rsid w:val="00820527"/>
    <w:rsid w:val="00820B93"/>
    <w:rsid w:val="0082259B"/>
    <w:rsid w:val="0082694F"/>
    <w:rsid w:val="00826EF9"/>
    <w:rsid w:val="00833F6D"/>
    <w:rsid w:val="00843C95"/>
    <w:rsid w:val="00850EB1"/>
    <w:rsid w:val="008654A3"/>
    <w:rsid w:val="008671FD"/>
    <w:rsid w:val="00873706"/>
    <w:rsid w:val="008779EB"/>
    <w:rsid w:val="00883BC1"/>
    <w:rsid w:val="00884855"/>
    <w:rsid w:val="00890188"/>
    <w:rsid w:val="008A1630"/>
    <w:rsid w:val="008C776B"/>
    <w:rsid w:val="008E61FF"/>
    <w:rsid w:val="008F0F25"/>
    <w:rsid w:val="00903C05"/>
    <w:rsid w:val="009154CA"/>
    <w:rsid w:val="00920D6A"/>
    <w:rsid w:val="009275FE"/>
    <w:rsid w:val="009369DA"/>
    <w:rsid w:val="0093709C"/>
    <w:rsid w:val="00944D6B"/>
    <w:rsid w:val="00955BBB"/>
    <w:rsid w:val="00972353"/>
    <w:rsid w:val="0097400D"/>
    <w:rsid w:val="009755A6"/>
    <w:rsid w:val="00975661"/>
    <w:rsid w:val="009833F2"/>
    <w:rsid w:val="0099639E"/>
    <w:rsid w:val="009A0B04"/>
    <w:rsid w:val="009A3920"/>
    <w:rsid w:val="009B378C"/>
    <w:rsid w:val="009C0FA3"/>
    <w:rsid w:val="009D18BB"/>
    <w:rsid w:val="009D438B"/>
    <w:rsid w:val="009E0D98"/>
    <w:rsid w:val="009E12AA"/>
    <w:rsid w:val="009E6D1F"/>
    <w:rsid w:val="009F3179"/>
    <w:rsid w:val="00A03078"/>
    <w:rsid w:val="00A104E2"/>
    <w:rsid w:val="00A17428"/>
    <w:rsid w:val="00A2129A"/>
    <w:rsid w:val="00A32BB1"/>
    <w:rsid w:val="00A44C13"/>
    <w:rsid w:val="00A533F6"/>
    <w:rsid w:val="00A71763"/>
    <w:rsid w:val="00A73C60"/>
    <w:rsid w:val="00A84BDA"/>
    <w:rsid w:val="00A91CCC"/>
    <w:rsid w:val="00AA71D7"/>
    <w:rsid w:val="00AC0319"/>
    <w:rsid w:val="00AD1C0C"/>
    <w:rsid w:val="00AD5F0E"/>
    <w:rsid w:val="00AF7EC1"/>
    <w:rsid w:val="00B04DCA"/>
    <w:rsid w:val="00B05C21"/>
    <w:rsid w:val="00B14ED5"/>
    <w:rsid w:val="00B16B13"/>
    <w:rsid w:val="00B42322"/>
    <w:rsid w:val="00B43CAD"/>
    <w:rsid w:val="00B44CFD"/>
    <w:rsid w:val="00B51555"/>
    <w:rsid w:val="00B5224D"/>
    <w:rsid w:val="00B52549"/>
    <w:rsid w:val="00B64F68"/>
    <w:rsid w:val="00B65763"/>
    <w:rsid w:val="00B75725"/>
    <w:rsid w:val="00B806CD"/>
    <w:rsid w:val="00B903E7"/>
    <w:rsid w:val="00B95D53"/>
    <w:rsid w:val="00B96DF8"/>
    <w:rsid w:val="00BA2FF7"/>
    <w:rsid w:val="00BB6A06"/>
    <w:rsid w:val="00BC29FB"/>
    <w:rsid w:val="00BC715E"/>
    <w:rsid w:val="00BC73E8"/>
    <w:rsid w:val="00BD4BEE"/>
    <w:rsid w:val="00BD4F6B"/>
    <w:rsid w:val="00BE787C"/>
    <w:rsid w:val="00BF0DA0"/>
    <w:rsid w:val="00C03960"/>
    <w:rsid w:val="00C064CA"/>
    <w:rsid w:val="00C120E1"/>
    <w:rsid w:val="00C143B1"/>
    <w:rsid w:val="00C16A13"/>
    <w:rsid w:val="00C211C5"/>
    <w:rsid w:val="00C21747"/>
    <w:rsid w:val="00C2433B"/>
    <w:rsid w:val="00C34401"/>
    <w:rsid w:val="00C50132"/>
    <w:rsid w:val="00C50AB9"/>
    <w:rsid w:val="00C76CAA"/>
    <w:rsid w:val="00C809B6"/>
    <w:rsid w:val="00C86058"/>
    <w:rsid w:val="00C916D3"/>
    <w:rsid w:val="00C94895"/>
    <w:rsid w:val="00C95757"/>
    <w:rsid w:val="00CA2A85"/>
    <w:rsid w:val="00CA43C0"/>
    <w:rsid w:val="00CA5B39"/>
    <w:rsid w:val="00CA70B5"/>
    <w:rsid w:val="00CB3A12"/>
    <w:rsid w:val="00CB5179"/>
    <w:rsid w:val="00D00A76"/>
    <w:rsid w:val="00D01020"/>
    <w:rsid w:val="00D03D76"/>
    <w:rsid w:val="00D044A5"/>
    <w:rsid w:val="00D05CF2"/>
    <w:rsid w:val="00D1589C"/>
    <w:rsid w:val="00D277C5"/>
    <w:rsid w:val="00D40188"/>
    <w:rsid w:val="00D44A6E"/>
    <w:rsid w:val="00D61F24"/>
    <w:rsid w:val="00D82525"/>
    <w:rsid w:val="00D84FF4"/>
    <w:rsid w:val="00D942BF"/>
    <w:rsid w:val="00D96AFD"/>
    <w:rsid w:val="00DA5FE0"/>
    <w:rsid w:val="00DB4B67"/>
    <w:rsid w:val="00DB5C4A"/>
    <w:rsid w:val="00DC2257"/>
    <w:rsid w:val="00DC5321"/>
    <w:rsid w:val="00DD33F2"/>
    <w:rsid w:val="00DD4A3F"/>
    <w:rsid w:val="00DE603D"/>
    <w:rsid w:val="00E01CF4"/>
    <w:rsid w:val="00E262B0"/>
    <w:rsid w:val="00E311DA"/>
    <w:rsid w:val="00E31919"/>
    <w:rsid w:val="00E4334C"/>
    <w:rsid w:val="00E45C46"/>
    <w:rsid w:val="00E51822"/>
    <w:rsid w:val="00E54E65"/>
    <w:rsid w:val="00E57077"/>
    <w:rsid w:val="00E6686A"/>
    <w:rsid w:val="00E87EC5"/>
    <w:rsid w:val="00EA7A1F"/>
    <w:rsid w:val="00EB54AB"/>
    <w:rsid w:val="00EB55CD"/>
    <w:rsid w:val="00EC5DC5"/>
    <w:rsid w:val="00EE0D79"/>
    <w:rsid w:val="00EE3497"/>
    <w:rsid w:val="00EF1419"/>
    <w:rsid w:val="00F006BF"/>
    <w:rsid w:val="00F02212"/>
    <w:rsid w:val="00F1011C"/>
    <w:rsid w:val="00F1133D"/>
    <w:rsid w:val="00F14083"/>
    <w:rsid w:val="00F17D2E"/>
    <w:rsid w:val="00F20C44"/>
    <w:rsid w:val="00F241F8"/>
    <w:rsid w:val="00F2666B"/>
    <w:rsid w:val="00F2784E"/>
    <w:rsid w:val="00F323BF"/>
    <w:rsid w:val="00F3710B"/>
    <w:rsid w:val="00F44BFB"/>
    <w:rsid w:val="00F54F00"/>
    <w:rsid w:val="00F56CB4"/>
    <w:rsid w:val="00F619AA"/>
    <w:rsid w:val="00F658EB"/>
    <w:rsid w:val="00F67FE1"/>
    <w:rsid w:val="00F7641A"/>
    <w:rsid w:val="00F8006B"/>
    <w:rsid w:val="00F87183"/>
    <w:rsid w:val="00F90F05"/>
    <w:rsid w:val="00FB761F"/>
    <w:rsid w:val="00FB7949"/>
    <w:rsid w:val="00FC2605"/>
    <w:rsid w:val="00FC70C2"/>
    <w:rsid w:val="00FD0A6F"/>
    <w:rsid w:val="00FE041D"/>
    <w:rsid w:val="00FF2733"/>
    <w:rsid w:val="00FF541D"/>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rPr>
  </w:style>
  <w:style w:type="paragraph" w:styleId="Heading1">
    <w:name w:val="heading 1"/>
    <w:basedOn w:val="Normal"/>
    <w:next w:val="Text1"/>
    <w:link w:val="Heading1Char"/>
    <w:uiPriority w:val="9"/>
    <w:qFormat/>
    <w:rsid w:val="007D53B6"/>
    <w:pPr>
      <w:keepNext/>
      <w:numPr>
        <w:numId w:val="18"/>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7D53B6"/>
    <w:pPr>
      <w:keepNext/>
      <w:numPr>
        <w:ilvl w:val="1"/>
        <w:numId w:val="18"/>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7D53B6"/>
    <w:pPr>
      <w:keepNext/>
      <w:numPr>
        <w:ilvl w:val="2"/>
        <w:numId w:val="18"/>
      </w:numPr>
      <w:outlineLvl w:val="2"/>
    </w:pPr>
    <w:rPr>
      <w:rFonts w:eastAsiaTheme="majorEastAsia"/>
      <w:bCs/>
      <w:i/>
    </w:rPr>
  </w:style>
  <w:style w:type="paragraph" w:styleId="Heading4">
    <w:name w:val="heading 4"/>
    <w:basedOn w:val="Normal"/>
    <w:next w:val="Text1"/>
    <w:link w:val="Heading4Char"/>
    <w:uiPriority w:val="9"/>
    <w:semiHidden/>
    <w:unhideWhenUsed/>
    <w:qFormat/>
    <w:rsid w:val="007D53B6"/>
    <w:pPr>
      <w:keepNext/>
      <w:numPr>
        <w:ilvl w:val="3"/>
        <w:numId w:val="18"/>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650EDF"/>
    <w:pPr>
      <w:spacing w:before="0" w:after="200"/>
    </w:pPr>
    <w:rPr>
      <w:b/>
      <w:bCs/>
      <w:color w:val="4F81BD" w:themeColor="accent1"/>
      <w:sz w:val="18"/>
      <w:szCs w:val="18"/>
    </w:rPr>
  </w:style>
  <w:style w:type="paragraph" w:styleId="TableofFigures">
    <w:name w:val="table of figures"/>
    <w:basedOn w:val="Normal"/>
    <w:next w:val="Normal"/>
    <w:uiPriority w:val="99"/>
    <w:semiHidden/>
    <w:unhideWhenUsed/>
    <w:rsid w:val="00650EDF"/>
    <w:pPr>
      <w:spacing w:after="0"/>
    </w:pPr>
  </w:style>
  <w:style w:type="paragraph" w:styleId="ListBullet">
    <w:name w:val="List Bullet"/>
    <w:basedOn w:val="Normal"/>
    <w:uiPriority w:val="99"/>
    <w:semiHidden/>
    <w:unhideWhenUsed/>
    <w:rsid w:val="00650EDF"/>
    <w:pPr>
      <w:numPr>
        <w:numId w:val="1"/>
      </w:numPr>
      <w:contextualSpacing/>
    </w:pPr>
  </w:style>
  <w:style w:type="paragraph" w:styleId="ListBullet2">
    <w:name w:val="List Bullet 2"/>
    <w:basedOn w:val="Normal"/>
    <w:uiPriority w:val="99"/>
    <w:semiHidden/>
    <w:unhideWhenUsed/>
    <w:rsid w:val="00650EDF"/>
    <w:pPr>
      <w:numPr>
        <w:numId w:val="2"/>
      </w:numPr>
      <w:contextualSpacing/>
    </w:pPr>
  </w:style>
  <w:style w:type="paragraph" w:styleId="ListBullet3">
    <w:name w:val="List Bullet 3"/>
    <w:basedOn w:val="Normal"/>
    <w:uiPriority w:val="99"/>
    <w:semiHidden/>
    <w:unhideWhenUsed/>
    <w:rsid w:val="00650EDF"/>
    <w:pPr>
      <w:numPr>
        <w:numId w:val="3"/>
      </w:numPr>
      <w:contextualSpacing/>
    </w:pPr>
  </w:style>
  <w:style w:type="paragraph" w:styleId="ListBullet4">
    <w:name w:val="List Bullet 4"/>
    <w:basedOn w:val="Normal"/>
    <w:uiPriority w:val="99"/>
    <w:semiHidden/>
    <w:unhideWhenUsed/>
    <w:rsid w:val="00650EDF"/>
    <w:pPr>
      <w:numPr>
        <w:numId w:val="4"/>
      </w:numPr>
      <w:contextualSpacing/>
    </w:pPr>
  </w:style>
  <w:style w:type="paragraph" w:styleId="ListNumber">
    <w:name w:val="List Number"/>
    <w:basedOn w:val="Normal"/>
    <w:uiPriority w:val="99"/>
    <w:semiHidden/>
    <w:unhideWhenUsed/>
    <w:rsid w:val="00650EDF"/>
    <w:pPr>
      <w:numPr>
        <w:numId w:val="5"/>
      </w:numPr>
      <w:contextualSpacing/>
    </w:pPr>
  </w:style>
  <w:style w:type="paragraph" w:styleId="ListNumber2">
    <w:name w:val="List Number 2"/>
    <w:basedOn w:val="Normal"/>
    <w:uiPriority w:val="99"/>
    <w:semiHidden/>
    <w:unhideWhenUsed/>
    <w:rsid w:val="00650EDF"/>
    <w:pPr>
      <w:numPr>
        <w:numId w:val="6"/>
      </w:numPr>
      <w:contextualSpacing/>
    </w:pPr>
  </w:style>
  <w:style w:type="paragraph" w:styleId="ListNumber3">
    <w:name w:val="List Number 3"/>
    <w:basedOn w:val="Normal"/>
    <w:uiPriority w:val="99"/>
    <w:semiHidden/>
    <w:unhideWhenUsed/>
    <w:rsid w:val="00650EDF"/>
    <w:pPr>
      <w:numPr>
        <w:numId w:val="7"/>
      </w:numPr>
      <w:contextualSpacing/>
    </w:pPr>
  </w:style>
  <w:style w:type="paragraph" w:styleId="ListNumber4">
    <w:name w:val="List Number 4"/>
    <w:basedOn w:val="Normal"/>
    <w:uiPriority w:val="99"/>
    <w:semiHidden/>
    <w:unhideWhenUsed/>
    <w:rsid w:val="00650EDF"/>
    <w:pPr>
      <w:numPr>
        <w:numId w:val="8"/>
      </w:numPr>
      <w:contextualSpacing/>
    </w:pPr>
  </w:style>
  <w:style w:type="character" w:styleId="CommentReference">
    <w:name w:val="annotation reference"/>
    <w:basedOn w:val="DefaultParagraphFont"/>
    <w:uiPriority w:val="99"/>
    <w:semiHidden/>
    <w:unhideWhenUsed/>
    <w:rsid w:val="00522A65"/>
    <w:rPr>
      <w:sz w:val="16"/>
      <w:szCs w:val="16"/>
    </w:rPr>
  </w:style>
  <w:style w:type="paragraph" w:styleId="CommentText">
    <w:name w:val="annotation text"/>
    <w:basedOn w:val="Normal"/>
    <w:link w:val="CommentTextChar"/>
    <w:uiPriority w:val="99"/>
    <w:unhideWhenUsed/>
    <w:rsid w:val="00286BFD"/>
    <w:rPr>
      <w:sz w:val="20"/>
      <w:szCs w:val="20"/>
    </w:rPr>
  </w:style>
  <w:style w:type="character" w:customStyle="1" w:styleId="CommentTextChar">
    <w:name w:val="Comment Text Char"/>
    <w:basedOn w:val="DefaultParagraphFont"/>
    <w:link w:val="CommentText"/>
    <w:uiPriority w:val="99"/>
    <w:rsid w:val="00522A65"/>
    <w:rPr>
      <w:rFonts w:ascii="Times New Roman" w:hAnsi="Times New Roman" w:cs="Times New Roman"/>
      <w:sz w:val="20"/>
      <w:szCs w:val="20"/>
      <w:lang w:val="fr-FR"/>
    </w:rPr>
  </w:style>
  <w:style w:type="paragraph" w:styleId="CommentSubject">
    <w:name w:val="annotation subject"/>
    <w:basedOn w:val="CommentText"/>
    <w:next w:val="CommentText"/>
    <w:link w:val="CommentSubjectChar"/>
    <w:uiPriority w:val="99"/>
    <w:semiHidden/>
    <w:unhideWhenUsed/>
    <w:rsid w:val="00522A65"/>
    <w:rPr>
      <w:b/>
      <w:bCs/>
    </w:rPr>
  </w:style>
  <w:style w:type="character" w:customStyle="1" w:styleId="CommentSubjectChar">
    <w:name w:val="Comment Subject Char"/>
    <w:basedOn w:val="CommentTextChar"/>
    <w:link w:val="CommentSubject"/>
    <w:uiPriority w:val="99"/>
    <w:semiHidden/>
    <w:rsid w:val="00522A65"/>
    <w:rPr>
      <w:rFonts w:ascii="Times New Roman" w:hAnsi="Times New Roman" w:cs="Times New Roman"/>
      <w:b/>
      <w:bCs/>
      <w:sz w:val="20"/>
      <w:szCs w:val="20"/>
      <w:lang w:val="fr-FR"/>
    </w:rPr>
  </w:style>
  <w:style w:type="character" w:styleId="Hyperlink">
    <w:name w:val="Hyperlink"/>
    <w:basedOn w:val="DefaultParagraphFont"/>
    <w:uiPriority w:val="99"/>
    <w:unhideWhenUsed/>
    <w:rsid w:val="00522A65"/>
    <w:rPr>
      <w:color w:val="0000FF" w:themeColor="hyperlink"/>
      <w:u w:val="single"/>
    </w:rPr>
  </w:style>
  <w:style w:type="paragraph" w:styleId="BalloonText">
    <w:name w:val="Balloon Text"/>
    <w:basedOn w:val="Normal"/>
    <w:link w:val="BalloonTextChar"/>
    <w:uiPriority w:val="99"/>
    <w:semiHidden/>
    <w:unhideWhenUsed/>
    <w:rsid w:val="00522A6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A65"/>
    <w:rPr>
      <w:rFonts w:ascii="Tahoma" w:hAnsi="Tahoma" w:cs="Tahoma"/>
      <w:sz w:val="16"/>
      <w:szCs w:val="16"/>
      <w:lang w:val="fr-FR"/>
    </w:rPr>
  </w:style>
  <w:style w:type="paragraph" w:customStyle="1" w:styleId="List1">
    <w:name w:val="List1"/>
    <w:autoRedefine/>
    <w:qFormat/>
    <w:rsid w:val="009E12AA"/>
    <w:pPr>
      <w:numPr>
        <w:numId w:val="9"/>
      </w:numPr>
      <w:spacing w:after="0" w:line="240" w:lineRule="auto"/>
    </w:pPr>
    <w:rPr>
      <w:rFonts w:eastAsiaTheme="minorEastAsia"/>
    </w:rPr>
  </w:style>
  <w:style w:type="paragraph" w:customStyle="1" w:styleId="Numpar">
    <w:name w:val="Num par"/>
    <w:basedOn w:val="Bullet3"/>
    <w:rsid w:val="00056293"/>
    <w:pPr>
      <w:numPr>
        <w:numId w:val="0"/>
      </w:numPr>
      <w:tabs>
        <w:tab w:val="num" w:pos="2551"/>
      </w:tabs>
      <w:ind w:left="2551" w:hanging="567"/>
    </w:pPr>
    <w:rPr>
      <w:noProof/>
    </w:rPr>
  </w:style>
  <w:style w:type="paragraph" w:styleId="Revision">
    <w:name w:val="Revision"/>
    <w:hidden/>
    <w:uiPriority w:val="99"/>
    <w:semiHidden/>
    <w:rsid w:val="002319C6"/>
    <w:pPr>
      <w:spacing w:after="0" w:line="240" w:lineRule="auto"/>
    </w:pPr>
    <w:rPr>
      <w:rFonts w:ascii="Times New Roman" w:hAnsi="Times New Roman" w:cs="Times New Roman"/>
      <w:sz w:val="24"/>
    </w:rPr>
  </w:style>
  <w:style w:type="character" w:styleId="FollowedHyperlink">
    <w:name w:val="FollowedHyperlink"/>
    <w:basedOn w:val="DefaultParagraphFont"/>
    <w:uiPriority w:val="99"/>
    <w:semiHidden/>
    <w:unhideWhenUsed/>
    <w:rsid w:val="00C86058"/>
    <w:rPr>
      <w:color w:val="800080" w:themeColor="followedHyperlink"/>
      <w:u w:val="single"/>
    </w:rPr>
  </w:style>
  <w:style w:type="paragraph" w:styleId="Header">
    <w:name w:val="header"/>
    <w:basedOn w:val="Normal"/>
    <w:link w:val="HeaderChar"/>
    <w:uiPriority w:val="99"/>
    <w:unhideWhenUsed/>
    <w:rsid w:val="007D53B6"/>
    <w:pPr>
      <w:tabs>
        <w:tab w:val="center" w:pos="4535"/>
        <w:tab w:val="right" w:pos="9071"/>
      </w:tabs>
      <w:spacing w:before="0"/>
    </w:pPr>
  </w:style>
  <w:style w:type="character" w:customStyle="1" w:styleId="HeaderChar">
    <w:name w:val="Header Char"/>
    <w:basedOn w:val="DefaultParagraphFont"/>
    <w:link w:val="Header"/>
    <w:uiPriority w:val="99"/>
    <w:rsid w:val="007D53B6"/>
    <w:rPr>
      <w:rFonts w:ascii="Times New Roman" w:hAnsi="Times New Roman" w:cs="Times New Roman"/>
      <w:sz w:val="24"/>
      <w:shd w:val="clear" w:color="auto" w:fill="auto"/>
      <w:lang w:val="en-GB"/>
    </w:rPr>
  </w:style>
  <w:style w:type="paragraph" w:styleId="Footer">
    <w:name w:val="footer"/>
    <w:basedOn w:val="Normal"/>
    <w:link w:val="FooterChar"/>
    <w:uiPriority w:val="99"/>
    <w:unhideWhenUsed/>
    <w:rsid w:val="007D53B6"/>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D53B6"/>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7D53B6"/>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7D53B6"/>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7D53B6"/>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7D53B6"/>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7D53B6"/>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7D53B6"/>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7D53B6"/>
    <w:pPr>
      <w:spacing w:after="240"/>
      <w:jc w:val="center"/>
    </w:pPr>
    <w:rPr>
      <w:b/>
      <w:sz w:val="28"/>
    </w:rPr>
  </w:style>
  <w:style w:type="paragraph" w:styleId="TOC1">
    <w:name w:val="toc 1"/>
    <w:basedOn w:val="Normal"/>
    <w:next w:val="Normal"/>
    <w:uiPriority w:val="39"/>
    <w:semiHidden/>
    <w:unhideWhenUsed/>
    <w:rsid w:val="007D53B6"/>
    <w:pPr>
      <w:tabs>
        <w:tab w:val="right" w:leader="dot" w:pos="9071"/>
      </w:tabs>
      <w:spacing w:before="60"/>
      <w:ind w:left="850" w:hanging="850"/>
      <w:jc w:val="left"/>
    </w:pPr>
  </w:style>
  <w:style w:type="paragraph" w:styleId="TOC2">
    <w:name w:val="toc 2"/>
    <w:basedOn w:val="Normal"/>
    <w:next w:val="Normal"/>
    <w:uiPriority w:val="39"/>
    <w:semiHidden/>
    <w:unhideWhenUsed/>
    <w:rsid w:val="007D53B6"/>
    <w:pPr>
      <w:tabs>
        <w:tab w:val="right" w:leader="dot" w:pos="9071"/>
      </w:tabs>
      <w:spacing w:before="60"/>
      <w:ind w:left="850" w:hanging="850"/>
      <w:jc w:val="left"/>
    </w:pPr>
  </w:style>
  <w:style w:type="paragraph" w:styleId="TOC3">
    <w:name w:val="toc 3"/>
    <w:basedOn w:val="Normal"/>
    <w:next w:val="Normal"/>
    <w:uiPriority w:val="39"/>
    <w:semiHidden/>
    <w:unhideWhenUsed/>
    <w:rsid w:val="007D53B6"/>
    <w:pPr>
      <w:tabs>
        <w:tab w:val="right" w:leader="dot" w:pos="9071"/>
      </w:tabs>
      <w:spacing w:before="60"/>
      <w:ind w:left="850" w:hanging="850"/>
      <w:jc w:val="left"/>
    </w:pPr>
  </w:style>
  <w:style w:type="paragraph" w:styleId="TOC4">
    <w:name w:val="toc 4"/>
    <w:basedOn w:val="Normal"/>
    <w:next w:val="Normal"/>
    <w:uiPriority w:val="39"/>
    <w:semiHidden/>
    <w:unhideWhenUsed/>
    <w:rsid w:val="007D53B6"/>
    <w:pPr>
      <w:tabs>
        <w:tab w:val="right" w:leader="dot" w:pos="9071"/>
      </w:tabs>
      <w:spacing w:before="60"/>
      <w:ind w:left="850" w:hanging="850"/>
      <w:jc w:val="left"/>
    </w:pPr>
  </w:style>
  <w:style w:type="paragraph" w:styleId="TOC5">
    <w:name w:val="toc 5"/>
    <w:basedOn w:val="Normal"/>
    <w:next w:val="Normal"/>
    <w:uiPriority w:val="39"/>
    <w:semiHidden/>
    <w:unhideWhenUsed/>
    <w:rsid w:val="007D53B6"/>
    <w:pPr>
      <w:tabs>
        <w:tab w:val="right" w:leader="dot" w:pos="9071"/>
      </w:tabs>
      <w:spacing w:before="300"/>
      <w:jc w:val="left"/>
    </w:pPr>
  </w:style>
  <w:style w:type="paragraph" w:styleId="TOC6">
    <w:name w:val="toc 6"/>
    <w:basedOn w:val="Normal"/>
    <w:next w:val="Normal"/>
    <w:uiPriority w:val="39"/>
    <w:semiHidden/>
    <w:unhideWhenUsed/>
    <w:rsid w:val="007D53B6"/>
    <w:pPr>
      <w:tabs>
        <w:tab w:val="right" w:leader="dot" w:pos="9071"/>
      </w:tabs>
      <w:spacing w:before="240"/>
      <w:jc w:val="left"/>
    </w:pPr>
  </w:style>
  <w:style w:type="paragraph" w:styleId="TOC7">
    <w:name w:val="toc 7"/>
    <w:basedOn w:val="Normal"/>
    <w:next w:val="Normal"/>
    <w:uiPriority w:val="39"/>
    <w:semiHidden/>
    <w:unhideWhenUsed/>
    <w:rsid w:val="007D53B6"/>
    <w:pPr>
      <w:tabs>
        <w:tab w:val="right" w:leader="dot" w:pos="9071"/>
      </w:tabs>
      <w:spacing w:before="180"/>
      <w:jc w:val="left"/>
    </w:pPr>
  </w:style>
  <w:style w:type="paragraph" w:styleId="TOC8">
    <w:name w:val="toc 8"/>
    <w:basedOn w:val="Normal"/>
    <w:next w:val="Normal"/>
    <w:uiPriority w:val="39"/>
    <w:semiHidden/>
    <w:unhideWhenUsed/>
    <w:rsid w:val="007D53B6"/>
    <w:pPr>
      <w:tabs>
        <w:tab w:val="right" w:leader="dot" w:pos="9071"/>
      </w:tabs>
      <w:jc w:val="left"/>
    </w:pPr>
  </w:style>
  <w:style w:type="paragraph" w:styleId="TOC9">
    <w:name w:val="toc 9"/>
    <w:basedOn w:val="Normal"/>
    <w:next w:val="Normal"/>
    <w:uiPriority w:val="39"/>
    <w:semiHidden/>
    <w:unhideWhenUsed/>
    <w:rsid w:val="007D53B6"/>
    <w:pPr>
      <w:tabs>
        <w:tab w:val="right" w:leader="dot" w:pos="9071"/>
      </w:tabs>
    </w:pPr>
  </w:style>
  <w:style w:type="paragraph" w:customStyle="1" w:styleId="HeaderLandscape">
    <w:name w:val="HeaderLandscape"/>
    <w:basedOn w:val="Normal"/>
    <w:rsid w:val="007D53B6"/>
    <w:pPr>
      <w:tabs>
        <w:tab w:val="center" w:pos="7285"/>
        <w:tab w:val="right" w:pos="14003"/>
      </w:tabs>
      <w:spacing w:before="0"/>
    </w:pPr>
  </w:style>
  <w:style w:type="paragraph" w:customStyle="1" w:styleId="FooterLandscape">
    <w:name w:val="FooterLandscape"/>
    <w:basedOn w:val="Normal"/>
    <w:rsid w:val="007D53B6"/>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7D53B6"/>
    <w:rPr>
      <w:shd w:val="clear" w:color="auto" w:fill="auto"/>
      <w:vertAlign w:val="superscript"/>
    </w:rPr>
  </w:style>
  <w:style w:type="paragraph" w:customStyle="1" w:styleId="Text1">
    <w:name w:val="Text 1"/>
    <w:basedOn w:val="Normal"/>
    <w:rsid w:val="007D53B6"/>
    <w:pPr>
      <w:ind w:left="850"/>
    </w:pPr>
  </w:style>
  <w:style w:type="paragraph" w:customStyle="1" w:styleId="Text2">
    <w:name w:val="Text 2"/>
    <w:basedOn w:val="Normal"/>
    <w:rsid w:val="007D53B6"/>
    <w:pPr>
      <w:ind w:left="1417"/>
    </w:pPr>
  </w:style>
  <w:style w:type="paragraph" w:customStyle="1" w:styleId="Text3">
    <w:name w:val="Text 3"/>
    <w:basedOn w:val="Normal"/>
    <w:rsid w:val="007D53B6"/>
    <w:pPr>
      <w:ind w:left="1984"/>
    </w:pPr>
  </w:style>
  <w:style w:type="paragraph" w:customStyle="1" w:styleId="Text4">
    <w:name w:val="Text 4"/>
    <w:basedOn w:val="Normal"/>
    <w:rsid w:val="007D53B6"/>
    <w:pPr>
      <w:ind w:left="2551"/>
    </w:pPr>
  </w:style>
  <w:style w:type="paragraph" w:customStyle="1" w:styleId="NormalCentered">
    <w:name w:val="Normal Centered"/>
    <w:basedOn w:val="Normal"/>
    <w:rsid w:val="007D53B6"/>
    <w:pPr>
      <w:jc w:val="center"/>
    </w:pPr>
  </w:style>
  <w:style w:type="paragraph" w:customStyle="1" w:styleId="NormalLeft">
    <w:name w:val="Normal Left"/>
    <w:basedOn w:val="Normal"/>
    <w:rsid w:val="007D53B6"/>
    <w:pPr>
      <w:jc w:val="left"/>
    </w:pPr>
  </w:style>
  <w:style w:type="paragraph" w:customStyle="1" w:styleId="NormalRight">
    <w:name w:val="Normal Right"/>
    <w:basedOn w:val="Normal"/>
    <w:rsid w:val="007D53B6"/>
    <w:pPr>
      <w:jc w:val="right"/>
    </w:pPr>
  </w:style>
  <w:style w:type="paragraph" w:customStyle="1" w:styleId="QuotedText">
    <w:name w:val="Quoted Text"/>
    <w:basedOn w:val="Normal"/>
    <w:rsid w:val="007D53B6"/>
    <w:pPr>
      <w:ind w:left="1417"/>
    </w:pPr>
  </w:style>
  <w:style w:type="paragraph" w:customStyle="1" w:styleId="Point0">
    <w:name w:val="Point 0"/>
    <w:basedOn w:val="Normal"/>
    <w:rsid w:val="007D53B6"/>
    <w:pPr>
      <w:ind w:left="850" w:hanging="850"/>
    </w:pPr>
  </w:style>
  <w:style w:type="paragraph" w:customStyle="1" w:styleId="Point1">
    <w:name w:val="Point 1"/>
    <w:basedOn w:val="Normal"/>
    <w:rsid w:val="007D53B6"/>
    <w:pPr>
      <w:ind w:left="1417" w:hanging="567"/>
    </w:pPr>
  </w:style>
  <w:style w:type="paragraph" w:customStyle="1" w:styleId="Point2">
    <w:name w:val="Point 2"/>
    <w:basedOn w:val="Normal"/>
    <w:rsid w:val="007D53B6"/>
    <w:pPr>
      <w:ind w:left="1984" w:hanging="567"/>
    </w:pPr>
  </w:style>
  <w:style w:type="paragraph" w:customStyle="1" w:styleId="Point3">
    <w:name w:val="Point 3"/>
    <w:basedOn w:val="Normal"/>
    <w:rsid w:val="007D53B6"/>
    <w:pPr>
      <w:ind w:left="2551" w:hanging="567"/>
    </w:pPr>
  </w:style>
  <w:style w:type="paragraph" w:customStyle="1" w:styleId="Point4">
    <w:name w:val="Point 4"/>
    <w:basedOn w:val="Normal"/>
    <w:rsid w:val="007D53B6"/>
    <w:pPr>
      <w:ind w:left="3118" w:hanging="567"/>
    </w:pPr>
  </w:style>
  <w:style w:type="paragraph" w:customStyle="1" w:styleId="Tiret0">
    <w:name w:val="Tiret 0"/>
    <w:basedOn w:val="Point0"/>
    <w:rsid w:val="007D53B6"/>
    <w:pPr>
      <w:numPr>
        <w:numId w:val="12"/>
      </w:numPr>
    </w:pPr>
  </w:style>
  <w:style w:type="paragraph" w:customStyle="1" w:styleId="Tiret1">
    <w:name w:val="Tiret 1"/>
    <w:basedOn w:val="Point1"/>
    <w:rsid w:val="007D53B6"/>
    <w:pPr>
      <w:numPr>
        <w:numId w:val="13"/>
      </w:numPr>
    </w:pPr>
  </w:style>
  <w:style w:type="paragraph" w:customStyle="1" w:styleId="Tiret2">
    <w:name w:val="Tiret 2"/>
    <w:basedOn w:val="Point2"/>
    <w:rsid w:val="007D53B6"/>
    <w:pPr>
      <w:numPr>
        <w:numId w:val="14"/>
      </w:numPr>
    </w:pPr>
  </w:style>
  <w:style w:type="paragraph" w:customStyle="1" w:styleId="Tiret3">
    <w:name w:val="Tiret 3"/>
    <w:basedOn w:val="Point3"/>
    <w:rsid w:val="007D53B6"/>
    <w:pPr>
      <w:numPr>
        <w:numId w:val="15"/>
      </w:numPr>
    </w:pPr>
  </w:style>
  <w:style w:type="paragraph" w:customStyle="1" w:styleId="Tiret4">
    <w:name w:val="Tiret 4"/>
    <w:basedOn w:val="Point4"/>
    <w:rsid w:val="007D53B6"/>
    <w:pPr>
      <w:numPr>
        <w:numId w:val="16"/>
      </w:numPr>
    </w:pPr>
  </w:style>
  <w:style w:type="paragraph" w:customStyle="1" w:styleId="PointDouble0">
    <w:name w:val="PointDouble 0"/>
    <w:basedOn w:val="Normal"/>
    <w:rsid w:val="007D53B6"/>
    <w:pPr>
      <w:tabs>
        <w:tab w:val="left" w:pos="850"/>
      </w:tabs>
      <w:ind w:left="1417" w:hanging="1417"/>
    </w:pPr>
  </w:style>
  <w:style w:type="paragraph" w:customStyle="1" w:styleId="PointDouble1">
    <w:name w:val="PointDouble 1"/>
    <w:basedOn w:val="Normal"/>
    <w:rsid w:val="007D53B6"/>
    <w:pPr>
      <w:tabs>
        <w:tab w:val="left" w:pos="1417"/>
      </w:tabs>
      <w:ind w:left="1984" w:hanging="1134"/>
    </w:pPr>
  </w:style>
  <w:style w:type="paragraph" w:customStyle="1" w:styleId="PointDouble2">
    <w:name w:val="PointDouble 2"/>
    <w:basedOn w:val="Normal"/>
    <w:rsid w:val="007D53B6"/>
    <w:pPr>
      <w:tabs>
        <w:tab w:val="left" w:pos="1984"/>
      </w:tabs>
      <w:ind w:left="2551" w:hanging="1134"/>
    </w:pPr>
  </w:style>
  <w:style w:type="paragraph" w:customStyle="1" w:styleId="PointDouble3">
    <w:name w:val="PointDouble 3"/>
    <w:basedOn w:val="Normal"/>
    <w:rsid w:val="007D53B6"/>
    <w:pPr>
      <w:tabs>
        <w:tab w:val="left" w:pos="2551"/>
      </w:tabs>
      <w:ind w:left="3118" w:hanging="1134"/>
    </w:pPr>
  </w:style>
  <w:style w:type="paragraph" w:customStyle="1" w:styleId="PointDouble4">
    <w:name w:val="PointDouble 4"/>
    <w:basedOn w:val="Normal"/>
    <w:rsid w:val="007D53B6"/>
    <w:pPr>
      <w:tabs>
        <w:tab w:val="left" w:pos="3118"/>
      </w:tabs>
      <w:ind w:left="3685" w:hanging="1134"/>
    </w:pPr>
  </w:style>
  <w:style w:type="paragraph" w:customStyle="1" w:styleId="PointTriple0">
    <w:name w:val="PointTriple 0"/>
    <w:basedOn w:val="Normal"/>
    <w:rsid w:val="007D53B6"/>
    <w:pPr>
      <w:tabs>
        <w:tab w:val="left" w:pos="850"/>
        <w:tab w:val="left" w:pos="1417"/>
      </w:tabs>
      <w:ind w:left="1984" w:hanging="1984"/>
    </w:pPr>
  </w:style>
  <w:style w:type="paragraph" w:customStyle="1" w:styleId="PointTriple1">
    <w:name w:val="PointTriple 1"/>
    <w:basedOn w:val="Normal"/>
    <w:rsid w:val="007D53B6"/>
    <w:pPr>
      <w:tabs>
        <w:tab w:val="left" w:pos="1417"/>
        <w:tab w:val="left" w:pos="1984"/>
      </w:tabs>
      <w:ind w:left="2551" w:hanging="1701"/>
    </w:pPr>
  </w:style>
  <w:style w:type="paragraph" w:customStyle="1" w:styleId="PointTriple2">
    <w:name w:val="PointTriple 2"/>
    <w:basedOn w:val="Normal"/>
    <w:rsid w:val="007D53B6"/>
    <w:pPr>
      <w:tabs>
        <w:tab w:val="left" w:pos="1984"/>
        <w:tab w:val="left" w:pos="2551"/>
      </w:tabs>
      <w:ind w:left="3118" w:hanging="1701"/>
    </w:pPr>
  </w:style>
  <w:style w:type="paragraph" w:customStyle="1" w:styleId="PointTriple3">
    <w:name w:val="PointTriple 3"/>
    <w:basedOn w:val="Normal"/>
    <w:rsid w:val="007D53B6"/>
    <w:pPr>
      <w:tabs>
        <w:tab w:val="left" w:pos="2551"/>
        <w:tab w:val="left" w:pos="3118"/>
      </w:tabs>
      <w:ind w:left="3685" w:hanging="1701"/>
    </w:pPr>
  </w:style>
  <w:style w:type="paragraph" w:customStyle="1" w:styleId="PointTriple4">
    <w:name w:val="PointTriple 4"/>
    <w:basedOn w:val="Normal"/>
    <w:rsid w:val="007D53B6"/>
    <w:pPr>
      <w:tabs>
        <w:tab w:val="left" w:pos="3118"/>
        <w:tab w:val="left" w:pos="3685"/>
      </w:tabs>
      <w:ind w:left="4252" w:hanging="1701"/>
    </w:pPr>
  </w:style>
  <w:style w:type="paragraph" w:customStyle="1" w:styleId="NumPar1">
    <w:name w:val="NumPar 1"/>
    <w:basedOn w:val="Normal"/>
    <w:next w:val="Text1"/>
    <w:rsid w:val="007D53B6"/>
    <w:pPr>
      <w:numPr>
        <w:numId w:val="17"/>
      </w:numPr>
    </w:pPr>
  </w:style>
  <w:style w:type="paragraph" w:customStyle="1" w:styleId="NumPar2">
    <w:name w:val="NumPar 2"/>
    <w:basedOn w:val="Normal"/>
    <w:next w:val="Text1"/>
    <w:rsid w:val="007D53B6"/>
    <w:pPr>
      <w:numPr>
        <w:ilvl w:val="1"/>
        <w:numId w:val="17"/>
      </w:numPr>
    </w:pPr>
  </w:style>
  <w:style w:type="paragraph" w:customStyle="1" w:styleId="NumPar3">
    <w:name w:val="NumPar 3"/>
    <w:basedOn w:val="Normal"/>
    <w:next w:val="Text1"/>
    <w:rsid w:val="007D53B6"/>
    <w:pPr>
      <w:numPr>
        <w:ilvl w:val="2"/>
        <w:numId w:val="17"/>
      </w:numPr>
    </w:pPr>
  </w:style>
  <w:style w:type="paragraph" w:customStyle="1" w:styleId="NumPar4">
    <w:name w:val="NumPar 4"/>
    <w:basedOn w:val="Normal"/>
    <w:next w:val="Text1"/>
    <w:rsid w:val="007D53B6"/>
    <w:pPr>
      <w:numPr>
        <w:ilvl w:val="3"/>
        <w:numId w:val="17"/>
      </w:numPr>
    </w:pPr>
  </w:style>
  <w:style w:type="paragraph" w:customStyle="1" w:styleId="ManualNumPar1">
    <w:name w:val="Manual NumPar 1"/>
    <w:basedOn w:val="Normal"/>
    <w:next w:val="Text1"/>
    <w:rsid w:val="007D53B6"/>
    <w:pPr>
      <w:ind w:left="850" w:hanging="850"/>
    </w:pPr>
  </w:style>
  <w:style w:type="paragraph" w:customStyle="1" w:styleId="ManualNumPar2">
    <w:name w:val="Manual NumPar 2"/>
    <w:basedOn w:val="Normal"/>
    <w:next w:val="Text1"/>
    <w:rsid w:val="007D53B6"/>
    <w:pPr>
      <w:ind w:left="850" w:hanging="850"/>
    </w:pPr>
  </w:style>
  <w:style w:type="paragraph" w:customStyle="1" w:styleId="ManualNumPar3">
    <w:name w:val="Manual NumPar 3"/>
    <w:basedOn w:val="Normal"/>
    <w:next w:val="Text1"/>
    <w:rsid w:val="007D53B6"/>
    <w:pPr>
      <w:ind w:left="850" w:hanging="850"/>
    </w:pPr>
  </w:style>
  <w:style w:type="paragraph" w:customStyle="1" w:styleId="ManualNumPar4">
    <w:name w:val="Manual NumPar 4"/>
    <w:basedOn w:val="Normal"/>
    <w:next w:val="Text1"/>
    <w:rsid w:val="007D53B6"/>
    <w:pPr>
      <w:ind w:left="850" w:hanging="850"/>
    </w:pPr>
  </w:style>
  <w:style w:type="paragraph" w:customStyle="1" w:styleId="QuotedNumPar">
    <w:name w:val="Quoted NumPar"/>
    <w:basedOn w:val="Normal"/>
    <w:rsid w:val="007D53B6"/>
    <w:pPr>
      <w:ind w:left="1417" w:hanging="567"/>
    </w:pPr>
  </w:style>
  <w:style w:type="paragraph" w:customStyle="1" w:styleId="ManualHeading1">
    <w:name w:val="Manual Heading 1"/>
    <w:basedOn w:val="Normal"/>
    <w:next w:val="Text1"/>
    <w:rsid w:val="007D53B6"/>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7D53B6"/>
    <w:pPr>
      <w:keepNext/>
      <w:tabs>
        <w:tab w:val="left" w:pos="850"/>
      </w:tabs>
      <w:ind w:left="850" w:hanging="850"/>
      <w:outlineLvl w:val="1"/>
    </w:pPr>
    <w:rPr>
      <w:b/>
    </w:rPr>
  </w:style>
  <w:style w:type="paragraph" w:customStyle="1" w:styleId="ManualHeading3">
    <w:name w:val="Manual Heading 3"/>
    <w:basedOn w:val="Normal"/>
    <w:next w:val="Text1"/>
    <w:rsid w:val="007D53B6"/>
    <w:pPr>
      <w:keepNext/>
      <w:tabs>
        <w:tab w:val="left" w:pos="850"/>
      </w:tabs>
      <w:ind w:left="850" w:hanging="850"/>
      <w:outlineLvl w:val="2"/>
    </w:pPr>
    <w:rPr>
      <w:i/>
    </w:rPr>
  </w:style>
  <w:style w:type="paragraph" w:customStyle="1" w:styleId="ManualHeading4">
    <w:name w:val="Manual Heading 4"/>
    <w:basedOn w:val="Normal"/>
    <w:next w:val="Text1"/>
    <w:rsid w:val="007D53B6"/>
    <w:pPr>
      <w:keepNext/>
      <w:tabs>
        <w:tab w:val="left" w:pos="850"/>
      </w:tabs>
      <w:ind w:left="850" w:hanging="850"/>
      <w:outlineLvl w:val="3"/>
    </w:pPr>
  </w:style>
  <w:style w:type="paragraph" w:customStyle="1" w:styleId="ChapterTitle">
    <w:name w:val="ChapterTitle"/>
    <w:basedOn w:val="Normal"/>
    <w:next w:val="Normal"/>
    <w:rsid w:val="007D53B6"/>
    <w:pPr>
      <w:keepNext/>
      <w:spacing w:after="360"/>
      <w:jc w:val="center"/>
    </w:pPr>
    <w:rPr>
      <w:b/>
      <w:sz w:val="32"/>
    </w:rPr>
  </w:style>
  <w:style w:type="paragraph" w:customStyle="1" w:styleId="PartTitle">
    <w:name w:val="PartTitle"/>
    <w:basedOn w:val="Normal"/>
    <w:next w:val="ChapterTitle"/>
    <w:rsid w:val="007D53B6"/>
    <w:pPr>
      <w:keepNext/>
      <w:pageBreakBefore/>
      <w:spacing w:after="360"/>
      <w:jc w:val="center"/>
    </w:pPr>
    <w:rPr>
      <w:b/>
      <w:sz w:val="36"/>
    </w:rPr>
  </w:style>
  <w:style w:type="paragraph" w:customStyle="1" w:styleId="SectionTitle">
    <w:name w:val="SectionTitle"/>
    <w:basedOn w:val="Normal"/>
    <w:next w:val="Heading1"/>
    <w:rsid w:val="007D53B6"/>
    <w:pPr>
      <w:keepNext/>
      <w:spacing w:after="360"/>
      <w:jc w:val="center"/>
    </w:pPr>
    <w:rPr>
      <w:b/>
      <w:smallCaps/>
      <w:sz w:val="28"/>
    </w:rPr>
  </w:style>
  <w:style w:type="paragraph" w:customStyle="1" w:styleId="TableTitle">
    <w:name w:val="Table Title"/>
    <w:basedOn w:val="Normal"/>
    <w:next w:val="Normal"/>
    <w:rsid w:val="007D53B6"/>
    <w:pPr>
      <w:jc w:val="center"/>
    </w:pPr>
    <w:rPr>
      <w:b/>
    </w:rPr>
  </w:style>
  <w:style w:type="character" w:customStyle="1" w:styleId="Marker">
    <w:name w:val="Marker"/>
    <w:basedOn w:val="DefaultParagraphFont"/>
    <w:rsid w:val="007D53B6"/>
    <w:rPr>
      <w:color w:val="0000FF"/>
      <w:shd w:val="clear" w:color="auto" w:fill="auto"/>
    </w:rPr>
  </w:style>
  <w:style w:type="character" w:customStyle="1" w:styleId="Marker1">
    <w:name w:val="Marker1"/>
    <w:basedOn w:val="DefaultParagraphFont"/>
    <w:rsid w:val="007D53B6"/>
    <w:rPr>
      <w:color w:val="008000"/>
      <w:shd w:val="clear" w:color="auto" w:fill="auto"/>
    </w:rPr>
  </w:style>
  <w:style w:type="character" w:customStyle="1" w:styleId="Marker2">
    <w:name w:val="Marker2"/>
    <w:basedOn w:val="DefaultParagraphFont"/>
    <w:rsid w:val="007D53B6"/>
    <w:rPr>
      <w:color w:val="FF0000"/>
      <w:shd w:val="clear" w:color="auto" w:fill="auto"/>
    </w:rPr>
  </w:style>
  <w:style w:type="paragraph" w:customStyle="1" w:styleId="Point0number">
    <w:name w:val="Point 0 (number)"/>
    <w:basedOn w:val="Normal"/>
    <w:rsid w:val="007D53B6"/>
    <w:pPr>
      <w:numPr>
        <w:numId w:val="19"/>
      </w:numPr>
    </w:pPr>
  </w:style>
  <w:style w:type="paragraph" w:customStyle="1" w:styleId="Point1number">
    <w:name w:val="Point 1 (number)"/>
    <w:basedOn w:val="Normal"/>
    <w:rsid w:val="007D53B6"/>
    <w:pPr>
      <w:numPr>
        <w:ilvl w:val="2"/>
        <w:numId w:val="19"/>
      </w:numPr>
    </w:pPr>
  </w:style>
  <w:style w:type="paragraph" w:customStyle="1" w:styleId="Point2number">
    <w:name w:val="Point 2 (number)"/>
    <w:basedOn w:val="Normal"/>
    <w:rsid w:val="007D53B6"/>
    <w:pPr>
      <w:numPr>
        <w:ilvl w:val="4"/>
        <w:numId w:val="19"/>
      </w:numPr>
    </w:pPr>
  </w:style>
  <w:style w:type="paragraph" w:customStyle="1" w:styleId="Point3number">
    <w:name w:val="Point 3 (number)"/>
    <w:basedOn w:val="Normal"/>
    <w:rsid w:val="007D53B6"/>
    <w:pPr>
      <w:numPr>
        <w:ilvl w:val="6"/>
        <w:numId w:val="19"/>
      </w:numPr>
    </w:pPr>
  </w:style>
  <w:style w:type="paragraph" w:customStyle="1" w:styleId="Point0letter">
    <w:name w:val="Point 0 (letter)"/>
    <w:basedOn w:val="Normal"/>
    <w:rsid w:val="007D53B6"/>
    <w:pPr>
      <w:numPr>
        <w:ilvl w:val="1"/>
        <w:numId w:val="19"/>
      </w:numPr>
    </w:pPr>
  </w:style>
  <w:style w:type="paragraph" w:customStyle="1" w:styleId="Point1letter">
    <w:name w:val="Point 1 (letter)"/>
    <w:basedOn w:val="Normal"/>
    <w:rsid w:val="007D53B6"/>
    <w:pPr>
      <w:numPr>
        <w:ilvl w:val="3"/>
        <w:numId w:val="19"/>
      </w:numPr>
    </w:pPr>
  </w:style>
  <w:style w:type="paragraph" w:customStyle="1" w:styleId="Point2letter">
    <w:name w:val="Point 2 (letter)"/>
    <w:basedOn w:val="Normal"/>
    <w:rsid w:val="007D53B6"/>
    <w:pPr>
      <w:numPr>
        <w:ilvl w:val="5"/>
        <w:numId w:val="19"/>
      </w:numPr>
    </w:pPr>
  </w:style>
  <w:style w:type="paragraph" w:customStyle="1" w:styleId="Point3letter">
    <w:name w:val="Point 3 (letter)"/>
    <w:basedOn w:val="Normal"/>
    <w:rsid w:val="007D53B6"/>
    <w:pPr>
      <w:numPr>
        <w:ilvl w:val="7"/>
        <w:numId w:val="19"/>
      </w:numPr>
    </w:pPr>
  </w:style>
  <w:style w:type="paragraph" w:customStyle="1" w:styleId="Point4letter">
    <w:name w:val="Point 4 (letter)"/>
    <w:basedOn w:val="Normal"/>
    <w:rsid w:val="007D53B6"/>
    <w:pPr>
      <w:numPr>
        <w:ilvl w:val="8"/>
        <w:numId w:val="19"/>
      </w:numPr>
    </w:pPr>
  </w:style>
  <w:style w:type="paragraph" w:customStyle="1" w:styleId="Bullet0">
    <w:name w:val="Bullet 0"/>
    <w:basedOn w:val="Normal"/>
    <w:rsid w:val="007D53B6"/>
    <w:pPr>
      <w:numPr>
        <w:numId w:val="20"/>
      </w:numPr>
    </w:pPr>
  </w:style>
  <w:style w:type="paragraph" w:customStyle="1" w:styleId="Bullet1">
    <w:name w:val="Bullet 1"/>
    <w:basedOn w:val="Normal"/>
    <w:rsid w:val="007D53B6"/>
    <w:pPr>
      <w:numPr>
        <w:numId w:val="21"/>
      </w:numPr>
    </w:pPr>
  </w:style>
  <w:style w:type="paragraph" w:customStyle="1" w:styleId="Bullet2">
    <w:name w:val="Bullet 2"/>
    <w:basedOn w:val="Normal"/>
    <w:rsid w:val="007D53B6"/>
    <w:pPr>
      <w:numPr>
        <w:numId w:val="22"/>
      </w:numPr>
    </w:pPr>
  </w:style>
  <w:style w:type="paragraph" w:customStyle="1" w:styleId="Bullet3">
    <w:name w:val="Bullet 3"/>
    <w:basedOn w:val="Normal"/>
    <w:rsid w:val="007D53B6"/>
    <w:pPr>
      <w:numPr>
        <w:numId w:val="23"/>
      </w:numPr>
    </w:pPr>
  </w:style>
  <w:style w:type="paragraph" w:customStyle="1" w:styleId="Bullet4">
    <w:name w:val="Bullet 4"/>
    <w:basedOn w:val="Normal"/>
    <w:rsid w:val="007D53B6"/>
    <w:pPr>
      <w:numPr>
        <w:numId w:val="24"/>
      </w:numPr>
    </w:pPr>
  </w:style>
  <w:style w:type="paragraph" w:customStyle="1" w:styleId="Annexetitreexpos">
    <w:name w:val="Annexe titre (exposé)"/>
    <w:basedOn w:val="Normal"/>
    <w:next w:val="Normal"/>
    <w:rsid w:val="007D53B6"/>
    <w:pPr>
      <w:jc w:val="center"/>
    </w:pPr>
    <w:rPr>
      <w:b/>
      <w:u w:val="single"/>
    </w:rPr>
  </w:style>
  <w:style w:type="paragraph" w:customStyle="1" w:styleId="Annexetitre">
    <w:name w:val="Annexe titre"/>
    <w:basedOn w:val="Normal"/>
    <w:next w:val="Normal"/>
    <w:rsid w:val="007D53B6"/>
    <w:pPr>
      <w:jc w:val="center"/>
    </w:pPr>
    <w:rPr>
      <w:b/>
      <w:u w:val="single"/>
    </w:rPr>
  </w:style>
  <w:style w:type="paragraph" w:customStyle="1" w:styleId="Annexetitrefichefinancire">
    <w:name w:val="Annexe titre (fiche financière)"/>
    <w:basedOn w:val="Normal"/>
    <w:next w:val="Normal"/>
    <w:rsid w:val="007D53B6"/>
    <w:pPr>
      <w:jc w:val="center"/>
    </w:pPr>
    <w:rPr>
      <w:b/>
      <w:u w:val="single"/>
    </w:rPr>
  </w:style>
  <w:style w:type="paragraph" w:customStyle="1" w:styleId="Applicationdirecte">
    <w:name w:val="Application directe"/>
    <w:basedOn w:val="Normal"/>
    <w:next w:val="Fait"/>
    <w:rsid w:val="007D53B6"/>
    <w:pPr>
      <w:spacing w:before="480"/>
    </w:pPr>
  </w:style>
  <w:style w:type="paragraph" w:customStyle="1" w:styleId="Avertissementtitre">
    <w:name w:val="Avertissement titre"/>
    <w:basedOn w:val="Normal"/>
    <w:next w:val="Normal"/>
    <w:rsid w:val="007D53B6"/>
    <w:pPr>
      <w:keepNext/>
      <w:spacing w:before="480"/>
    </w:pPr>
    <w:rPr>
      <w:u w:val="single"/>
    </w:rPr>
  </w:style>
  <w:style w:type="paragraph" w:customStyle="1" w:styleId="Confidence">
    <w:name w:val="Confidence"/>
    <w:basedOn w:val="Normal"/>
    <w:next w:val="Normal"/>
    <w:rsid w:val="007D53B6"/>
    <w:pPr>
      <w:spacing w:before="360"/>
      <w:jc w:val="center"/>
    </w:pPr>
  </w:style>
  <w:style w:type="paragraph" w:customStyle="1" w:styleId="Confidentialit">
    <w:name w:val="Confidentialité"/>
    <w:basedOn w:val="Normal"/>
    <w:next w:val="TypedudocumentPagedecouverture"/>
    <w:rsid w:val="007D53B6"/>
    <w:pPr>
      <w:spacing w:before="240" w:after="240"/>
      <w:ind w:left="5103"/>
      <w:jc w:val="left"/>
    </w:pPr>
    <w:rPr>
      <w:i/>
      <w:sz w:val="32"/>
    </w:rPr>
  </w:style>
  <w:style w:type="paragraph" w:customStyle="1" w:styleId="Considrant">
    <w:name w:val="Considérant"/>
    <w:basedOn w:val="Normal"/>
    <w:rsid w:val="007D53B6"/>
    <w:pPr>
      <w:numPr>
        <w:numId w:val="25"/>
      </w:numPr>
    </w:pPr>
  </w:style>
  <w:style w:type="paragraph" w:customStyle="1" w:styleId="Corrigendum">
    <w:name w:val="Corrigendum"/>
    <w:basedOn w:val="Normal"/>
    <w:next w:val="Normal"/>
    <w:rsid w:val="007D53B6"/>
    <w:pPr>
      <w:spacing w:before="0" w:after="240"/>
      <w:jc w:val="left"/>
    </w:pPr>
  </w:style>
  <w:style w:type="paragraph" w:customStyle="1" w:styleId="Datedadoption">
    <w:name w:val="Date d'adoption"/>
    <w:basedOn w:val="Normal"/>
    <w:next w:val="Titreobjet"/>
    <w:rsid w:val="007D53B6"/>
    <w:pPr>
      <w:spacing w:before="360" w:after="0"/>
      <w:jc w:val="center"/>
    </w:pPr>
    <w:rPr>
      <w:b/>
    </w:rPr>
  </w:style>
  <w:style w:type="paragraph" w:customStyle="1" w:styleId="Emission">
    <w:name w:val="Emission"/>
    <w:basedOn w:val="Normal"/>
    <w:next w:val="Rfrenceinstitutionnelle"/>
    <w:rsid w:val="007D53B6"/>
    <w:pPr>
      <w:spacing w:before="0" w:after="0"/>
      <w:ind w:left="5103"/>
      <w:jc w:val="left"/>
    </w:pPr>
  </w:style>
  <w:style w:type="paragraph" w:customStyle="1" w:styleId="Exposdesmotifstitre">
    <w:name w:val="Exposé des motifs titre"/>
    <w:basedOn w:val="Normal"/>
    <w:next w:val="Normal"/>
    <w:rsid w:val="007D53B6"/>
    <w:pPr>
      <w:jc w:val="center"/>
    </w:pPr>
    <w:rPr>
      <w:b/>
      <w:u w:val="single"/>
    </w:rPr>
  </w:style>
  <w:style w:type="paragraph" w:customStyle="1" w:styleId="Fait">
    <w:name w:val="Fait à"/>
    <w:basedOn w:val="Normal"/>
    <w:next w:val="Institutionquisigne"/>
    <w:rsid w:val="007D53B6"/>
    <w:pPr>
      <w:keepNext/>
      <w:spacing w:after="0"/>
    </w:pPr>
  </w:style>
  <w:style w:type="paragraph" w:customStyle="1" w:styleId="Formuledadoption">
    <w:name w:val="Formule d'adoption"/>
    <w:basedOn w:val="Normal"/>
    <w:next w:val="Titrearticle"/>
    <w:rsid w:val="007D53B6"/>
    <w:pPr>
      <w:keepNext/>
    </w:pPr>
  </w:style>
  <w:style w:type="paragraph" w:customStyle="1" w:styleId="Institutionquiagit">
    <w:name w:val="Institution qui agit"/>
    <w:basedOn w:val="Normal"/>
    <w:next w:val="Normal"/>
    <w:rsid w:val="007D53B6"/>
    <w:pPr>
      <w:keepNext/>
      <w:spacing w:before="600"/>
    </w:pPr>
  </w:style>
  <w:style w:type="paragraph" w:customStyle="1" w:styleId="Institutionquisigne">
    <w:name w:val="Institution qui signe"/>
    <w:basedOn w:val="Normal"/>
    <w:next w:val="Personnequisigne"/>
    <w:rsid w:val="007D53B6"/>
    <w:pPr>
      <w:keepNext/>
      <w:tabs>
        <w:tab w:val="left" w:pos="4252"/>
      </w:tabs>
      <w:spacing w:before="720" w:after="0"/>
    </w:pPr>
    <w:rPr>
      <w:i/>
    </w:rPr>
  </w:style>
  <w:style w:type="paragraph" w:customStyle="1" w:styleId="Langue">
    <w:name w:val="Langue"/>
    <w:basedOn w:val="Normal"/>
    <w:next w:val="Rfrenceinterne"/>
    <w:rsid w:val="007D53B6"/>
    <w:pPr>
      <w:framePr w:wrap="around" w:vAnchor="page" w:hAnchor="text" w:xAlign="center" w:y="14741"/>
      <w:spacing w:before="0" w:after="600"/>
      <w:jc w:val="center"/>
    </w:pPr>
    <w:rPr>
      <w:b/>
      <w:caps/>
    </w:rPr>
  </w:style>
  <w:style w:type="paragraph" w:customStyle="1" w:styleId="ManualConsidrant">
    <w:name w:val="Manual Considérant"/>
    <w:basedOn w:val="Normal"/>
    <w:rsid w:val="007D53B6"/>
    <w:pPr>
      <w:ind w:left="709" w:hanging="709"/>
    </w:pPr>
  </w:style>
  <w:style w:type="paragraph" w:customStyle="1" w:styleId="Nomdelinstitution">
    <w:name w:val="Nom de l'institution"/>
    <w:basedOn w:val="Normal"/>
    <w:next w:val="Emission"/>
    <w:rsid w:val="007D53B6"/>
    <w:pPr>
      <w:spacing w:before="0" w:after="0"/>
      <w:jc w:val="left"/>
    </w:pPr>
    <w:rPr>
      <w:rFonts w:ascii="Arial" w:hAnsi="Arial" w:cs="Arial"/>
    </w:rPr>
  </w:style>
  <w:style w:type="paragraph" w:customStyle="1" w:styleId="Personnequisigne">
    <w:name w:val="Personne qui signe"/>
    <w:basedOn w:val="Normal"/>
    <w:next w:val="Institutionquisigne"/>
    <w:rsid w:val="007D53B6"/>
    <w:pPr>
      <w:tabs>
        <w:tab w:val="left" w:pos="4252"/>
      </w:tabs>
      <w:spacing w:before="0" w:after="0"/>
      <w:jc w:val="left"/>
    </w:pPr>
    <w:rPr>
      <w:i/>
    </w:rPr>
  </w:style>
  <w:style w:type="paragraph" w:customStyle="1" w:styleId="Rfrenceinstitutionnelle">
    <w:name w:val="Référence institutionnelle"/>
    <w:basedOn w:val="Normal"/>
    <w:next w:val="Confidentialit"/>
    <w:rsid w:val="007D53B6"/>
    <w:pPr>
      <w:spacing w:before="0" w:after="240"/>
      <w:ind w:left="5103"/>
      <w:jc w:val="left"/>
    </w:pPr>
  </w:style>
  <w:style w:type="paragraph" w:customStyle="1" w:styleId="Rfrenceinterinstitutionnelle">
    <w:name w:val="Référence interinstitutionnelle"/>
    <w:basedOn w:val="Normal"/>
    <w:next w:val="Statut"/>
    <w:rsid w:val="007D53B6"/>
    <w:pPr>
      <w:spacing w:before="0" w:after="0"/>
      <w:ind w:left="5103"/>
      <w:jc w:val="left"/>
    </w:pPr>
  </w:style>
  <w:style w:type="paragraph" w:customStyle="1" w:styleId="Rfrenceinterne">
    <w:name w:val="Référence interne"/>
    <w:basedOn w:val="Normal"/>
    <w:next w:val="Rfrenceinterinstitutionnelle"/>
    <w:rsid w:val="007D53B6"/>
    <w:pPr>
      <w:spacing w:before="0" w:after="0"/>
      <w:ind w:left="5103"/>
      <w:jc w:val="left"/>
    </w:pPr>
  </w:style>
  <w:style w:type="paragraph" w:customStyle="1" w:styleId="Sous-titreobjet">
    <w:name w:val="Sous-titre objet"/>
    <w:basedOn w:val="Normal"/>
    <w:rsid w:val="007D53B6"/>
    <w:pPr>
      <w:spacing w:before="0" w:after="0"/>
      <w:jc w:val="center"/>
    </w:pPr>
    <w:rPr>
      <w:b/>
    </w:rPr>
  </w:style>
  <w:style w:type="paragraph" w:customStyle="1" w:styleId="Statut">
    <w:name w:val="Statut"/>
    <w:basedOn w:val="Normal"/>
    <w:next w:val="Typedudocument"/>
    <w:rsid w:val="007D53B6"/>
    <w:pPr>
      <w:spacing w:before="360" w:after="0"/>
      <w:jc w:val="center"/>
    </w:pPr>
  </w:style>
  <w:style w:type="paragraph" w:customStyle="1" w:styleId="Titrearticle">
    <w:name w:val="Titre article"/>
    <w:basedOn w:val="Normal"/>
    <w:next w:val="Normal"/>
    <w:rsid w:val="007D53B6"/>
    <w:pPr>
      <w:keepNext/>
      <w:spacing w:before="360"/>
      <w:jc w:val="center"/>
    </w:pPr>
    <w:rPr>
      <w:i/>
    </w:rPr>
  </w:style>
  <w:style w:type="paragraph" w:customStyle="1" w:styleId="Titreobjet">
    <w:name w:val="Titre objet"/>
    <w:basedOn w:val="Normal"/>
    <w:next w:val="Sous-titreobjet"/>
    <w:rsid w:val="007D53B6"/>
    <w:pPr>
      <w:spacing w:before="360" w:after="360"/>
      <w:jc w:val="center"/>
    </w:pPr>
    <w:rPr>
      <w:b/>
    </w:rPr>
  </w:style>
  <w:style w:type="paragraph" w:customStyle="1" w:styleId="Typedudocument">
    <w:name w:val="Type du document"/>
    <w:basedOn w:val="Normal"/>
    <w:next w:val="Titreobjet"/>
    <w:rsid w:val="007D53B6"/>
    <w:pPr>
      <w:spacing w:before="360" w:after="0"/>
      <w:jc w:val="center"/>
    </w:pPr>
    <w:rPr>
      <w:b/>
    </w:rPr>
  </w:style>
  <w:style w:type="character" w:customStyle="1" w:styleId="Added">
    <w:name w:val="Added"/>
    <w:basedOn w:val="DefaultParagraphFont"/>
    <w:rsid w:val="007D53B6"/>
    <w:rPr>
      <w:b/>
      <w:u w:val="single"/>
      <w:shd w:val="clear" w:color="auto" w:fill="auto"/>
    </w:rPr>
  </w:style>
  <w:style w:type="character" w:customStyle="1" w:styleId="Deleted">
    <w:name w:val="Deleted"/>
    <w:basedOn w:val="DefaultParagraphFont"/>
    <w:rsid w:val="007D53B6"/>
    <w:rPr>
      <w:strike/>
      <w:dstrike w:val="0"/>
      <w:shd w:val="clear" w:color="auto" w:fill="auto"/>
    </w:rPr>
  </w:style>
  <w:style w:type="paragraph" w:customStyle="1" w:styleId="Address">
    <w:name w:val="Address"/>
    <w:basedOn w:val="Normal"/>
    <w:next w:val="Normal"/>
    <w:rsid w:val="007D53B6"/>
    <w:pPr>
      <w:keepLines/>
      <w:spacing w:line="360" w:lineRule="auto"/>
      <w:ind w:left="3402"/>
      <w:jc w:val="left"/>
    </w:pPr>
  </w:style>
  <w:style w:type="paragraph" w:customStyle="1" w:styleId="Objetexterne">
    <w:name w:val="Objet externe"/>
    <w:basedOn w:val="Normal"/>
    <w:next w:val="Normal"/>
    <w:rsid w:val="007D53B6"/>
    <w:rPr>
      <w:i/>
      <w:caps/>
    </w:rPr>
  </w:style>
  <w:style w:type="paragraph" w:customStyle="1" w:styleId="Pagedecouverture">
    <w:name w:val="Page de couverture"/>
    <w:basedOn w:val="Normal"/>
    <w:next w:val="Normal"/>
    <w:rsid w:val="007D53B6"/>
    <w:pPr>
      <w:spacing w:before="0" w:after="0"/>
    </w:pPr>
  </w:style>
  <w:style w:type="paragraph" w:customStyle="1" w:styleId="Supertitre">
    <w:name w:val="Supertitre"/>
    <w:basedOn w:val="Normal"/>
    <w:next w:val="Normal"/>
    <w:rsid w:val="007D53B6"/>
    <w:pPr>
      <w:spacing w:before="0" w:after="600"/>
      <w:jc w:val="center"/>
    </w:pPr>
    <w:rPr>
      <w:b/>
    </w:rPr>
  </w:style>
  <w:style w:type="paragraph" w:customStyle="1" w:styleId="Languesfaisantfoi">
    <w:name w:val="Langues faisant foi"/>
    <w:basedOn w:val="Normal"/>
    <w:next w:val="Normal"/>
    <w:rsid w:val="007D53B6"/>
    <w:pPr>
      <w:spacing w:before="360" w:after="0"/>
      <w:jc w:val="center"/>
    </w:pPr>
  </w:style>
  <w:style w:type="paragraph" w:customStyle="1" w:styleId="Rfrencecroise">
    <w:name w:val="Référence croisée"/>
    <w:basedOn w:val="Normal"/>
    <w:rsid w:val="007D53B6"/>
    <w:pPr>
      <w:spacing w:before="0" w:after="0"/>
      <w:jc w:val="center"/>
    </w:pPr>
  </w:style>
  <w:style w:type="paragraph" w:customStyle="1" w:styleId="Fichefinanciretitre">
    <w:name w:val="Fiche financière titre"/>
    <w:basedOn w:val="Normal"/>
    <w:next w:val="Normal"/>
    <w:rsid w:val="007D53B6"/>
    <w:pPr>
      <w:jc w:val="center"/>
    </w:pPr>
    <w:rPr>
      <w:b/>
      <w:u w:val="single"/>
    </w:rPr>
  </w:style>
  <w:style w:type="paragraph" w:customStyle="1" w:styleId="DatedadoptionPagedecouverture">
    <w:name w:val="Date d'adoption (Page de couverture)"/>
    <w:basedOn w:val="Datedadoption"/>
    <w:next w:val="TitreobjetPagedecouverture"/>
    <w:rsid w:val="007D53B6"/>
  </w:style>
  <w:style w:type="paragraph" w:customStyle="1" w:styleId="RfrenceinterinstitutionnellePagedecouverture">
    <w:name w:val="Référence interinstitutionnelle (Page de couverture)"/>
    <w:basedOn w:val="Rfrenceinterinstitutionnelle"/>
    <w:next w:val="Confidentialit"/>
    <w:rsid w:val="007D53B6"/>
  </w:style>
  <w:style w:type="paragraph" w:customStyle="1" w:styleId="Sous-titreobjetPagedecouverture">
    <w:name w:val="Sous-titre objet (Page de couverture)"/>
    <w:basedOn w:val="Sous-titreobjet"/>
    <w:rsid w:val="007D53B6"/>
  </w:style>
  <w:style w:type="paragraph" w:customStyle="1" w:styleId="StatutPagedecouverture">
    <w:name w:val="Statut (Page de couverture)"/>
    <w:basedOn w:val="Statut"/>
    <w:next w:val="TypedudocumentPagedecouverture"/>
    <w:rsid w:val="007D53B6"/>
  </w:style>
  <w:style w:type="paragraph" w:customStyle="1" w:styleId="TitreobjetPagedecouverture">
    <w:name w:val="Titre objet (Page de couverture)"/>
    <w:basedOn w:val="Titreobjet"/>
    <w:next w:val="Sous-titreobjetPagedecouverture"/>
    <w:rsid w:val="007D53B6"/>
  </w:style>
  <w:style w:type="paragraph" w:customStyle="1" w:styleId="TypedudocumentPagedecouverture">
    <w:name w:val="Type du document (Page de couverture)"/>
    <w:basedOn w:val="Typedudocument"/>
    <w:next w:val="TitreobjetPagedecouverture"/>
    <w:rsid w:val="007D53B6"/>
  </w:style>
  <w:style w:type="paragraph" w:customStyle="1" w:styleId="Volume">
    <w:name w:val="Volume"/>
    <w:basedOn w:val="Normal"/>
    <w:next w:val="Confidentialit"/>
    <w:rsid w:val="007D53B6"/>
    <w:pPr>
      <w:spacing w:before="0" w:after="240"/>
      <w:ind w:left="5103"/>
      <w:jc w:val="left"/>
    </w:pPr>
  </w:style>
  <w:style w:type="paragraph" w:customStyle="1" w:styleId="IntrtEEE">
    <w:name w:val="Intérêt EEE"/>
    <w:basedOn w:val="Languesfaisantfoi"/>
    <w:next w:val="Normal"/>
    <w:rsid w:val="007D53B6"/>
    <w:pPr>
      <w:spacing w:after="240"/>
    </w:pPr>
  </w:style>
  <w:style w:type="paragraph" w:customStyle="1" w:styleId="Accompagnant">
    <w:name w:val="Accompagnant"/>
    <w:basedOn w:val="Normal"/>
    <w:next w:val="Typeacteprincipal"/>
    <w:rsid w:val="007D53B6"/>
    <w:pPr>
      <w:spacing w:before="0" w:after="240"/>
      <w:jc w:val="center"/>
    </w:pPr>
    <w:rPr>
      <w:b/>
      <w:i/>
    </w:rPr>
  </w:style>
  <w:style w:type="paragraph" w:customStyle="1" w:styleId="Typeacteprincipal">
    <w:name w:val="Type acte principal"/>
    <w:basedOn w:val="Normal"/>
    <w:next w:val="Objetacteprincipal"/>
    <w:rsid w:val="007D53B6"/>
    <w:pPr>
      <w:spacing w:before="0" w:after="240"/>
      <w:jc w:val="center"/>
    </w:pPr>
    <w:rPr>
      <w:b/>
    </w:rPr>
  </w:style>
  <w:style w:type="paragraph" w:customStyle="1" w:styleId="Objetacteprincipal">
    <w:name w:val="Objet acte principal"/>
    <w:basedOn w:val="Normal"/>
    <w:next w:val="Titrearticle"/>
    <w:rsid w:val="007D53B6"/>
    <w:pPr>
      <w:spacing w:before="0" w:after="360"/>
      <w:jc w:val="center"/>
    </w:pPr>
    <w:rPr>
      <w:b/>
    </w:rPr>
  </w:style>
  <w:style w:type="paragraph" w:customStyle="1" w:styleId="IntrtEEEPagedecouverture">
    <w:name w:val="Intérêt EEE (Page de couverture)"/>
    <w:basedOn w:val="IntrtEEE"/>
    <w:next w:val="Rfrencecroise"/>
    <w:rsid w:val="007D53B6"/>
  </w:style>
  <w:style w:type="paragraph" w:customStyle="1" w:styleId="AccompagnantPagedecouverture">
    <w:name w:val="Accompagnant (Page de couverture)"/>
    <w:basedOn w:val="Accompagnant"/>
    <w:next w:val="TypeacteprincipalPagedecouverture"/>
    <w:rsid w:val="007D53B6"/>
  </w:style>
  <w:style w:type="paragraph" w:customStyle="1" w:styleId="TypeacteprincipalPagedecouverture">
    <w:name w:val="Type acte principal (Page de couverture)"/>
    <w:basedOn w:val="Typeacteprincipal"/>
    <w:next w:val="ObjetacteprincipalPagedecouverture"/>
    <w:rsid w:val="007D53B6"/>
  </w:style>
  <w:style w:type="paragraph" w:customStyle="1" w:styleId="ObjetacteprincipalPagedecouverture">
    <w:name w:val="Objet acte principal (Page de couverture)"/>
    <w:basedOn w:val="Objetacteprincipal"/>
    <w:next w:val="Rfrencecroise"/>
    <w:rsid w:val="007D53B6"/>
  </w:style>
  <w:style w:type="paragraph" w:customStyle="1" w:styleId="LanguesfaisantfoiPagedecouverture">
    <w:name w:val="Langues faisant foi (Page de couverture)"/>
    <w:basedOn w:val="Normal"/>
    <w:next w:val="Normal"/>
    <w:rsid w:val="007D53B6"/>
    <w:pPr>
      <w:spacing w:before="360" w:after="0"/>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hAnsi="Times New Roman" w:cs="Times New Roman"/>
      <w:sz w:val="24"/>
    </w:rPr>
  </w:style>
  <w:style w:type="paragraph" w:styleId="Heading1">
    <w:name w:val="heading 1"/>
    <w:basedOn w:val="Normal"/>
    <w:next w:val="Text1"/>
    <w:link w:val="Heading1Char"/>
    <w:uiPriority w:val="9"/>
    <w:qFormat/>
    <w:rsid w:val="007D53B6"/>
    <w:pPr>
      <w:keepNext/>
      <w:numPr>
        <w:numId w:val="18"/>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7D53B6"/>
    <w:pPr>
      <w:keepNext/>
      <w:numPr>
        <w:ilvl w:val="1"/>
        <w:numId w:val="18"/>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7D53B6"/>
    <w:pPr>
      <w:keepNext/>
      <w:numPr>
        <w:ilvl w:val="2"/>
        <w:numId w:val="18"/>
      </w:numPr>
      <w:outlineLvl w:val="2"/>
    </w:pPr>
    <w:rPr>
      <w:rFonts w:eastAsiaTheme="majorEastAsia"/>
      <w:bCs/>
      <w:i/>
    </w:rPr>
  </w:style>
  <w:style w:type="paragraph" w:styleId="Heading4">
    <w:name w:val="heading 4"/>
    <w:basedOn w:val="Normal"/>
    <w:next w:val="Text1"/>
    <w:link w:val="Heading4Char"/>
    <w:uiPriority w:val="9"/>
    <w:semiHidden/>
    <w:unhideWhenUsed/>
    <w:qFormat/>
    <w:rsid w:val="007D53B6"/>
    <w:pPr>
      <w:keepNext/>
      <w:numPr>
        <w:ilvl w:val="3"/>
        <w:numId w:val="18"/>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650EDF"/>
    <w:pPr>
      <w:spacing w:before="0" w:after="200"/>
    </w:pPr>
    <w:rPr>
      <w:b/>
      <w:bCs/>
      <w:color w:val="4F81BD" w:themeColor="accent1"/>
      <w:sz w:val="18"/>
      <w:szCs w:val="18"/>
    </w:rPr>
  </w:style>
  <w:style w:type="paragraph" w:styleId="TableofFigures">
    <w:name w:val="table of figures"/>
    <w:basedOn w:val="Normal"/>
    <w:next w:val="Normal"/>
    <w:uiPriority w:val="99"/>
    <w:semiHidden/>
    <w:unhideWhenUsed/>
    <w:rsid w:val="00650EDF"/>
    <w:pPr>
      <w:spacing w:after="0"/>
    </w:pPr>
  </w:style>
  <w:style w:type="paragraph" w:styleId="ListBullet">
    <w:name w:val="List Bullet"/>
    <w:basedOn w:val="Normal"/>
    <w:uiPriority w:val="99"/>
    <w:semiHidden/>
    <w:unhideWhenUsed/>
    <w:rsid w:val="00650EDF"/>
    <w:pPr>
      <w:numPr>
        <w:numId w:val="1"/>
      </w:numPr>
      <w:contextualSpacing/>
    </w:pPr>
  </w:style>
  <w:style w:type="paragraph" w:styleId="ListBullet2">
    <w:name w:val="List Bullet 2"/>
    <w:basedOn w:val="Normal"/>
    <w:uiPriority w:val="99"/>
    <w:semiHidden/>
    <w:unhideWhenUsed/>
    <w:rsid w:val="00650EDF"/>
    <w:pPr>
      <w:numPr>
        <w:numId w:val="2"/>
      </w:numPr>
      <w:contextualSpacing/>
    </w:pPr>
  </w:style>
  <w:style w:type="paragraph" w:styleId="ListBullet3">
    <w:name w:val="List Bullet 3"/>
    <w:basedOn w:val="Normal"/>
    <w:uiPriority w:val="99"/>
    <w:semiHidden/>
    <w:unhideWhenUsed/>
    <w:rsid w:val="00650EDF"/>
    <w:pPr>
      <w:numPr>
        <w:numId w:val="3"/>
      </w:numPr>
      <w:contextualSpacing/>
    </w:pPr>
  </w:style>
  <w:style w:type="paragraph" w:styleId="ListBullet4">
    <w:name w:val="List Bullet 4"/>
    <w:basedOn w:val="Normal"/>
    <w:uiPriority w:val="99"/>
    <w:semiHidden/>
    <w:unhideWhenUsed/>
    <w:rsid w:val="00650EDF"/>
    <w:pPr>
      <w:numPr>
        <w:numId w:val="4"/>
      </w:numPr>
      <w:contextualSpacing/>
    </w:pPr>
  </w:style>
  <w:style w:type="paragraph" w:styleId="ListNumber">
    <w:name w:val="List Number"/>
    <w:basedOn w:val="Normal"/>
    <w:uiPriority w:val="99"/>
    <w:semiHidden/>
    <w:unhideWhenUsed/>
    <w:rsid w:val="00650EDF"/>
    <w:pPr>
      <w:numPr>
        <w:numId w:val="5"/>
      </w:numPr>
      <w:contextualSpacing/>
    </w:pPr>
  </w:style>
  <w:style w:type="paragraph" w:styleId="ListNumber2">
    <w:name w:val="List Number 2"/>
    <w:basedOn w:val="Normal"/>
    <w:uiPriority w:val="99"/>
    <w:semiHidden/>
    <w:unhideWhenUsed/>
    <w:rsid w:val="00650EDF"/>
    <w:pPr>
      <w:numPr>
        <w:numId w:val="6"/>
      </w:numPr>
      <w:contextualSpacing/>
    </w:pPr>
  </w:style>
  <w:style w:type="paragraph" w:styleId="ListNumber3">
    <w:name w:val="List Number 3"/>
    <w:basedOn w:val="Normal"/>
    <w:uiPriority w:val="99"/>
    <w:semiHidden/>
    <w:unhideWhenUsed/>
    <w:rsid w:val="00650EDF"/>
    <w:pPr>
      <w:numPr>
        <w:numId w:val="7"/>
      </w:numPr>
      <w:contextualSpacing/>
    </w:pPr>
  </w:style>
  <w:style w:type="paragraph" w:styleId="ListNumber4">
    <w:name w:val="List Number 4"/>
    <w:basedOn w:val="Normal"/>
    <w:uiPriority w:val="99"/>
    <w:semiHidden/>
    <w:unhideWhenUsed/>
    <w:rsid w:val="00650EDF"/>
    <w:pPr>
      <w:numPr>
        <w:numId w:val="8"/>
      </w:numPr>
      <w:contextualSpacing/>
    </w:pPr>
  </w:style>
  <w:style w:type="character" w:styleId="CommentReference">
    <w:name w:val="annotation reference"/>
    <w:basedOn w:val="DefaultParagraphFont"/>
    <w:uiPriority w:val="99"/>
    <w:semiHidden/>
    <w:unhideWhenUsed/>
    <w:rsid w:val="00522A65"/>
    <w:rPr>
      <w:sz w:val="16"/>
      <w:szCs w:val="16"/>
    </w:rPr>
  </w:style>
  <w:style w:type="paragraph" w:styleId="CommentText">
    <w:name w:val="annotation text"/>
    <w:basedOn w:val="Normal"/>
    <w:link w:val="CommentTextChar"/>
    <w:uiPriority w:val="99"/>
    <w:unhideWhenUsed/>
    <w:rsid w:val="00286BFD"/>
    <w:rPr>
      <w:sz w:val="20"/>
      <w:szCs w:val="20"/>
    </w:rPr>
  </w:style>
  <w:style w:type="character" w:customStyle="1" w:styleId="CommentTextChar">
    <w:name w:val="Comment Text Char"/>
    <w:basedOn w:val="DefaultParagraphFont"/>
    <w:link w:val="CommentText"/>
    <w:uiPriority w:val="99"/>
    <w:rsid w:val="00522A65"/>
    <w:rPr>
      <w:rFonts w:ascii="Times New Roman" w:hAnsi="Times New Roman" w:cs="Times New Roman"/>
      <w:sz w:val="20"/>
      <w:szCs w:val="20"/>
      <w:lang w:val="fr-FR"/>
    </w:rPr>
  </w:style>
  <w:style w:type="paragraph" w:styleId="CommentSubject">
    <w:name w:val="annotation subject"/>
    <w:basedOn w:val="CommentText"/>
    <w:next w:val="CommentText"/>
    <w:link w:val="CommentSubjectChar"/>
    <w:uiPriority w:val="99"/>
    <w:semiHidden/>
    <w:unhideWhenUsed/>
    <w:rsid w:val="00522A65"/>
    <w:rPr>
      <w:b/>
      <w:bCs/>
    </w:rPr>
  </w:style>
  <w:style w:type="character" w:customStyle="1" w:styleId="CommentSubjectChar">
    <w:name w:val="Comment Subject Char"/>
    <w:basedOn w:val="CommentTextChar"/>
    <w:link w:val="CommentSubject"/>
    <w:uiPriority w:val="99"/>
    <w:semiHidden/>
    <w:rsid w:val="00522A65"/>
    <w:rPr>
      <w:rFonts w:ascii="Times New Roman" w:hAnsi="Times New Roman" w:cs="Times New Roman"/>
      <w:b/>
      <w:bCs/>
      <w:sz w:val="20"/>
      <w:szCs w:val="20"/>
      <w:lang w:val="fr-FR"/>
    </w:rPr>
  </w:style>
  <w:style w:type="character" w:styleId="Hyperlink">
    <w:name w:val="Hyperlink"/>
    <w:basedOn w:val="DefaultParagraphFont"/>
    <w:uiPriority w:val="99"/>
    <w:unhideWhenUsed/>
    <w:rsid w:val="00522A65"/>
    <w:rPr>
      <w:color w:val="0000FF" w:themeColor="hyperlink"/>
      <w:u w:val="single"/>
    </w:rPr>
  </w:style>
  <w:style w:type="paragraph" w:styleId="BalloonText">
    <w:name w:val="Balloon Text"/>
    <w:basedOn w:val="Normal"/>
    <w:link w:val="BalloonTextChar"/>
    <w:uiPriority w:val="99"/>
    <w:semiHidden/>
    <w:unhideWhenUsed/>
    <w:rsid w:val="00522A6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A65"/>
    <w:rPr>
      <w:rFonts w:ascii="Tahoma" w:hAnsi="Tahoma" w:cs="Tahoma"/>
      <w:sz w:val="16"/>
      <w:szCs w:val="16"/>
      <w:lang w:val="fr-FR"/>
    </w:rPr>
  </w:style>
  <w:style w:type="paragraph" w:customStyle="1" w:styleId="List1">
    <w:name w:val="List1"/>
    <w:autoRedefine/>
    <w:qFormat/>
    <w:rsid w:val="009E12AA"/>
    <w:pPr>
      <w:numPr>
        <w:numId w:val="9"/>
      </w:numPr>
      <w:spacing w:after="0" w:line="240" w:lineRule="auto"/>
    </w:pPr>
    <w:rPr>
      <w:rFonts w:eastAsiaTheme="minorEastAsia"/>
    </w:rPr>
  </w:style>
  <w:style w:type="paragraph" w:customStyle="1" w:styleId="Numpar">
    <w:name w:val="Num par"/>
    <w:basedOn w:val="Bullet3"/>
    <w:rsid w:val="00056293"/>
    <w:pPr>
      <w:numPr>
        <w:numId w:val="0"/>
      </w:numPr>
      <w:tabs>
        <w:tab w:val="num" w:pos="2551"/>
      </w:tabs>
      <w:ind w:left="2551" w:hanging="567"/>
    </w:pPr>
    <w:rPr>
      <w:noProof/>
    </w:rPr>
  </w:style>
  <w:style w:type="paragraph" w:styleId="Revision">
    <w:name w:val="Revision"/>
    <w:hidden/>
    <w:uiPriority w:val="99"/>
    <w:semiHidden/>
    <w:rsid w:val="002319C6"/>
    <w:pPr>
      <w:spacing w:after="0" w:line="240" w:lineRule="auto"/>
    </w:pPr>
    <w:rPr>
      <w:rFonts w:ascii="Times New Roman" w:hAnsi="Times New Roman" w:cs="Times New Roman"/>
      <w:sz w:val="24"/>
    </w:rPr>
  </w:style>
  <w:style w:type="character" w:styleId="FollowedHyperlink">
    <w:name w:val="FollowedHyperlink"/>
    <w:basedOn w:val="DefaultParagraphFont"/>
    <w:uiPriority w:val="99"/>
    <w:semiHidden/>
    <w:unhideWhenUsed/>
    <w:rsid w:val="00C86058"/>
    <w:rPr>
      <w:color w:val="800080" w:themeColor="followedHyperlink"/>
      <w:u w:val="single"/>
    </w:rPr>
  </w:style>
  <w:style w:type="paragraph" w:styleId="Header">
    <w:name w:val="header"/>
    <w:basedOn w:val="Normal"/>
    <w:link w:val="HeaderChar"/>
    <w:uiPriority w:val="99"/>
    <w:unhideWhenUsed/>
    <w:rsid w:val="007D53B6"/>
    <w:pPr>
      <w:tabs>
        <w:tab w:val="center" w:pos="4535"/>
        <w:tab w:val="right" w:pos="9071"/>
      </w:tabs>
      <w:spacing w:before="0"/>
    </w:pPr>
  </w:style>
  <w:style w:type="character" w:customStyle="1" w:styleId="HeaderChar">
    <w:name w:val="Header Char"/>
    <w:basedOn w:val="DefaultParagraphFont"/>
    <w:link w:val="Header"/>
    <w:uiPriority w:val="99"/>
    <w:rsid w:val="007D53B6"/>
    <w:rPr>
      <w:rFonts w:ascii="Times New Roman" w:hAnsi="Times New Roman" w:cs="Times New Roman"/>
      <w:sz w:val="24"/>
      <w:shd w:val="clear" w:color="auto" w:fill="auto"/>
      <w:lang w:val="en-GB"/>
    </w:rPr>
  </w:style>
  <w:style w:type="paragraph" w:styleId="Footer">
    <w:name w:val="footer"/>
    <w:basedOn w:val="Normal"/>
    <w:link w:val="FooterChar"/>
    <w:uiPriority w:val="99"/>
    <w:unhideWhenUsed/>
    <w:rsid w:val="007D53B6"/>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sid w:val="007D53B6"/>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7D53B6"/>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7D53B6"/>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7D53B6"/>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7D53B6"/>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7D53B6"/>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7D53B6"/>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7D53B6"/>
    <w:pPr>
      <w:spacing w:after="240"/>
      <w:jc w:val="center"/>
    </w:pPr>
    <w:rPr>
      <w:b/>
      <w:sz w:val="28"/>
    </w:rPr>
  </w:style>
  <w:style w:type="paragraph" w:styleId="TOC1">
    <w:name w:val="toc 1"/>
    <w:basedOn w:val="Normal"/>
    <w:next w:val="Normal"/>
    <w:uiPriority w:val="39"/>
    <w:semiHidden/>
    <w:unhideWhenUsed/>
    <w:rsid w:val="007D53B6"/>
    <w:pPr>
      <w:tabs>
        <w:tab w:val="right" w:leader="dot" w:pos="9071"/>
      </w:tabs>
      <w:spacing w:before="60"/>
      <w:ind w:left="850" w:hanging="850"/>
      <w:jc w:val="left"/>
    </w:pPr>
  </w:style>
  <w:style w:type="paragraph" w:styleId="TOC2">
    <w:name w:val="toc 2"/>
    <w:basedOn w:val="Normal"/>
    <w:next w:val="Normal"/>
    <w:uiPriority w:val="39"/>
    <w:semiHidden/>
    <w:unhideWhenUsed/>
    <w:rsid w:val="007D53B6"/>
    <w:pPr>
      <w:tabs>
        <w:tab w:val="right" w:leader="dot" w:pos="9071"/>
      </w:tabs>
      <w:spacing w:before="60"/>
      <w:ind w:left="850" w:hanging="850"/>
      <w:jc w:val="left"/>
    </w:pPr>
  </w:style>
  <w:style w:type="paragraph" w:styleId="TOC3">
    <w:name w:val="toc 3"/>
    <w:basedOn w:val="Normal"/>
    <w:next w:val="Normal"/>
    <w:uiPriority w:val="39"/>
    <w:semiHidden/>
    <w:unhideWhenUsed/>
    <w:rsid w:val="007D53B6"/>
    <w:pPr>
      <w:tabs>
        <w:tab w:val="right" w:leader="dot" w:pos="9071"/>
      </w:tabs>
      <w:spacing w:before="60"/>
      <w:ind w:left="850" w:hanging="850"/>
      <w:jc w:val="left"/>
    </w:pPr>
  </w:style>
  <w:style w:type="paragraph" w:styleId="TOC4">
    <w:name w:val="toc 4"/>
    <w:basedOn w:val="Normal"/>
    <w:next w:val="Normal"/>
    <w:uiPriority w:val="39"/>
    <w:semiHidden/>
    <w:unhideWhenUsed/>
    <w:rsid w:val="007D53B6"/>
    <w:pPr>
      <w:tabs>
        <w:tab w:val="right" w:leader="dot" w:pos="9071"/>
      </w:tabs>
      <w:spacing w:before="60"/>
      <w:ind w:left="850" w:hanging="850"/>
      <w:jc w:val="left"/>
    </w:pPr>
  </w:style>
  <w:style w:type="paragraph" w:styleId="TOC5">
    <w:name w:val="toc 5"/>
    <w:basedOn w:val="Normal"/>
    <w:next w:val="Normal"/>
    <w:uiPriority w:val="39"/>
    <w:semiHidden/>
    <w:unhideWhenUsed/>
    <w:rsid w:val="007D53B6"/>
    <w:pPr>
      <w:tabs>
        <w:tab w:val="right" w:leader="dot" w:pos="9071"/>
      </w:tabs>
      <w:spacing w:before="300"/>
      <w:jc w:val="left"/>
    </w:pPr>
  </w:style>
  <w:style w:type="paragraph" w:styleId="TOC6">
    <w:name w:val="toc 6"/>
    <w:basedOn w:val="Normal"/>
    <w:next w:val="Normal"/>
    <w:uiPriority w:val="39"/>
    <w:semiHidden/>
    <w:unhideWhenUsed/>
    <w:rsid w:val="007D53B6"/>
    <w:pPr>
      <w:tabs>
        <w:tab w:val="right" w:leader="dot" w:pos="9071"/>
      </w:tabs>
      <w:spacing w:before="240"/>
      <w:jc w:val="left"/>
    </w:pPr>
  </w:style>
  <w:style w:type="paragraph" w:styleId="TOC7">
    <w:name w:val="toc 7"/>
    <w:basedOn w:val="Normal"/>
    <w:next w:val="Normal"/>
    <w:uiPriority w:val="39"/>
    <w:semiHidden/>
    <w:unhideWhenUsed/>
    <w:rsid w:val="007D53B6"/>
    <w:pPr>
      <w:tabs>
        <w:tab w:val="right" w:leader="dot" w:pos="9071"/>
      </w:tabs>
      <w:spacing w:before="180"/>
      <w:jc w:val="left"/>
    </w:pPr>
  </w:style>
  <w:style w:type="paragraph" w:styleId="TOC8">
    <w:name w:val="toc 8"/>
    <w:basedOn w:val="Normal"/>
    <w:next w:val="Normal"/>
    <w:uiPriority w:val="39"/>
    <w:semiHidden/>
    <w:unhideWhenUsed/>
    <w:rsid w:val="007D53B6"/>
    <w:pPr>
      <w:tabs>
        <w:tab w:val="right" w:leader="dot" w:pos="9071"/>
      </w:tabs>
      <w:jc w:val="left"/>
    </w:pPr>
  </w:style>
  <w:style w:type="paragraph" w:styleId="TOC9">
    <w:name w:val="toc 9"/>
    <w:basedOn w:val="Normal"/>
    <w:next w:val="Normal"/>
    <w:uiPriority w:val="39"/>
    <w:semiHidden/>
    <w:unhideWhenUsed/>
    <w:rsid w:val="007D53B6"/>
    <w:pPr>
      <w:tabs>
        <w:tab w:val="right" w:leader="dot" w:pos="9071"/>
      </w:tabs>
    </w:pPr>
  </w:style>
  <w:style w:type="paragraph" w:customStyle="1" w:styleId="HeaderLandscape">
    <w:name w:val="HeaderLandscape"/>
    <w:basedOn w:val="Normal"/>
    <w:rsid w:val="007D53B6"/>
    <w:pPr>
      <w:tabs>
        <w:tab w:val="center" w:pos="7285"/>
        <w:tab w:val="right" w:pos="14003"/>
      </w:tabs>
      <w:spacing w:before="0"/>
    </w:pPr>
  </w:style>
  <w:style w:type="paragraph" w:customStyle="1" w:styleId="FooterLandscape">
    <w:name w:val="FooterLandscape"/>
    <w:basedOn w:val="Normal"/>
    <w:rsid w:val="007D53B6"/>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7D53B6"/>
    <w:rPr>
      <w:shd w:val="clear" w:color="auto" w:fill="auto"/>
      <w:vertAlign w:val="superscript"/>
    </w:rPr>
  </w:style>
  <w:style w:type="paragraph" w:customStyle="1" w:styleId="Text1">
    <w:name w:val="Text 1"/>
    <w:basedOn w:val="Normal"/>
    <w:rsid w:val="007D53B6"/>
    <w:pPr>
      <w:ind w:left="850"/>
    </w:pPr>
  </w:style>
  <w:style w:type="paragraph" w:customStyle="1" w:styleId="Text2">
    <w:name w:val="Text 2"/>
    <w:basedOn w:val="Normal"/>
    <w:rsid w:val="007D53B6"/>
    <w:pPr>
      <w:ind w:left="1417"/>
    </w:pPr>
  </w:style>
  <w:style w:type="paragraph" w:customStyle="1" w:styleId="Text3">
    <w:name w:val="Text 3"/>
    <w:basedOn w:val="Normal"/>
    <w:rsid w:val="007D53B6"/>
    <w:pPr>
      <w:ind w:left="1984"/>
    </w:pPr>
  </w:style>
  <w:style w:type="paragraph" w:customStyle="1" w:styleId="Text4">
    <w:name w:val="Text 4"/>
    <w:basedOn w:val="Normal"/>
    <w:rsid w:val="007D53B6"/>
    <w:pPr>
      <w:ind w:left="2551"/>
    </w:pPr>
  </w:style>
  <w:style w:type="paragraph" w:customStyle="1" w:styleId="NormalCentered">
    <w:name w:val="Normal Centered"/>
    <w:basedOn w:val="Normal"/>
    <w:rsid w:val="007D53B6"/>
    <w:pPr>
      <w:jc w:val="center"/>
    </w:pPr>
  </w:style>
  <w:style w:type="paragraph" w:customStyle="1" w:styleId="NormalLeft">
    <w:name w:val="Normal Left"/>
    <w:basedOn w:val="Normal"/>
    <w:rsid w:val="007D53B6"/>
    <w:pPr>
      <w:jc w:val="left"/>
    </w:pPr>
  </w:style>
  <w:style w:type="paragraph" w:customStyle="1" w:styleId="NormalRight">
    <w:name w:val="Normal Right"/>
    <w:basedOn w:val="Normal"/>
    <w:rsid w:val="007D53B6"/>
    <w:pPr>
      <w:jc w:val="right"/>
    </w:pPr>
  </w:style>
  <w:style w:type="paragraph" w:customStyle="1" w:styleId="QuotedText">
    <w:name w:val="Quoted Text"/>
    <w:basedOn w:val="Normal"/>
    <w:rsid w:val="007D53B6"/>
    <w:pPr>
      <w:ind w:left="1417"/>
    </w:pPr>
  </w:style>
  <w:style w:type="paragraph" w:customStyle="1" w:styleId="Point0">
    <w:name w:val="Point 0"/>
    <w:basedOn w:val="Normal"/>
    <w:rsid w:val="007D53B6"/>
    <w:pPr>
      <w:ind w:left="850" w:hanging="850"/>
    </w:pPr>
  </w:style>
  <w:style w:type="paragraph" w:customStyle="1" w:styleId="Point1">
    <w:name w:val="Point 1"/>
    <w:basedOn w:val="Normal"/>
    <w:rsid w:val="007D53B6"/>
    <w:pPr>
      <w:ind w:left="1417" w:hanging="567"/>
    </w:pPr>
  </w:style>
  <w:style w:type="paragraph" w:customStyle="1" w:styleId="Point2">
    <w:name w:val="Point 2"/>
    <w:basedOn w:val="Normal"/>
    <w:rsid w:val="007D53B6"/>
    <w:pPr>
      <w:ind w:left="1984" w:hanging="567"/>
    </w:pPr>
  </w:style>
  <w:style w:type="paragraph" w:customStyle="1" w:styleId="Point3">
    <w:name w:val="Point 3"/>
    <w:basedOn w:val="Normal"/>
    <w:rsid w:val="007D53B6"/>
    <w:pPr>
      <w:ind w:left="2551" w:hanging="567"/>
    </w:pPr>
  </w:style>
  <w:style w:type="paragraph" w:customStyle="1" w:styleId="Point4">
    <w:name w:val="Point 4"/>
    <w:basedOn w:val="Normal"/>
    <w:rsid w:val="007D53B6"/>
    <w:pPr>
      <w:ind w:left="3118" w:hanging="567"/>
    </w:pPr>
  </w:style>
  <w:style w:type="paragraph" w:customStyle="1" w:styleId="Tiret0">
    <w:name w:val="Tiret 0"/>
    <w:basedOn w:val="Point0"/>
    <w:rsid w:val="007D53B6"/>
    <w:pPr>
      <w:numPr>
        <w:numId w:val="12"/>
      </w:numPr>
    </w:pPr>
  </w:style>
  <w:style w:type="paragraph" w:customStyle="1" w:styleId="Tiret1">
    <w:name w:val="Tiret 1"/>
    <w:basedOn w:val="Point1"/>
    <w:rsid w:val="007D53B6"/>
    <w:pPr>
      <w:numPr>
        <w:numId w:val="13"/>
      </w:numPr>
    </w:pPr>
  </w:style>
  <w:style w:type="paragraph" w:customStyle="1" w:styleId="Tiret2">
    <w:name w:val="Tiret 2"/>
    <w:basedOn w:val="Point2"/>
    <w:rsid w:val="007D53B6"/>
    <w:pPr>
      <w:numPr>
        <w:numId w:val="14"/>
      </w:numPr>
    </w:pPr>
  </w:style>
  <w:style w:type="paragraph" w:customStyle="1" w:styleId="Tiret3">
    <w:name w:val="Tiret 3"/>
    <w:basedOn w:val="Point3"/>
    <w:rsid w:val="007D53B6"/>
    <w:pPr>
      <w:numPr>
        <w:numId w:val="15"/>
      </w:numPr>
    </w:pPr>
  </w:style>
  <w:style w:type="paragraph" w:customStyle="1" w:styleId="Tiret4">
    <w:name w:val="Tiret 4"/>
    <w:basedOn w:val="Point4"/>
    <w:rsid w:val="007D53B6"/>
    <w:pPr>
      <w:numPr>
        <w:numId w:val="16"/>
      </w:numPr>
    </w:pPr>
  </w:style>
  <w:style w:type="paragraph" w:customStyle="1" w:styleId="PointDouble0">
    <w:name w:val="PointDouble 0"/>
    <w:basedOn w:val="Normal"/>
    <w:rsid w:val="007D53B6"/>
    <w:pPr>
      <w:tabs>
        <w:tab w:val="left" w:pos="850"/>
      </w:tabs>
      <w:ind w:left="1417" w:hanging="1417"/>
    </w:pPr>
  </w:style>
  <w:style w:type="paragraph" w:customStyle="1" w:styleId="PointDouble1">
    <w:name w:val="PointDouble 1"/>
    <w:basedOn w:val="Normal"/>
    <w:rsid w:val="007D53B6"/>
    <w:pPr>
      <w:tabs>
        <w:tab w:val="left" w:pos="1417"/>
      </w:tabs>
      <w:ind w:left="1984" w:hanging="1134"/>
    </w:pPr>
  </w:style>
  <w:style w:type="paragraph" w:customStyle="1" w:styleId="PointDouble2">
    <w:name w:val="PointDouble 2"/>
    <w:basedOn w:val="Normal"/>
    <w:rsid w:val="007D53B6"/>
    <w:pPr>
      <w:tabs>
        <w:tab w:val="left" w:pos="1984"/>
      </w:tabs>
      <w:ind w:left="2551" w:hanging="1134"/>
    </w:pPr>
  </w:style>
  <w:style w:type="paragraph" w:customStyle="1" w:styleId="PointDouble3">
    <w:name w:val="PointDouble 3"/>
    <w:basedOn w:val="Normal"/>
    <w:rsid w:val="007D53B6"/>
    <w:pPr>
      <w:tabs>
        <w:tab w:val="left" w:pos="2551"/>
      </w:tabs>
      <w:ind w:left="3118" w:hanging="1134"/>
    </w:pPr>
  </w:style>
  <w:style w:type="paragraph" w:customStyle="1" w:styleId="PointDouble4">
    <w:name w:val="PointDouble 4"/>
    <w:basedOn w:val="Normal"/>
    <w:rsid w:val="007D53B6"/>
    <w:pPr>
      <w:tabs>
        <w:tab w:val="left" w:pos="3118"/>
      </w:tabs>
      <w:ind w:left="3685" w:hanging="1134"/>
    </w:pPr>
  </w:style>
  <w:style w:type="paragraph" w:customStyle="1" w:styleId="PointTriple0">
    <w:name w:val="PointTriple 0"/>
    <w:basedOn w:val="Normal"/>
    <w:rsid w:val="007D53B6"/>
    <w:pPr>
      <w:tabs>
        <w:tab w:val="left" w:pos="850"/>
        <w:tab w:val="left" w:pos="1417"/>
      </w:tabs>
      <w:ind w:left="1984" w:hanging="1984"/>
    </w:pPr>
  </w:style>
  <w:style w:type="paragraph" w:customStyle="1" w:styleId="PointTriple1">
    <w:name w:val="PointTriple 1"/>
    <w:basedOn w:val="Normal"/>
    <w:rsid w:val="007D53B6"/>
    <w:pPr>
      <w:tabs>
        <w:tab w:val="left" w:pos="1417"/>
        <w:tab w:val="left" w:pos="1984"/>
      </w:tabs>
      <w:ind w:left="2551" w:hanging="1701"/>
    </w:pPr>
  </w:style>
  <w:style w:type="paragraph" w:customStyle="1" w:styleId="PointTriple2">
    <w:name w:val="PointTriple 2"/>
    <w:basedOn w:val="Normal"/>
    <w:rsid w:val="007D53B6"/>
    <w:pPr>
      <w:tabs>
        <w:tab w:val="left" w:pos="1984"/>
        <w:tab w:val="left" w:pos="2551"/>
      </w:tabs>
      <w:ind w:left="3118" w:hanging="1701"/>
    </w:pPr>
  </w:style>
  <w:style w:type="paragraph" w:customStyle="1" w:styleId="PointTriple3">
    <w:name w:val="PointTriple 3"/>
    <w:basedOn w:val="Normal"/>
    <w:rsid w:val="007D53B6"/>
    <w:pPr>
      <w:tabs>
        <w:tab w:val="left" w:pos="2551"/>
        <w:tab w:val="left" w:pos="3118"/>
      </w:tabs>
      <w:ind w:left="3685" w:hanging="1701"/>
    </w:pPr>
  </w:style>
  <w:style w:type="paragraph" w:customStyle="1" w:styleId="PointTriple4">
    <w:name w:val="PointTriple 4"/>
    <w:basedOn w:val="Normal"/>
    <w:rsid w:val="007D53B6"/>
    <w:pPr>
      <w:tabs>
        <w:tab w:val="left" w:pos="3118"/>
        <w:tab w:val="left" w:pos="3685"/>
      </w:tabs>
      <w:ind w:left="4252" w:hanging="1701"/>
    </w:pPr>
  </w:style>
  <w:style w:type="paragraph" w:customStyle="1" w:styleId="NumPar1">
    <w:name w:val="NumPar 1"/>
    <w:basedOn w:val="Normal"/>
    <w:next w:val="Text1"/>
    <w:rsid w:val="007D53B6"/>
    <w:pPr>
      <w:numPr>
        <w:numId w:val="17"/>
      </w:numPr>
    </w:pPr>
  </w:style>
  <w:style w:type="paragraph" w:customStyle="1" w:styleId="NumPar2">
    <w:name w:val="NumPar 2"/>
    <w:basedOn w:val="Normal"/>
    <w:next w:val="Text1"/>
    <w:rsid w:val="007D53B6"/>
    <w:pPr>
      <w:numPr>
        <w:ilvl w:val="1"/>
        <w:numId w:val="17"/>
      </w:numPr>
    </w:pPr>
  </w:style>
  <w:style w:type="paragraph" w:customStyle="1" w:styleId="NumPar3">
    <w:name w:val="NumPar 3"/>
    <w:basedOn w:val="Normal"/>
    <w:next w:val="Text1"/>
    <w:rsid w:val="007D53B6"/>
    <w:pPr>
      <w:numPr>
        <w:ilvl w:val="2"/>
        <w:numId w:val="17"/>
      </w:numPr>
    </w:pPr>
  </w:style>
  <w:style w:type="paragraph" w:customStyle="1" w:styleId="NumPar4">
    <w:name w:val="NumPar 4"/>
    <w:basedOn w:val="Normal"/>
    <w:next w:val="Text1"/>
    <w:rsid w:val="007D53B6"/>
    <w:pPr>
      <w:numPr>
        <w:ilvl w:val="3"/>
        <w:numId w:val="17"/>
      </w:numPr>
    </w:pPr>
  </w:style>
  <w:style w:type="paragraph" w:customStyle="1" w:styleId="ManualNumPar1">
    <w:name w:val="Manual NumPar 1"/>
    <w:basedOn w:val="Normal"/>
    <w:next w:val="Text1"/>
    <w:rsid w:val="007D53B6"/>
    <w:pPr>
      <w:ind w:left="850" w:hanging="850"/>
    </w:pPr>
  </w:style>
  <w:style w:type="paragraph" w:customStyle="1" w:styleId="ManualNumPar2">
    <w:name w:val="Manual NumPar 2"/>
    <w:basedOn w:val="Normal"/>
    <w:next w:val="Text1"/>
    <w:rsid w:val="007D53B6"/>
    <w:pPr>
      <w:ind w:left="850" w:hanging="850"/>
    </w:pPr>
  </w:style>
  <w:style w:type="paragraph" w:customStyle="1" w:styleId="ManualNumPar3">
    <w:name w:val="Manual NumPar 3"/>
    <w:basedOn w:val="Normal"/>
    <w:next w:val="Text1"/>
    <w:rsid w:val="007D53B6"/>
    <w:pPr>
      <w:ind w:left="850" w:hanging="850"/>
    </w:pPr>
  </w:style>
  <w:style w:type="paragraph" w:customStyle="1" w:styleId="ManualNumPar4">
    <w:name w:val="Manual NumPar 4"/>
    <w:basedOn w:val="Normal"/>
    <w:next w:val="Text1"/>
    <w:rsid w:val="007D53B6"/>
    <w:pPr>
      <w:ind w:left="850" w:hanging="850"/>
    </w:pPr>
  </w:style>
  <w:style w:type="paragraph" w:customStyle="1" w:styleId="QuotedNumPar">
    <w:name w:val="Quoted NumPar"/>
    <w:basedOn w:val="Normal"/>
    <w:rsid w:val="007D53B6"/>
    <w:pPr>
      <w:ind w:left="1417" w:hanging="567"/>
    </w:pPr>
  </w:style>
  <w:style w:type="paragraph" w:customStyle="1" w:styleId="ManualHeading1">
    <w:name w:val="Manual Heading 1"/>
    <w:basedOn w:val="Normal"/>
    <w:next w:val="Text1"/>
    <w:rsid w:val="007D53B6"/>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7D53B6"/>
    <w:pPr>
      <w:keepNext/>
      <w:tabs>
        <w:tab w:val="left" w:pos="850"/>
      </w:tabs>
      <w:ind w:left="850" w:hanging="850"/>
      <w:outlineLvl w:val="1"/>
    </w:pPr>
    <w:rPr>
      <w:b/>
    </w:rPr>
  </w:style>
  <w:style w:type="paragraph" w:customStyle="1" w:styleId="ManualHeading3">
    <w:name w:val="Manual Heading 3"/>
    <w:basedOn w:val="Normal"/>
    <w:next w:val="Text1"/>
    <w:rsid w:val="007D53B6"/>
    <w:pPr>
      <w:keepNext/>
      <w:tabs>
        <w:tab w:val="left" w:pos="850"/>
      </w:tabs>
      <w:ind w:left="850" w:hanging="850"/>
      <w:outlineLvl w:val="2"/>
    </w:pPr>
    <w:rPr>
      <w:i/>
    </w:rPr>
  </w:style>
  <w:style w:type="paragraph" w:customStyle="1" w:styleId="ManualHeading4">
    <w:name w:val="Manual Heading 4"/>
    <w:basedOn w:val="Normal"/>
    <w:next w:val="Text1"/>
    <w:rsid w:val="007D53B6"/>
    <w:pPr>
      <w:keepNext/>
      <w:tabs>
        <w:tab w:val="left" w:pos="850"/>
      </w:tabs>
      <w:ind w:left="850" w:hanging="850"/>
      <w:outlineLvl w:val="3"/>
    </w:pPr>
  </w:style>
  <w:style w:type="paragraph" w:customStyle="1" w:styleId="ChapterTitle">
    <w:name w:val="ChapterTitle"/>
    <w:basedOn w:val="Normal"/>
    <w:next w:val="Normal"/>
    <w:rsid w:val="007D53B6"/>
    <w:pPr>
      <w:keepNext/>
      <w:spacing w:after="360"/>
      <w:jc w:val="center"/>
    </w:pPr>
    <w:rPr>
      <w:b/>
      <w:sz w:val="32"/>
    </w:rPr>
  </w:style>
  <w:style w:type="paragraph" w:customStyle="1" w:styleId="PartTitle">
    <w:name w:val="PartTitle"/>
    <w:basedOn w:val="Normal"/>
    <w:next w:val="ChapterTitle"/>
    <w:rsid w:val="007D53B6"/>
    <w:pPr>
      <w:keepNext/>
      <w:pageBreakBefore/>
      <w:spacing w:after="360"/>
      <w:jc w:val="center"/>
    </w:pPr>
    <w:rPr>
      <w:b/>
      <w:sz w:val="36"/>
    </w:rPr>
  </w:style>
  <w:style w:type="paragraph" w:customStyle="1" w:styleId="SectionTitle">
    <w:name w:val="SectionTitle"/>
    <w:basedOn w:val="Normal"/>
    <w:next w:val="Heading1"/>
    <w:rsid w:val="007D53B6"/>
    <w:pPr>
      <w:keepNext/>
      <w:spacing w:after="360"/>
      <w:jc w:val="center"/>
    </w:pPr>
    <w:rPr>
      <w:b/>
      <w:smallCaps/>
      <w:sz w:val="28"/>
    </w:rPr>
  </w:style>
  <w:style w:type="paragraph" w:customStyle="1" w:styleId="TableTitle">
    <w:name w:val="Table Title"/>
    <w:basedOn w:val="Normal"/>
    <w:next w:val="Normal"/>
    <w:rsid w:val="007D53B6"/>
    <w:pPr>
      <w:jc w:val="center"/>
    </w:pPr>
    <w:rPr>
      <w:b/>
    </w:rPr>
  </w:style>
  <w:style w:type="character" w:customStyle="1" w:styleId="Marker">
    <w:name w:val="Marker"/>
    <w:basedOn w:val="DefaultParagraphFont"/>
    <w:rsid w:val="007D53B6"/>
    <w:rPr>
      <w:color w:val="0000FF"/>
      <w:shd w:val="clear" w:color="auto" w:fill="auto"/>
    </w:rPr>
  </w:style>
  <w:style w:type="character" w:customStyle="1" w:styleId="Marker1">
    <w:name w:val="Marker1"/>
    <w:basedOn w:val="DefaultParagraphFont"/>
    <w:rsid w:val="007D53B6"/>
    <w:rPr>
      <w:color w:val="008000"/>
      <w:shd w:val="clear" w:color="auto" w:fill="auto"/>
    </w:rPr>
  </w:style>
  <w:style w:type="character" w:customStyle="1" w:styleId="Marker2">
    <w:name w:val="Marker2"/>
    <w:basedOn w:val="DefaultParagraphFont"/>
    <w:rsid w:val="007D53B6"/>
    <w:rPr>
      <w:color w:val="FF0000"/>
      <w:shd w:val="clear" w:color="auto" w:fill="auto"/>
    </w:rPr>
  </w:style>
  <w:style w:type="paragraph" w:customStyle="1" w:styleId="Point0number">
    <w:name w:val="Point 0 (number)"/>
    <w:basedOn w:val="Normal"/>
    <w:rsid w:val="007D53B6"/>
    <w:pPr>
      <w:numPr>
        <w:numId w:val="19"/>
      </w:numPr>
    </w:pPr>
  </w:style>
  <w:style w:type="paragraph" w:customStyle="1" w:styleId="Point1number">
    <w:name w:val="Point 1 (number)"/>
    <w:basedOn w:val="Normal"/>
    <w:rsid w:val="007D53B6"/>
    <w:pPr>
      <w:numPr>
        <w:ilvl w:val="2"/>
        <w:numId w:val="19"/>
      </w:numPr>
    </w:pPr>
  </w:style>
  <w:style w:type="paragraph" w:customStyle="1" w:styleId="Point2number">
    <w:name w:val="Point 2 (number)"/>
    <w:basedOn w:val="Normal"/>
    <w:rsid w:val="007D53B6"/>
    <w:pPr>
      <w:numPr>
        <w:ilvl w:val="4"/>
        <w:numId w:val="19"/>
      </w:numPr>
    </w:pPr>
  </w:style>
  <w:style w:type="paragraph" w:customStyle="1" w:styleId="Point3number">
    <w:name w:val="Point 3 (number)"/>
    <w:basedOn w:val="Normal"/>
    <w:rsid w:val="007D53B6"/>
    <w:pPr>
      <w:numPr>
        <w:ilvl w:val="6"/>
        <w:numId w:val="19"/>
      </w:numPr>
    </w:pPr>
  </w:style>
  <w:style w:type="paragraph" w:customStyle="1" w:styleId="Point0letter">
    <w:name w:val="Point 0 (letter)"/>
    <w:basedOn w:val="Normal"/>
    <w:rsid w:val="007D53B6"/>
    <w:pPr>
      <w:numPr>
        <w:ilvl w:val="1"/>
        <w:numId w:val="19"/>
      </w:numPr>
    </w:pPr>
  </w:style>
  <w:style w:type="paragraph" w:customStyle="1" w:styleId="Point1letter">
    <w:name w:val="Point 1 (letter)"/>
    <w:basedOn w:val="Normal"/>
    <w:rsid w:val="007D53B6"/>
    <w:pPr>
      <w:numPr>
        <w:ilvl w:val="3"/>
        <w:numId w:val="19"/>
      </w:numPr>
    </w:pPr>
  </w:style>
  <w:style w:type="paragraph" w:customStyle="1" w:styleId="Point2letter">
    <w:name w:val="Point 2 (letter)"/>
    <w:basedOn w:val="Normal"/>
    <w:rsid w:val="007D53B6"/>
    <w:pPr>
      <w:numPr>
        <w:ilvl w:val="5"/>
        <w:numId w:val="19"/>
      </w:numPr>
    </w:pPr>
  </w:style>
  <w:style w:type="paragraph" w:customStyle="1" w:styleId="Point3letter">
    <w:name w:val="Point 3 (letter)"/>
    <w:basedOn w:val="Normal"/>
    <w:rsid w:val="007D53B6"/>
    <w:pPr>
      <w:numPr>
        <w:ilvl w:val="7"/>
        <w:numId w:val="19"/>
      </w:numPr>
    </w:pPr>
  </w:style>
  <w:style w:type="paragraph" w:customStyle="1" w:styleId="Point4letter">
    <w:name w:val="Point 4 (letter)"/>
    <w:basedOn w:val="Normal"/>
    <w:rsid w:val="007D53B6"/>
    <w:pPr>
      <w:numPr>
        <w:ilvl w:val="8"/>
        <w:numId w:val="19"/>
      </w:numPr>
    </w:pPr>
  </w:style>
  <w:style w:type="paragraph" w:customStyle="1" w:styleId="Bullet0">
    <w:name w:val="Bullet 0"/>
    <w:basedOn w:val="Normal"/>
    <w:rsid w:val="007D53B6"/>
    <w:pPr>
      <w:numPr>
        <w:numId w:val="20"/>
      </w:numPr>
    </w:pPr>
  </w:style>
  <w:style w:type="paragraph" w:customStyle="1" w:styleId="Bullet1">
    <w:name w:val="Bullet 1"/>
    <w:basedOn w:val="Normal"/>
    <w:rsid w:val="007D53B6"/>
    <w:pPr>
      <w:numPr>
        <w:numId w:val="21"/>
      </w:numPr>
    </w:pPr>
  </w:style>
  <w:style w:type="paragraph" w:customStyle="1" w:styleId="Bullet2">
    <w:name w:val="Bullet 2"/>
    <w:basedOn w:val="Normal"/>
    <w:rsid w:val="007D53B6"/>
    <w:pPr>
      <w:numPr>
        <w:numId w:val="22"/>
      </w:numPr>
    </w:pPr>
  </w:style>
  <w:style w:type="paragraph" w:customStyle="1" w:styleId="Bullet3">
    <w:name w:val="Bullet 3"/>
    <w:basedOn w:val="Normal"/>
    <w:rsid w:val="007D53B6"/>
    <w:pPr>
      <w:numPr>
        <w:numId w:val="23"/>
      </w:numPr>
    </w:pPr>
  </w:style>
  <w:style w:type="paragraph" w:customStyle="1" w:styleId="Bullet4">
    <w:name w:val="Bullet 4"/>
    <w:basedOn w:val="Normal"/>
    <w:rsid w:val="007D53B6"/>
    <w:pPr>
      <w:numPr>
        <w:numId w:val="24"/>
      </w:numPr>
    </w:pPr>
  </w:style>
  <w:style w:type="paragraph" w:customStyle="1" w:styleId="Annexetitreexpos">
    <w:name w:val="Annexe titre (exposé)"/>
    <w:basedOn w:val="Normal"/>
    <w:next w:val="Normal"/>
    <w:rsid w:val="007D53B6"/>
    <w:pPr>
      <w:jc w:val="center"/>
    </w:pPr>
    <w:rPr>
      <w:b/>
      <w:u w:val="single"/>
    </w:rPr>
  </w:style>
  <w:style w:type="paragraph" w:customStyle="1" w:styleId="Annexetitre">
    <w:name w:val="Annexe titre"/>
    <w:basedOn w:val="Normal"/>
    <w:next w:val="Normal"/>
    <w:rsid w:val="007D53B6"/>
    <w:pPr>
      <w:jc w:val="center"/>
    </w:pPr>
    <w:rPr>
      <w:b/>
      <w:u w:val="single"/>
    </w:rPr>
  </w:style>
  <w:style w:type="paragraph" w:customStyle="1" w:styleId="Annexetitrefichefinancire">
    <w:name w:val="Annexe titre (fiche financière)"/>
    <w:basedOn w:val="Normal"/>
    <w:next w:val="Normal"/>
    <w:rsid w:val="007D53B6"/>
    <w:pPr>
      <w:jc w:val="center"/>
    </w:pPr>
    <w:rPr>
      <w:b/>
      <w:u w:val="single"/>
    </w:rPr>
  </w:style>
  <w:style w:type="paragraph" w:customStyle="1" w:styleId="Applicationdirecte">
    <w:name w:val="Application directe"/>
    <w:basedOn w:val="Normal"/>
    <w:next w:val="Fait"/>
    <w:rsid w:val="007D53B6"/>
    <w:pPr>
      <w:spacing w:before="480"/>
    </w:pPr>
  </w:style>
  <w:style w:type="paragraph" w:customStyle="1" w:styleId="Avertissementtitre">
    <w:name w:val="Avertissement titre"/>
    <w:basedOn w:val="Normal"/>
    <w:next w:val="Normal"/>
    <w:rsid w:val="007D53B6"/>
    <w:pPr>
      <w:keepNext/>
      <w:spacing w:before="480"/>
    </w:pPr>
    <w:rPr>
      <w:u w:val="single"/>
    </w:rPr>
  </w:style>
  <w:style w:type="paragraph" w:customStyle="1" w:styleId="Confidence">
    <w:name w:val="Confidence"/>
    <w:basedOn w:val="Normal"/>
    <w:next w:val="Normal"/>
    <w:rsid w:val="007D53B6"/>
    <w:pPr>
      <w:spacing w:before="360"/>
      <w:jc w:val="center"/>
    </w:pPr>
  </w:style>
  <w:style w:type="paragraph" w:customStyle="1" w:styleId="Confidentialit">
    <w:name w:val="Confidentialité"/>
    <w:basedOn w:val="Normal"/>
    <w:next w:val="TypedudocumentPagedecouverture"/>
    <w:rsid w:val="007D53B6"/>
    <w:pPr>
      <w:spacing w:before="240" w:after="240"/>
      <w:ind w:left="5103"/>
      <w:jc w:val="left"/>
    </w:pPr>
    <w:rPr>
      <w:i/>
      <w:sz w:val="32"/>
    </w:rPr>
  </w:style>
  <w:style w:type="paragraph" w:customStyle="1" w:styleId="Considrant">
    <w:name w:val="Considérant"/>
    <w:basedOn w:val="Normal"/>
    <w:rsid w:val="007D53B6"/>
    <w:pPr>
      <w:numPr>
        <w:numId w:val="25"/>
      </w:numPr>
    </w:pPr>
  </w:style>
  <w:style w:type="paragraph" w:customStyle="1" w:styleId="Corrigendum">
    <w:name w:val="Corrigendum"/>
    <w:basedOn w:val="Normal"/>
    <w:next w:val="Normal"/>
    <w:rsid w:val="007D53B6"/>
    <w:pPr>
      <w:spacing w:before="0" w:after="240"/>
      <w:jc w:val="left"/>
    </w:pPr>
  </w:style>
  <w:style w:type="paragraph" w:customStyle="1" w:styleId="Datedadoption">
    <w:name w:val="Date d'adoption"/>
    <w:basedOn w:val="Normal"/>
    <w:next w:val="Titreobjet"/>
    <w:rsid w:val="007D53B6"/>
    <w:pPr>
      <w:spacing w:before="360" w:after="0"/>
      <w:jc w:val="center"/>
    </w:pPr>
    <w:rPr>
      <w:b/>
    </w:rPr>
  </w:style>
  <w:style w:type="paragraph" w:customStyle="1" w:styleId="Emission">
    <w:name w:val="Emission"/>
    <w:basedOn w:val="Normal"/>
    <w:next w:val="Rfrenceinstitutionnelle"/>
    <w:rsid w:val="007D53B6"/>
    <w:pPr>
      <w:spacing w:before="0" w:after="0"/>
      <w:ind w:left="5103"/>
      <w:jc w:val="left"/>
    </w:pPr>
  </w:style>
  <w:style w:type="paragraph" w:customStyle="1" w:styleId="Exposdesmotifstitre">
    <w:name w:val="Exposé des motifs titre"/>
    <w:basedOn w:val="Normal"/>
    <w:next w:val="Normal"/>
    <w:rsid w:val="007D53B6"/>
    <w:pPr>
      <w:jc w:val="center"/>
    </w:pPr>
    <w:rPr>
      <w:b/>
      <w:u w:val="single"/>
    </w:rPr>
  </w:style>
  <w:style w:type="paragraph" w:customStyle="1" w:styleId="Fait">
    <w:name w:val="Fait à"/>
    <w:basedOn w:val="Normal"/>
    <w:next w:val="Institutionquisigne"/>
    <w:rsid w:val="007D53B6"/>
    <w:pPr>
      <w:keepNext/>
      <w:spacing w:after="0"/>
    </w:pPr>
  </w:style>
  <w:style w:type="paragraph" w:customStyle="1" w:styleId="Formuledadoption">
    <w:name w:val="Formule d'adoption"/>
    <w:basedOn w:val="Normal"/>
    <w:next w:val="Titrearticle"/>
    <w:rsid w:val="007D53B6"/>
    <w:pPr>
      <w:keepNext/>
    </w:pPr>
  </w:style>
  <w:style w:type="paragraph" w:customStyle="1" w:styleId="Institutionquiagit">
    <w:name w:val="Institution qui agit"/>
    <w:basedOn w:val="Normal"/>
    <w:next w:val="Normal"/>
    <w:rsid w:val="007D53B6"/>
    <w:pPr>
      <w:keepNext/>
      <w:spacing w:before="600"/>
    </w:pPr>
  </w:style>
  <w:style w:type="paragraph" w:customStyle="1" w:styleId="Institutionquisigne">
    <w:name w:val="Institution qui signe"/>
    <w:basedOn w:val="Normal"/>
    <w:next w:val="Personnequisigne"/>
    <w:rsid w:val="007D53B6"/>
    <w:pPr>
      <w:keepNext/>
      <w:tabs>
        <w:tab w:val="left" w:pos="4252"/>
      </w:tabs>
      <w:spacing w:before="720" w:after="0"/>
    </w:pPr>
    <w:rPr>
      <w:i/>
    </w:rPr>
  </w:style>
  <w:style w:type="paragraph" w:customStyle="1" w:styleId="Langue">
    <w:name w:val="Langue"/>
    <w:basedOn w:val="Normal"/>
    <w:next w:val="Rfrenceinterne"/>
    <w:rsid w:val="007D53B6"/>
    <w:pPr>
      <w:framePr w:wrap="around" w:vAnchor="page" w:hAnchor="text" w:xAlign="center" w:y="14741"/>
      <w:spacing w:before="0" w:after="600"/>
      <w:jc w:val="center"/>
    </w:pPr>
    <w:rPr>
      <w:b/>
      <w:caps/>
    </w:rPr>
  </w:style>
  <w:style w:type="paragraph" w:customStyle="1" w:styleId="ManualConsidrant">
    <w:name w:val="Manual Considérant"/>
    <w:basedOn w:val="Normal"/>
    <w:rsid w:val="007D53B6"/>
    <w:pPr>
      <w:ind w:left="709" w:hanging="709"/>
    </w:pPr>
  </w:style>
  <w:style w:type="paragraph" w:customStyle="1" w:styleId="Nomdelinstitution">
    <w:name w:val="Nom de l'institution"/>
    <w:basedOn w:val="Normal"/>
    <w:next w:val="Emission"/>
    <w:rsid w:val="007D53B6"/>
    <w:pPr>
      <w:spacing w:before="0" w:after="0"/>
      <w:jc w:val="left"/>
    </w:pPr>
    <w:rPr>
      <w:rFonts w:ascii="Arial" w:hAnsi="Arial" w:cs="Arial"/>
    </w:rPr>
  </w:style>
  <w:style w:type="paragraph" w:customStyle="1" w:styleId="Personnequisigne">
    <w:name w:val="Personne qui signe"/>
    <w:basedOn w:val="Normal"/>
    <w:next w:val="Institutionquisigne"/>
    <w:rsid w:val="007D53B6"/>
    <w:pPr>
      <w:tabs>
        <w:tab w:val="left" w:pos="4252"/>
      </w:tabs>
      <w:spacing w:before="0" w:after="0"/>
      <w:jc w:val="left"/>
    </w:pPr>
    <w:rPr>
      <w:i/>
    </w:rPr>
  </w:style>
  <w:style w:type="paragraph" w:customStyle="1" w:styleId="Rfrenceinstitutionnelle">
    <w:name w:val="Référence institutionnelle"/>
    <w:basedOn w:val="Normal"/>
    <w:next w:val="Confidentialit"/>
    <w:rsid w:val="007D53B6"/>
    <w:pPr>
      <w:spacing w:before="0" w:after="240"/>
      <w:ind w:left="5103"/>
      <w:jc w:val="left"/>
    </w:pPr>
  </w:style>
  <w:style w:type="paragraph" w:customStyle="1" w:styleId="Rfrenceinterinstitutionnelle">
    <w:name w:val="Référence interinstitutionnelle"/>
    <w:basedOn w:val="Normal"/>
    <w:next w:val="Statut"/>
    <w:rsid w:val="007D53B6"/>
    <w:pPr>
      <w:spacing w:before="0" w:after="0"/>
      <w:ind w:left="5103"/>
      <w:jc w:val="left"/>
    </w:pPr>
  </w:style>
  <w:style w:type="paragraph" w:customStyle="1" w:styleId="Rfrenceinterne">
    <w:name w:val="Référence interne"/>
    <w:basedOn w:val="Normal"/>
    <w:next w:val="Rfrenceinterinstitutionnelle"/>
    <w:rsid w:val="007D53B6"/>
    <w:pPr>
      <w:spacing w:before="0" w:after="0"/>
      <w:ind w:left="5103"/>
      <w:jc w:val="left"/>
    </w:pPr>
  </w:style>
  <w:style w:type="paragraph" w:customStyle="1" w:styleId="Sous-titreobjet">
    <w:name w:val="Sous-titre objet"/>
    <w:basedOn w:val="Normal"/>
    <w:rsid w:val="007D53B6"/>
    <w:pPr>
      <w:spacing w:before="0" w:after="0"/>
      <w:jc w:val="center"/>
    </w:pPr>
    <w:rPr>
      <w:b/>
    </w:rPr>
  </w:style>
  <w:style w:type="paragraph" w:customStyle="1" w:styleId="Statut">
    <w:name w:val="Statut"/>
    <w:basedOn w:val="Normal"/>
    <w:next w:val="Typedudocument"/>
    <w:rsid w:val="007D53B6"/>
    <w:pPr>
      <w:spacing w:before="360" w:after="0"/>
      <w:jc w:val="center"/>
    </w:pPr>
  </w:style>
  <w:style w:type="paragraph" w:customStyle="1" w:styleId="Titrearticle">
    <w:name w:val="Titre article"/>
    <w:basedOn w:val="Normal"/>
    <w:next w:val="Normal"/>
    <w:rsid w:val="007D53B6"/>
    <w:pPr>
      <w:keepNext/>
      <w:spacing w:before="360"/>
      <w:jc w:val="center"/>
    </w:pPr>
    <w:rPr>
      <w:i/>
    </w:rPr>
  </w:style>
  <w:style w:type="paragraph" w:customStyle="1" w:styleId="Titreobjet">
    <w:name w:val="Titre objet"/>
    <w:basedOn w:val="Normal"/>
    <w:next w:val="Sous-titreobjet"/>
    <w:rsid w:val="007D53B6"/>
    <w:pPr>
      <w:spacing w:before="360" w:after="360"/>
      <w:jc w:val="center"/>
    </w:pPr>
    <w:rPr>
      <w:b/>
    </w:rPr>
  </w:style>
  <w:style w:type="paragraph" w:customStyle="1" w:styleId="Typedudocument">
    <w:name w:val="Type du document"/>
    <w:basedOn w:val="Normal"/>
    <w:next w:val="Titreobjet"/>
    <w:rsid w:val="007D53B6"/>
    <w:pPr>
      <w:spacing w:before="360" w:after="0"/>
      <w:jc w:val="center"/>
    </w:pPr>
    <w:rPr>
      <w:b/>
    </w:rPr>
  </w:style>
  <w:style w:type="character" w:customStyle="1" w:styleId="Added">
    <w:name w:val="Added"/>
    <w:basedOn w:val="DefaultParagraphFont"/>
    <w:rsid w:val="007D53B6"/>
    <w:rPr>
      <w:b/>
      <w:u w:val="single"/>
      <w:shd w:val="clear" w:color="auto" w:fill="auto"/>
    </w:rPr>
  </w:style>
  <w:style w:type="character" w:customStyle="1" w:styleId="Deleted">
    <w:name w:val="Deleted"/>
    <w:basedOn w:val="DefaultParagraphFont"/>
    <w:rsid w:val="007D53B6"/>
    <w:rPr>
      <w:strike/>
      <w:dstrike w:val="0"/>
      <w:shd w:val="clear" w:color="auto" w:fill="auto"/>
    </w:rPr>
  </w:style>
  <w:style w:type="paragraph" w:customStyle="1" w:styleId="Address">
    <w:name w:val="Address"/>
    <w:basedOn w:val="Normal"/>
    <w:next w:val="Normal"/>
    <w:rsid w:val="007D53B6"/>
    <w:pPr>
      <w:keepLines/>
      <w:spacing w:line="360" w:lineRule="auto"/>
      <w:ind w:left="3402"/>
      <w:jc w:val="left"/>
    </w:pPr>
  </w:style>
  <w:style w:type="paragraph" w:customStyle="1" w:styleId="Objetexterne">
    <w:name w:val="Objet externe"/>
    <w:basedOn w:val="Normal"/>
    <w:next w:val="Normal"/>
    <w:rsid w:val="007D53B6"/>
    <w:rPr>
      <w:i/>
      <w:caps/>
    </w:rPr>
  </w:style>
  <w:style w:type="paragraph" w:customStyle="1" w:styleId="Pagedecouverture">
    <w:name w:val="Page de couverture"/>
    <w:basedOn w:val="Normal"/>
    <w:next w:val="Normal"/>
    <w:rsid w:val="007D53B6"/>
    <w:pPr>
      <w:spacing w:before="0" w:after="0"/>
    </w:pPr>
  </w:style>
  <w:style w:type="paragraph" w:customStyle="1" w:styleId="Supertitre">
    <w:name w:val="Supertitre"/>
    <w:basedOn w:val="Normal"/>
    <w:next w:val="Normal"/>
    <w:rsid w:val="007D53B6"/>
    <w:pPr>
      <w:spacing w:before="0" w:after="600"/>
      <w:jc w:val="center"/>
    </w:pPr>
    <w:rPr>
      <w:b/>
    </w:rPr>
  </w:style>
  <w:style w:type="paragraph" w:customStyle="1" w:styleId="Languesfaisantfoi">
    <w:name w:val="Langues faisant foi"/>
    <w:basedOn w:val="Normal"/>
    <w:next w:val="Normal"/>
    <w:rsid w:val="007D53B6"/>
    <w:pPr>
      <w:spacing w:before="360" w:after="0"/>
      <w:jc w:val="center"/>
    </w:pPr>
  </w:style>
  <w:style w:type="paragraph" w:customStyle="1" w:styleId="Rfrencecroise">
    <w:name w:val="Référence croisée"/>
    <w:basedOn w:val="Normal"/>
    <w:rsid w:val="007D53B6"/>
    <w:pPr>
      <w:spacing w:before="0" w:after="0"/>
      <w:jc w:val="center"/>
    </w:pPr>
  </w:style>
  <w:style w:type="paragraph" w:customStyle="1" w:styleId="Fichefinanciretitre">
    <w:name w:val="Fiche financière titre"/>
    <w:basedOn w:val="Normal"/>
    <w:next w:val="Normal"/>
    <w:rsid w:val="007D53B6"/>
    <w:pPr>
      <w:jc w:val="center"/>
    </w:pPr>
    <w:rPr>
      <w:b/>
      <w:u w:val="single"/>
    </w:rPr>
  </w:style>
  <w:style w:type="paragraph" w:customStyle="1" w:styleId="DatedadoptionPagedecouverture">
    <w:name w:val="Date d'adoption (Page de couverture)"/>
    <w:basedOn w:val="Datedadoption"/>
    <w:next w:val="TitreobjetPagedecouverture"/>
    <w:rsid w:val="007D53B6"/>
  </w:style>
  <w:style w:type="paragraph" w:customStyle="1" w:styleId="RfrenceinterinstitutionnellePagedecouverture">
    <w:name w:val="Référence interinstitutionnelle (Page de couverture)"/>
    <w:basedOn w:val="Rfrenceinterinstitutionnelle"/>
    <w:next w:val="Confidentialit"/>
    <w:rsid w:val="007D53B6"/>
  </w:style>
  <w:style w:type="paragraph" w:customStyle="1" w:styleId="Sous-titreobjetPagedecouverture">
    <w:name w:val="Sous-titre objet (Page de couverture)"/>
    <w:basedOn w:val="Sous-titreobjet"/>
    <w:rsid w:val="007D53B6"/>
  </w:style>
  <w:style w:type="paragraph" w:customStyle="1" w:styleId="StatutPagedecouverture">
    <w:name w:val="Statut (Page de couverture)"/>
    <w:basedOn w:val="Statut"/>
    <w:next w:val="TypedudocumentPagedecouverture"/>
    <w:rsid w:val="007D53B6"/>
  </w:style>
  <w:style w:type="paragraph" w:customStyle="1" w:styleId="TitreobjetPagedecouverture">
    <w:name w:val="Titre objet (Page de couverture)"/>
    <w:basedOn w:val="Titreobjet"/>
    <w:next w:val="Sous-titreobjetPagedecouverture"/>
    <w:rsid w:val="007D53B6"/>
  </w:style>
  <w:style w:type="paragraph" w:customStyle="1" w:styleId="TypedudocumentPagedecouverture">
    <w:name w:val="Type du document (Page de couverture)"/>
    <w:basedOn w:val="Typedudocument"/>
    <w:next w:val="TitreobjetPagedecouverture"/>
    <w:rsid w:val="007D53B6"/>
  </w:style>
  <w:style w:type="paragraph" w:customStyle="1" w:styleId="Volume">
    <w:name w:val="Volume"/>
    <w:basedOn w:val="Normal"/>
    <w:next w:val="Confidentialit"/>
    <w:rsid w:val="007D53B6"/>
    <w:pPr>
      <w:spacing w:before="0" w:after="240"/>
      <w:ind w:left="5103"/>
      <w:jc w:val="left"/>
    </w:pPr>
  </w:style>
  <w:style w:type="paragraph" w:customStyle="1" w:styleId="IntrtEEE">
    <w:name w:val="Intérêt EEE"/>
    <w:basedOn w:val="Languesfaisantfoi"/>
    <w:next w:val="Normal"/>
    <w:rsid w:val="007D53B6"/>
    <w:pPr>
      <w:spacing w:after="240"/>
    </w:pPr>
  </w:style>
  <w:style w:type="paragraph" w:customStyle="1" w:styleId="Accompagnant">
    <w:name w:val="Accompagnant"/>
    <w:basedOn w:val="Normal"/>
    <w:next w:val="Typeacteprincipal"/>
    <w:rsid w:val="007D53B6"/>
    <w:pPr>
      <w:spacing w:before="0" w:after="240"/>
      <w:jc w:val="center"/>
    </w:pPr>
    <w:rPr>
      <w:b/>
      <w:i/>
    </w:rPr>
  </w:style>
  <w:style w:type="paragraph" w:customStyle="1" w:styleId="Typeacteprincipal">
    <w:name w:val="Type acte principal"/>
    <w:basedOn w:val="Normal"/>
    <w:next w:val="Objetacteprincipal"/>
    <w:rsid w:val="007D53B6"/>
    <w:pPr>
      <w:spacing w:before="0" w:after="240"/>
      <w:jc w:val="center"/>
    </w:pPr>
    <w:rPr>
      <w:b/>
    </w:rPr>
  </w:style>
  <w:style w:type="paragraph" w:customStyle="1" w:styleId="Objetacteprincipal">
    <w:name w:val="Objet acte principal"/>
    <w:basedOn w:val="Normal"/>
    <w:next w:val="Titrearticle"/>
    <w:rsid w:val="007D53B6"/>
    <w:pPr>
      <w:spacing w:before="0" w:after="360"/>
      <w:jc w:val="center"/>
    </w:pPr>
    <w:rPr>
      <w:b/>
    </w:rPr>
  </w:style>
  <w:style w:type="paragraph" w:customStyle="1" w:styleId="IntrtEEEPagedecouverture">
    <w:name w:val="Intérêt EEE (Page de couverture)"/>
    <w:basedOn w:val="IntrtEEE"/>
    <w:next w:val="Rfrencecroise"/>
    <w:rsid w:val="007D53B6"/>
  </w:style>
  <w:style w:type="paragraph" w:customStyle="1" w:styleId="AccompagnantPagedecouverture">
    <w:name w:val="Accompagnant (Page de couverture)"/>
    <w:basedOn w:val="Accompagnant"/>
    <w:next w:val="TypeacteprincipalPagedecouverture"/>
    <w:rsid w:val="007D53B6"/>
  </w:style>
  <w:style w:type="paragraph" w:customStyle="1" w:styleId="TypeacteprincipalPagedecouverture">
    <w:name w:val="Type acte principal (Page de couverture)"/>
    <w:basedOn w:val="Typeacteprincipal"/>
    <w:next w:val="ObjetacteprincipalPagedecouverture"/>
    <w:rsid w:val="007D53B6"/>
  </w:style>
  <w:style w:type="paragraph" w:customStyle="1" w:styleId="ObjetacteprincipalPagedecouverture">
    <w:name w:val="Objet acte principal (Page de couverture)"/>
    <w:basedOn w:val="Objetacteprincipal"/>
    <w:next w:val="Rfrencecroise"/>
    <w:rsid w:val="007D53B6"/>
  </w:style>
  <w:style w:type="paragraph" w:customStyle="1" w:styleId="LanguesfaisantfoiPagedecouverture">
    <w:name w:val="Langues faisant foi (Page de couverture)"/>
    <w:basedOn w:val="Normal"/>
    <w:next w:val="Normal"/>
    <w:rsid w:val="007D53B6"/>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CC236-A302-4342-ABA3-F7E2D0B24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COM.dotm</Template>
  <TotalTime>0</TotalTime>
  <Pages>1</Pages>
  <Words>1845</Words>
  <Characters>9818</Characters>
  <Application>Microsoft Office Word</Application>
  <DocSecurity>0</DocSecurity>
  <Lines>185</Lines>
  <Paragraphs>73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2017-10-11T12:20:00Z</dcterms:created>
  <dcterms:modified xsi:type="dcterms:W3CDTF">2017-10-11T12:20:00Z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 edited using">
    <vt:lpwstr>LW 5.8.4, Build 20141001</vt:lpwstr>
  </property>
  <property fmtid="{D5CDD505-2E9C-101B-9397-08002B2CF9AE}" pid="3" name="Classification">
    <vt:lpwstr> </vt:lpwstr>
  </property>
  <property fmtid="{D5CDD505-2E9C-101B-9397-08002B2CF9AE}" pid="4" name="Category">
    <vt:lpwstr>COM/AA</vt:lpwstr>
  </property>
  <property fmtid="{D5CDD505-2E9C-101B-9397-08002B2CF9AE}" pid="5" name="Version">
    <vt:lpwstr>5.84.2.0</vt:lpwstr>
  </property>
  <property fmtid="{D5CDD505-2E9C-101B-9397-08002B2CF9AE}" pid="6" name="Created using">
    <vt:lpwstr>LW 5.8.4, Build 20150407</vt:lpwstr>
  </property>
  <property fmtid="{D5CDD505-2E9C-101B-9397-08002B2CF9AE}" pid="7" name="Part">
    <vt:lpwstr>1</vt:lpwstr>
  </property>
  <property fmtid="{D5CDD505-2E9C-101B-9397-08002B2CF9AE}" pid="8" name="Total parts">
    <vt:lpwstr>1</vt:lpwstr>
  </property>
  <property fmtid="{D5CDD505-2E9C-101B-9397-08002B2CF9AE}" pid="9" name="LWTemplateID">
    <vt:lpwstr>SJ-004</vt:lpwstr>
  </property>
  <property fmtid="{D5CDD505-2E9C-101B-9397-08002B2CF9AE}" pid="10" name="DQCStatus">
    <vt:lpwstr>Green (DQC version 03)</vt:lpwstr>
  </property>
</Properties>
</file>