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6020A" w:rsidRDefault="00A6020A" w:rsidP="00D64B66">
      <w:pPr>
        <w:pStyle w:val="Titrearticle"/>
        <w:keepNext w:val="0"/>
        <w:outlineLvl w:val="0"/>
        <w:rPr>
          <w:i w:val="0"/>
        </w:rPr>
      </w:pPr>
      <w:bookmarkStart w:id="0" w:name="_Toc262568021"/>
      <w:bookmarkStart w:id="1" w:name="_Toc295829847"/>
      <w:r>
        <w:rPr>
          <w:i w:val="0"/>
        </w:rPr>
        <w:t>FR</w:t>
      </w:r>
    </w:p>
    <w:p w:rsidR="00AB0383" w:rsidRPr="00AB0383" w:rsidRDefault="00AB0383" w:rsidP="00AB0383">
      <w:pPr>
        <w:pStyle w:val="Titrearticle"/>
        <w:keepNext w:val="0"/>
        <w:outlineLvl w:val="0"/>
        <w:rPr>
          <w:i w:val="0"/>
        </w:rPr>
      </w:pPr>
      <w:r>
        <w:rPr>
          <w:i w:val="0"/>
        </w:rPr>
        <w:t>ANNEXE III</w:t>
      </w:r>
    </w:p>
    <w:p w:rsidR="00C87CEE" w:rsidRPr="00E577B1" w:rsidRDefault="009F0F81" w:rsidP="00D64B66">
      <w:pPr>
        <w:pStyle w:val="Titrearticle"/>
        <w:keepNext w:val="0"/>
        <w:outlineLvl w:val="0"/>
        <w:rPr>
          <w:i w:val="0"/>
        </w:rPr>
      </w:pPr>
      <w:r>
        <w:rPr>
          <w:i w:val="0"/>
        </w:rPr>
        <w:t>ANNEXE VII</w:t>
      </w:r>
    </w:p>
    <w:p w:rsidR="00C87CEE" w:rsidRDefault="00713F52" w:rsidP="00C87CEE">
      <w:pPr>
        <w:jc w:val="center"/>
        <w:rPr>
          <w:rFonts w:ascii="Times New Roman" w:hAnsi="Times New Roman"/>
          <w:b/>
          <w:sz w:val="24"/>
        </w:rPr>
      </w:pPr>
      <w:r>
        <w:rPr>
          <w:rFonts w:ascii="Times New Roman" w:hAnsi="Times New Roman"/>
          <w:b/>
          <w:sz w:val="24"/>
        </w:rPr>
        <w:t>INSTRUCTIONS POUR LA DÉCLARATION DES PERTES PROVENANT DE PRÊTS GARANTIS PAR DES BIENS IMMOBILIERS</w:t>
      </w:r>
    </w:p>
    <w:p w:rsidR="00502390" w:rsidRDefault="00502390" w:rsidP="00C87CEE">
      <w:pPr>
        <w:jc w:val="center"/>
        <w:rPr>
          <w:rFonts w:ascii="Times New Roman" w:hAnsi="Times New Roman"/>
          <w:b/>
          <w:sz w:val="24"/>
        </w:rPr>
        <w:sectPr w:rsidR="00502390" w:rsidSect="00E577B1">
          <w:headerReference w:type="default" r:id="rId9"/>
          <w:footerReference w:type="even" r:id="rId10"/>
          <w:footerReference w:type="default" r:id="rId11"/>
          <w:footerReference w:type="first" r:id="rId12"/>
          <w:endnotePr>
            <w:numFmt w:val="decimal"/>
          </w:endnotePr>
          <w:pgSz w:w="11906" w:h="16838"/>
          <w:pgMar w:top="1417" w:right="1417" w:bottom="1134" w:left="1417" w:header="708" w:footer="708" w:gutter="0"/>
          <w:cols w:space="708"/>
          <w:titlePg/>
          <w:docGrid w:linePitch="360"/>
        </w:sectPr>
      </w:pPr>
    </w:p>
    <w:p w:rsidR="00C87CEE" w:rsidRPr="005B6F8B" w:rsidRDefault="001E7A23" w:rsidP="001E7A23">
      <w:pPr>
        <w:pStyle w:val="Instructionsberschrift2"/>
        <w:numPr>
          <w:ilvl w:val="0"/>
          <w:numId w:val="0"/>
        </w:numPr>
        <w:ind w:left="714" w:hanging="357"/>
        <w:rPr>
          <w:rFonts w:ascii="Times New Roman" w:hAnsi="Times New Roman" w:cs="Times New Roman"/>
          <w:u w:val="none"/>
        </w:rPr>
      </w:pPr>
      <w:r>
        <w:rPr>
          <w:rFonts w:ascii="Times New Roman" w:hAnsi="Times New Roman"/>
          <w:u w:val="none"/>
        </w:rPr>
        <w:lastRenderedPageBreak/>
        <w:t>1.</w:t>
      </w:r>
      <w:r>
        <w:tab/>
      </w:r>
      <w:r>
        <w:rPr>
          <w:rFonts w:ascii="Times New Roman" w:hAnsi="Times New Roman"/>
          <w:u w:val="none"/>
        </w:rPr>
        <w:t>La présente annexe fournit des instructions supplémentaires pour l'emploi des tableaux figurant à l'a</w:t>
      </w:r>
      <w:r>
        <w:rPr>
          <w:rFonts w:ascii="Times New Roman" w:hAnsi="Times New Roman"/>
          <w:u w:val="none"/>
        </w:rPr>
        <w:t>n</w:t>
      </w:r>
      <w:r>
        <w:rPr>
          <w:rFonts w:ascii="Times New Roman" w:hAnsi="Times New Roman"/>
          <w:u w:val="none"/>
        </w:rPr>
        <w:t>nexe VI du présent règlement, dont elle complète les instructions sous forme de références.</w:t>
      </w:r>
    </w:p>
    <w:p w:rsidR="00013EF3" w:rsidRDefault="001E7A23" w:rsidP="001E7A23">
      <w:pPr>
        <w:pStyle w:val="Instructionsberschrift2"/>
        <w:numPr>
          <w:ilvl w:val="0"/>
          <w:numId w:val="0"/>
        </w:numPr>
        <w:ind w:left="714" w:hanging="357"/>
        <w:rPr>
          <w:rFonts w:ascii="Times New Roman" w:hAnsi="Times New Roman" w:cs="Times New Roman"/>
          <w:u w:val="none"/>
        </w:rPr>
      </w:pPr>
      <w:r>
        <w:rPr>
          <w:rFonts w:ascii="Times New Roman" w:hAnsi="Times New Roman"/>
          <w:u w:val="none"/>
        </w:rPr>
        <w:t>2.</w:t>
      </w:r>
      <w:r>
        <w:tab/>
      </w:r>
      <w:r>
        <w:rPr>
          <w:rFonts w:ascii="Times New Roman" w:hAnsi="Times New Roman"/>
          <w:u w:val="none"/>
        </w:rPr>
        <w:t>Toutes les instructions générales figurant à la partie I de l’annexe II du présent règlement s’appliquent également.</w:t>
      </w:r>
    </w:p>
    <w:p w:rsidR="00325A59" w:rsidRPr="00325A59" w:rsidRDefault="001E7A23" w:rsidP="001E7A23">
      <w:pPr>
        <w:pStyle w:val="Instructionsberschrift2"/>
        <w:numPr>
          <w:ilvl w:val="0"/>
          <w:numId w:val="0"/>
        </w:numPr>
        <w:ind w:left="360" w:hanging="360"/>
        <w:rPr>
          <w:rFonts w:ascii="Times New Roman" w:hAnsi="Times New Roman" w:cs="Times New Roman"/>
        </w:rPr>
      </w:pPr>
      <w:r>
        <w:rPr>
          <w:rFonts w:ascii="Times New Roman" w:hAnsi="Times New Roman"/>
          <w:u w:val="none"/>
        </w:rPr>
        <w:t>1.</w:t>
      </w:r>
      <w:r>
        <w:tab/>
      </w:r>
      <w:r>
        <w:rPr>
          <w:rFonts w:ascii="Times New Roman" w:hAnsi="Times New Roman"/>
        </w:rPr>
        <w:t>Portée de la déclaration</w:t>
      </w:r>
    </w:p>
    <w:p w:rsidR="00FB175F" w:rsidRDefault="001E7A23" w:rsidP="001E7A23">
      <w:pPr>
        <w:pStyle w:val="Instructionsberschrift2"/>
        <w:numPr>
          <w:ilvl w:val="0"/>
          <w:numId w:val="0"/>
        </w:numPr>
        <w:ind w:left="714" w:hanging="357"/>
        <w:rPr>
          <w:rFonts w:ascii="Times New Roman" w:hAnsi="Times New Roman" w:cs="Times New Roman"/>
          <w:u w:val="none"/>
        </w:rPr>
      </w:pPr>
      <w:r>
        <w:rPr>
          <w:rFonts w:ascii="Times New Roman" w:hAnsi="Times New Roman"/>
          <w:u w:val="none"/>
        </w:rPr>
        <w:t>3.</w:t>
      </w:r>
      <w:r>
        <w:tab/>
      </w:r>
      <w:r>
        <w:rPr>
          <w:rFonts w:ascii="Times New Roman" w:hAnsi="Times New Roman"/>
          <w:u w:val="none"/>
        </w:rPr>
        <w:t>Les données visées à l’article 101, paragraphe 1, du CRR doivent être déclarées par tous les établiss</w:t>
      </w:r>
      <w:r>
        <w:rPr>
          <w:rFonts w:ascii="Times New Roman" w:hAnsi="Times New Roman"/>
          <w:u w:val="none"/>
        </w:rPr>
        <w:t>e</w:t>
      </w:r>
      <w:r>
        <w:rPr>
          <w:rFonts w:ascii="Times New Roman" w:hAnsi="Times New Roman"/>
          <w:u w:val="none"/>
        </w:rPr>
        <w:t xml:space="preserve">ments qui recourent à des biens immobiliers aux fins de la troisième partie, titre II, du CRR. </w:t>
      </w:r>
    </w:p>
    <w:p w:rsidR="00FA5CA1" w:rsidRDefault="001E7A23" w:rsidP="001E7A23">
      <w:pPr>
        <w:pStyle w:val="Instructionsberschrift2"/>
        <w:numPr>
          <w:ilvl w:val="0"/>
          <w:numId w:val="0"/>
        </w:numPr>
        <w:ind w:left="714" w:hanging="357"/>
        <w:rPr>
          <w:rFonts w:ascii="Times New Roman" w:hAnsi="Times New Roman" w:cs="Times New Roman"/>
          <w:u w:val="none"/>
        </w:rPr>
      </w:pPr>
      <w:r>
        <w:rPr>
          <w:rFonts w:ascii="Times New Roman" w:hAnsi="Times New Roman"/>
          <w:u w:val="none"/>
        </w:rPr>
        <w:t>4.</w:t>
      </w:r>
      <w:r>
        <w:tab/>
      </w:r>
      <w:r>
        <w:rPr>
          <w:rFonts w:ascii="Times New Roman" w:hAnsi="Times New Roman"/>
          <w:u w:val="none"/>
        </w:rPr>
        <w:t xml:space="preserve">Le modèle couvre tous les marchés nationaux auxquels un établissement/groupe d’établissements est exposé (voir article 101, paragraphe 1, du CRR). Conformément à l'article 101, paragraphe 2, troisième phrase, les données sont déclarées de manière séparée pour chaque marché immobilier au sein de l'Union. </w:t>
      </w:r>
    </w:p>
    <w:p w:rsidR="00363FCE" w:rsidRDefault="001E7A23" w:rsidP="001E7A23">
      <w:pPr>
        <w:pStyle w:val="Instructionsberschrift2"/>
        <w:numPr>
          <w:ilvl w:val="0"/>
          <w:numId w:val="0"/>
        </w:numPr>
        <w:ind w:left="360" w:hanging="360"/>
        <w:rPr>
          <w:rFonts w:ascii="Times New Roman" w:hAnsi="Times New Roman" w:cs="Times New Roman"/>
        </w:rPr>
      </w:pPr>
      <w:r>
        <w:rPr>
          <w:rFonts w:ascii="Times New Roman" w:hAnsi="Times New Roman"/>
          <w:u w:val="none"/>
        </w:rPr>
        <w:t>2.</w:t>
      </w:r>
      <w:r>
        <w:tab/>
      </w:r>
      <w:r>
        <w:rPr>
          <w:rFonts w:ascii="Times New Roman" w:hAnsi="Times New Roman"/>
        </w:rPr>
        <w:t>Définitions</w:t>
      </w:r>
    </w:p>
    <w:p w:rsidR="00373A71" w:rsidRDefault="001E7A23" w:rsidP="001E7A23">
      <w:pPr>
        <w:pStyle w:val="Instructionsberschrift2"/>
        <w:numPr>
          <w:ilvl w:val="0"/>
          <w:numId w:val="0"/>
        </w:numPr>
        <w:ind w:left="714" w:hanging="357"/>
        <w:rPr>
          <w:rFonts w:ascii="Times New Roman" w:hAnsi="Times New Roman" w:cs="Times New Roman"/>
          <w:u w:val="none"/>
        </w:rPr>
      </w:pPr>
      <w:r>
        <w:rPr>
          <w:rFonts w:ascii="Times New Roman" w:hAnsi="Times New Roman"/>
          <w:u w:val="none"/>
        </w:rPr>
        <w:t>5.</w:t>
      </w:r>
      <w:r>
        <w:tab/>
      </w:r>
      <w:r>
        <w:rPr>
          <w:rFonts w:ascii="Times New Roman" w:hAnsi="Times New Roman"/>
          <w:u w:val="none"/>
        </w:rPr>
        <w:t xml:space="preserve">Définition de la perte: </w:t>
      </w:r>
      <w:r w:rsidR="00594630">
        <w:rPr>
          <w:rFonts w:ascii="Times New Roman" w:hAnsi="Times New Roman"/>
          <w:u w:val="none"/>
        </w:rPr>
        <w:t>on</w:t>
      </w:r>
      <w:r>
        <w:rPr>
          <w:rFonts w:ascii="Times New Roman" w:hAnsi="Times New Roman"/>
          <w:u w:val="none"/>
        </w:rPr>
        <w:t xml:space="preserve"> entend par «perte» une «perte économique» au sens de l'article 5, point 2), du CRR, y compris les pertes découlant de bien immobiliers loués. </w:t>
      </w:r>
      <w:r>
        <w:rPr>
          <w:rStyle w:val="InstructionsTabelleText"/>
          <w:rFonts w:ascii="Times New Roman" w:hAnsi="Times New Roman"/>
          <w:u w:val="none"/>
        </w:rPr>
        <w:t xml:space="preserve">Les flux de recouvrement issus d'autres sources (garanties bancaires, assurance-vie, etc.) ne sont pas pris en compte dans le calcul des pertes provenant de biens immobiliers. </w:t>
      </w:r>
      <w:r>
        <w:rPr>
          <w:rFonts w:ascii="Times New Roman" w:hAnsi="Times New Roman"/>
          <w:u w:val="none"/>
        </w:rPr>
        <w:t>Les pertes enregistrées sur une position ne sont pas compensées par le bénéfice réalisé sur une autre position à la suite d’un recouvrement réussi.</w:t>
      </w:r>
    </w:p>
    <w:p w:rsidR="00920D63" w:rsidRPr="00920D63" w:rsidRDefault="001E7A23" w:rsidP="001E7A23">
      <w:pPr>
        <w:pStyle w:val="Instructionsberschrift2"/>
        <w:numPr>
          <w:ilvl w:val="0"/>
          <w:numId w:val="0"/>
        </w:numPr>
        <w:ind w:left="714" w:hanging="357"/>
        <w:rPr>
          <w:rFonts w:ascii="Times New Roman" w:hAnsi="Times New Roman" w:cs="Times New Roman"/>
          <w:u w:val="none"/>
        </w:rPr>
      </w:pPr>
      <w:r>
        <w:rPr>
          <w:rFonts w:ascii="Times New Roman" w:hAnsi="Times New Roman"/>
          <w:u w:val="none"/>
        </w:rPr>
        <w:t>6.</w:t>
      </w:r>
      <w:r>
        <w:tab/>
      </w:r>
      <w:r>
        <w:rPr>
          <w:rFonts w:ascii="Times New Roman" w:hAnsi="Times New Roman"/>
          <w:u w:val="none"/>
        </w:rPr>
        <w:t>Au sens de la définition de l’article 5, paragraphe 2, du CRR, pour les expositions garanties par des biens immobiliers résidentiels et commerciaux, la perte économique est calculée à partir de la valeur exposée au risque de l’encours des expositions à la date de la déclaration, et doit inclure au moins: i) le produit de la réalisation de la garantie; ii) les coûts directs (y compris le paiement d’intérêts et les frais de restructuration liés à la liquidation de la garantie); et iii) les coûts indirects (y compris les frais d’exploitation de l’entité de restructuration). Tous les postes doivent être actualisés à la date de réf</w:t>
      </w:r>
      <w:r>
        <w:rPr>
          <w:rFonts w:ascii="Times New Roman" w:hAnsi="Times New Roman"/>
          <w:u w:val="none"/>
        </w:rPr>
        <w:t>é</w:t>
      </w:r>
      <w:r>
        <w:rPr>
          <w:rFonts w:ascii="Times New Roman" w:hAnsi="Times New Roman"/>
          <w:u w:val="none"/>
        </w:rPr>
        <w:t>rence de la déclaration.</w:t>
      </w:r>
    </w:p>
    <w:p w:rsidR="004345C2" w:rsidRDefault="001E7A23" w:rsidP="001E7A23">
      <w:pPr>
        <w:pStyle w:val="Instructionsberschrift2"/>
        <w:numPr>
          <w:ilvl w:val="0"/>
          <w:numId w:val="0"/>
        </w:numPr>
        <w:ind w:left="714" w:hanging="357"/>
        <w:rPr>
          <w:rFonts w:ascii="Times New Roman" w:hAnsi="Times New Roman" w:cs="Times New Roman"/>
          <w:u w:val="none"/>
        </w:rPr>
      </w:pPr>
      <w:r>
        <w:rPr>
          <w:rFonts w:ascii="Times New Roman" w:hAnsi="Times New Roman"/>
          <w:u w:val="none"/>
        </w:rPr>
        <w:t>7.</w:t>
      </w:r>
      <w:r>
        <w:tab/>
      </w:r>
      <w:r>
        <w:rPr>
          <w:rFonts w:ascii="Times New Roman" w:hAnsi="Times New Roman"/>
          <w:u w:val="none"/>
        </w:rPr>
        <w:t xml:space="preserve">Valeur exposée au risque: </w:t>
      </w:r>
      <w:r w:rsidR="00594630">
        <w:rPr>
          <w:rFonts w:ascii="Times New Roman" w:hAnsi="Times New Roman"/>
          <w:u w:val="none"/>
        </w:rPr>
        <w:t>l</w:t>
      </w:r>
      <w:r>
        <w:rPr>
          <w:rFonts w:ascii="Times New Roman" w:hAnsi="Times New Roman"/>
          <w:u w:val="none"/>
        </w:rPr>
        <w:t>a valeur exposée au risque suit les règles énoncées à la troisième partie, titre II, du CRR (voir le chapitre 2 pour les établissements qui recourent à l'approche standard, et le ch</w:t>
      </w:r>
      <w:r>
        <w:rPr>
          <w:rFonts w:ascii="Times New Roman" w:hAnsi="Times New Roman"/>
          <w:u w:val="none"/>
        </w:rPr>
        <w:t>a</w:t>
      </w:r>
      <w:r>
        <w:rPr>
          <w:rFonts w:ascii="Times New Roman" w:hAnsi="Times New Roman"/>
          <w:u w:val="none"/>
        </w:rPr>
        <w:t>pitre 3 pour les établissements utilisant l'approche NI).</w:t>
      </w:r>
    </w:p>
    <w:p w:rsidR="004345C2" w:rsidRDefault="001E7A23" w:rsidP="001E7A23">
      <w:pPr>
        <w:pStyle w:val="Instructionsberschrift2"/>
        <w:numPr>
          <w:ilvl w:val="0"/>
          <w:numId w:val="0"/>
        </w:numPr>
        <w:ind w:left="714" w:hanging="357"/>
        <w:rPr>
          <w:rFonts w:ascii="Times New Roman" w:hAnsi="Times New Roman" w:cs="Times New Roman"/>
          <w:u w:val="none"/>
        </w:rPr>
      </w:pPr>
      <w:r>
        <w:rPr>
          <w:rFonts w:ascii="Times New Roman" w:hAnsi="Times New Roman"/>
          <w:u w:val="none"/>
        </w:rPr>
        <w:t>8.</w:t>
      </w:r>
      <w:r>
        <w:tab/>
      </w:r>
      <w:r>
        <w:rPr>
          <w:rFonts w:ascii="Times New Roman" w:hAnsi="Times New Roman"/>
          <w:u w:val="none"/>
        </w:rPr>
        <w:t xml:space="preserve">Valeur du bien: </w:t>
      </w:r>
      <w:r w:rsidR="00594630">
        <w:rPr>
          <w:rFonts w:ascii="Times New Roman" w:hAnsi="Times New Roman"/>
          <w:u w:val="none"/>
        </w:rPr>
        <w:t>l</w:t>
      </w:r>
      <w:r>
        <w:rPr>
          <w:rFonts w:ascii="Times New Roman" w:hAnsi="Times New Roman"/>
          <w:u w:val="none"/>
        </w:rPr>
        <w:t>a valeur du bien suit les règles énoncées à la troisième partie, titre II, du CRR.</w:t>
      </w:r>
    </w:p>
    <w:p w:rsidR="00840FC0" w:rsidRPr="004345C2" w:rsidRDefault="001E7A23" w:rsidP="001E7A23">
      <w:pPr>
        <w:pStyle w:val="Instructionsberschrift2"/>
        <w:numPr>
          <w:ilvl w:val="0"/>
          <w:numId w:val="0"/>
        </w:numPr>
        <w:ind w:left="714" w:hanging="357"/>
        <w:rPr>
          <w:rFonts w:ascii="Times New Roman" w:hAnsi="Times New Roman" w:cs="Times New Roman"/>
          <w:u w:val="none"/>
        </w:rPr>
      </w:pPr>
      <w:r>
        <w:rPr>
          <w:rFonts w:ascii="Times New Roman" w:hAnsi="Times New Roman"/>
          <w:u w:val="none"/>
        </w:rPr>
        <w:t>9.</w:t>
      </w:r>
      <w:r>
        <w:tab/>
      </w:r>
      <w:r>
        <w:rPr>
          <w:rFonts w:ascii="Times New Roman" w:hAnsi="Times New Roman"/>
          <w:u w:val="none"/>
        </w:rPr>
        <w:t xml:space="preserve">Effet de change: </w:t>
      </w:r>
      <w:r w:rsidR="00594630">
        <w:rPr>
          <w:rFonts w:ascii="Times New Roman" w:hAnsi="Times New Roman"/>
          <w:u w:val="none"/>
        </w:rPr>
        <w:t>l</w:t>
      </w:r>
      <w:bookmarkStart w:id="2" w:name="_GoBack"/>
      <w:bookmarkEnd w:id="2"/>
      <w:r>
        <w:rPr>
          <w:rFonts w:ascii="Times New Roman" w:hAnsi="Times New Roman"/>
          <w:u w:val="none"/>
        </w:rPr>
        <w:t>e taux de change de la devise utilisée pour la déclaration est celui de la date de décl</w:t>
      </w:r>
      <w:r>
        <w:rPr>
          <w:rFonts w:ascii="Times New Roman" w:hAnsi="Times New Roman"/>
          <w:u w:val="none"/>
        </w:rPr>
        <w:t>a</w:t>
      </w:r>
      <w:r>
        <w:rPr>
          <w:rFonts w:ascii="Times New Roman" w:hAnsi="Times New Roman"/>
          <w:u w:val="none"/>
        </w:rPr>
        <w:t>ration. Par ailleurs, les estimations de pertes économiques doivent tenir compte de l’effet de change lorsque l’exposition ou la garantie est libellée dans une autre devise.</w:t>
      </w:r>
    </w:p>
    <w:p w:rsidR="00363FCE" w:rsidRPr="00363FCE" w:rsidRDefault="001E7A23" w:rsidP="001E7A23">
      <w:pPr>
        <w:pStyle w:val="Instructionsberschrift2"/>
        <w:numPr>
          <w:ilvl w:val="0"/>
          <w:numId w:val="0"/>
        </w:numPr>
        <w:ind w:left="360" w:hanging="360"/>
        <w:rPr>
          <w:rFonts w:ascii="Times New Roman" w:hAnsi="Times New Roman" w:cs="Times New Roman"/>
        </w:rPr>
      </w:pPr>
      <w:r>
        <w:rPr>
          <w:rFonts w:ascii="Times New Roman" w:hAnsi="Times New Roman"/>
          <w:u w:val="none"/>
        </w:rPr>
        <w:t>3.</w:t>
      </w:r>
      <w:r>
        <w:tab/>
      </w:r>
      <w:r>
        <w:rPr>
          <w:rFonts w:ascii="Times New Roman" w:hAnsi="Times New Roman"/>
        </w:rPr>
        <w:t>Ventilation géographique</w:t>
      </w:r>
    </w:p>
    <w:p w:rsidR="002779CE" w:rsidRDefault="001E7A23" w:rsidP="001E7A23">
      <w:pPr>
        <w:pStyle w:val="Instructionsberschrift2"/>
        <w:numPr>
          <w:ilvl w:val="0"/>
          <w:numId w:val="0"/>
        </w:numPr>
        <w:ind w:left="714" w:hanging="357"/>
        <w:rPr>
          <w:rFonts w:ascii="Times New Roman" w:hAnsi="Times New Roman" w:cs="Times New Roman"/>
          <w:u w:val="none"/>
        </w:rPr>
      </w:pPr>
      <w:r>
        <w:rPr>
          <w:rFonts w:ascii="Times New Roman" w:hAnsi="Times New Roman"/>
          <w:u w:val="none"/>
        </w:rPr>
        <w:t>10.</w:t>
      </w:r>
      <w:r>
        <w:tab/>
      </w:r>
      <w:r>
        <w:rPr>
          <w:rFonts w:ascii="Times New Roman" w:hAnsi="Times New Roman"/>
          <w:u w:val="none"/>
        </w:rPr>
        <w:t>Suivant la portée de la déclaration, la communication des pertes provenant de prêts garantis par des biens immobiliers s’effectue au moyen des modèles suivants:</w:t>
      </w:r>
    </w:p>
    <w:p w:rsidR="002779CE" w:rsidRDefault="001E7A23" w:rsidP="001E7A23">
      <w:pPr>
        <w:pStyle w:val="Instructionsberschrift2"/>
        <w:numPr>
          <w:ilvl w:val="0"/>
          <w:numId w:val="0"/>
        </w:numPr>
        <w:ind w:left="714" w:hanging="357"/>
        <w:rPr>
          <w:rFonts w:ascii="Times New Roman" w:hAnsi="Times New Roman" w:cs="Times New Roman"/>
          <w:u w:val="none"/>
        </w:rPr>
      </w:pPr>
      <w:r>
        <w:rPr>
          <w:rFonts w:ascii="Times New Roman" w:hAnsi="Times New Roman"/>
          <w:u w:val="none"/>
        </w:rPr>
        <w:t>a)</w:t>
      </w:r>
      <w:r>
        <w:tab/>
      </w:r>
      <w:r>
        <w:rPr>
          <w:rFonts w:ascii="Times New Roman" w:hAnsi="Times New Roman"/>
          <w:u w:val="none"/>
        </w:rPr>
        <w:t>un modèle global,</w:t>
      </w:r>
    </w:p>
    <w:p w:rsidR="002779CE" w:rsidRDefault="001E7A23" w:rsidP="001E7A23">
      <w:pPr>
        <w:pStyle w:val="Instructionsberschrift2"/>
        <w:numPr>
          <w:ilvl w:val="0"/>
          <w:numId w:val="0"/>
        </w:numPr>
        <w:ind w:left="714" w:hanging="357"/>
        <w:rPr>
          <w:rFonts w:ascii="Times New Roman" w:hAnsi="Times New Roman" w:cs="Times New Roman"/>
          <w:u w:val="none"/>
        </w:rPr>
      </w:pPr>
      <w:r>
        <w:rPr>
          <w:rFonts w:ascii="Times New Roman" w:hAnsi="Times New Roman"/>
          <w:u w:val="none"/>
        </w:rPr>
        <w:t>b)</w:t>
      </w:r>
      <w:r>
        <w:tab/>
      </w:r>
      <w:r>
        <w:rPr>
          <w:rFonts w:ascii="Times New Roman" w:hAnsi="Times New Roman"/>
          <w:u w:val="none"/>
        </w:rPr>
        <w:t>un modèle pour chaque marché national de l’Union auquel l’établissement est exposé, et</w:t>
      </w:r>
    </w:p>
    <w:p w:rsidR="002779CE" w:rsidRDefault="001E7A23" w:rsidP="001E7A23">
      <w:pPr>
        <w:pStyle w:val="Instructionsberschrift2"/>
        <w:numPr>
          <w:ilvl w:val="0"/>
          <w:numId w:val="0"/>
        </w:numPr>
        <w:ind w:left="714" w:hanging="357"/>
        <w:rPr>
          <w:rFonts w:ascii="Times New Roman" w:hAnsi="Times New Roman" w:cs="Times New Roman"/>
          <w:u w:val="none"/>
        </w:rPr>
      </w:pPr>
      <w:r>
        <w:rPr>
          <w:rFonts w:ascii="Times New Roman" w:hAnsi="Times New Roman"/>
          <w:u w:val="none"/>
        </w:rPr>
        <w:t>c)</w:t>
      </w:r>
      <w:r>
        <w:tab/>
      </w:r>
      <w:r>
        <w:rPr>
          <w:rFonts w:ascii="Times New Roman" w:hAnsi="Times New Roman"/>
          <w:u w:val="none"/>
        </w:rPr>
        <w:t xml:space="preserve">un modèle rassemblant les données de tous les marchés nationaux hors Union auxquels l’établissement est exposé. </w:t>
      </w:r>
    </w:p>
    <w:p w:rsidR="00363FCE" w:rsidRPr="00363FCE" w:rsidRDefault="001E7A23" w:rsidP="001E7A23">
      <w:pPr>
        <w:pStyle w:val="Instructionsberschrift2"/>
        <w:numPr>
          <w:ilvl w:val="0"/>
          <w:numId w:val="0"/>
        </w:numPr>
        <w:ind w:left="360" w:hanging="360"/>
        <w:rPr>
          <w:rFonts w:ascii="Times New Roman" w:hAnsi="Times New Roman" w:cs="Times New Roman"/>
        </w:rPr>
      </w:pPr>
      <w:r>
        <w:rPr>
          <w:rFonts w:ascii="Times New Roman" w:hAnsi="Times New Roman"/>
          <w:u w:val="none"/>
        </w:rPr>
        <w:t>4.</w:t>
      </w:r>
      <w:r>
        <w:tab/>
      </w:r>
      <w:r>
        <w:rPr>
          <w:rFonts w:ascii="Times New Roman" w:hAnsi="Times New Roman"/>
        </w:rPr>
        <w:t>Déclaration des expositions et des pertes</w:t>
      </w:r>
    </w:p>
    <w:p w:rsidR="000471B0" w:rsidRDefault="001E7A23" w:rsidP="001E7A23">
      <w:pPr>
        <w:pStyle w:val="Instructionsberschrift2"/>
        <w:numPr>
          <w:ilvl w:val="0"/>
          <w:numId w:val="0"/>
        </w:numPr>
        <w:ind w:left="714" w:hanging="357"/>
        <w:rPr>
          <w:rFonts w:ascii="Times New Roman" w:hAnsi="Times New Roman" w:cs="Times New Roman"/>
          <w:u w:val="none"/>
        </w:rPr>
      </w:pPr>
      <w:r>
        <w:rPr>
          <w:rFonts w:ascii="Times New Roman" w:hAnsi="Times New Roman"/>
          <w:u w:val="none"/>
        </w:rPr>
        <w:t>11.</w:t>
      </w:r>
      <w:r>
        <w:tab/>
      </w:r>
      <w:r>
        <w:rPr>
          <w:rFonts w:ascii="Times New Roman" w:hAnsi="Times New Roman"/>
          <w:u w:val="none"/>
        </w:rPr>
        <w:t>Expositions: toutes les expositions traitées conformément à la troisième partie, titre II, du CRR, pour lesquelles les garanties sont utilisées en vue de réduire le montant d’exposition pondéré sont déclarées dans la déclaration des pertes provenant de prêts garantis par des biens immobiliers. Cela signifie ég</w:t>
      </w:r>
      <w:r>
        <w:rPr>
          <w:rFonts w:ascii="Times New Roman" w:hAnsi="Times New Roman"/>
          <w:u w:val="none"/>
        </w:rPr>
        <w:t>a</w:t>
      </w:r>
      <w:r>
        <w:rPr>
          <w:rFonts w:ascii="Times New Roman" w:hAnsi="Times New Roman"/>
          <w:u w:val="none"/>
        </w:rPr>
        <w:t>lement que si l’effet d’atténuation du risque d’un bien immobilier ne sert qu’à des fins internes (c’est-à-</w:t>
      </w:r>
      <w:r>
        <w:rPr>
          <w:rFonts w:ascii="Times New Roman" w:hAnsi="Times New Roman"/>
          <w:u w:val="none"/>
        </w:rPr>
        <w:lastRenderedPageBreak/>
        <w:t>dire dans le cadre du 2</w:t>
      </w:r>
      <w:r>
        <w:rPr>
          <w:rFonts w:ascii="Times New Roman" w:hAnsi="Times New Roman"/>
          <w:u w:val="none"/>
          <w:vertAlign w:val="superscript"/>
        </w:rPr>
        <w:t>e</w:t>
      </w:r>
      <w:r>
        <w:rPr>
          <w:rFonts w:ascii="Times New Roman" w:hAnsi="Times New Roman"/>
          <w:u w:val="none"/>
        </w:rPr>
        <w:t xml:space="preserve"> pilier) ou pour des grands risques (voir la quatrième partie du CRR), les expos</w:t>
      </w:r>
      <w:r>
        <w:rPr>
          <w:rFonts w:ascii="Times New Roman" w:hAnsi="Times New Roman"/>
          <w:u w:val="none"/>
        </w:rPr>
        <w:t>i</w:t>
      </w:r>
      <w:r>
        <w:rPr>
          <w:rFonts w:ascii="Times New Roman" w:hAnsi="Times New Roman"/>
          <w:u w:val="none"/>
        </w:rPr>
        <w:t>tions et les pertes concernées ne devront pas être déclarées.</w:t>
      </w:r>
    </w:p>
    <w:p w:rsidR="000471B0" w:rsidRDefault="001E7A23" w:rsidP="001E7A23">
      <w:pPr>
        <w:pStyle w:val="Instructionsberschrift2"/>
        <w:numPr>
          <w:ilvl w:val="0"/>
          <w:numId w:val="0"/>
        </w:numPr>
        <w:ind w:left="714" w:hanging="357"/>
        <w:rPr>
          <w:rFonts w:ascii="Times New Roman" w:hAnsi="Times New Roman" w:cs="Times New Roman"/>
          <w:u w:val="none"/>
        </w:rPr>
      </w:pPr>
      <w:r>
        <w:rPr>
          <w:rFonts w:ascii="Times New Roman" w:hAnsi="Times New Roman"/>
          <w:u w:val="none"/>
        </w:rPr>
        <w:t>12.</w:t>
      </w:r>
      <w:r>
        <w:tab/>
      </w:r>
      <w:r>
        <w:rPr>
          <w:rFonts w:ascii="Times New Roman" w:hAnsi="Times New Roman"/>
          <w:u w:val="none"/>
        </w:rPr>
        <w:t>Pertes: l’établissement qui détient l’exposition au terme de la période de déclaration déclare les pertes. Les pertes sont déclarées dès qu’il convient de comptabiliser des provisions conformément aux règles comptables. De même, les pertes estimées doivent être déclarées. Les données concernant les pertes sont collectées prêt par prêt, c’est-à-dire qu’il y aura agrégation des données individuelles sur les pertes provenant d’expositions garanties par des biens immobiliers.</w:t>
      </w:r>
    </w:p>
    <w:p w:rsidR="000471B0" w:rsidRDefault="001E7A23" w:rsidP="001E7A23">
      <w:pPr>
        <w:pStyle w:val="Instructionsberschrift2"/>
        <w:numPr>
          <w:ilvl w:val="0"/>
          <w:numId w:val="0"/>
        </w:numPr>
        <w:ind w:left="714" w:hanging="357"/>
        <w:rPr>
          <w:rFonts w:ascii="Times New Roman" w:hAnsi="Times New Roman" w:cs="Times New Roman"/>
          <w:u w:val="none"/>
        </w:rPr>
      </w:pPr>
      <w:r>
        <w:rPr>
          <w:rFonts w:ascii="Times New Roman" w:hAnsi="Times New Roman"/>
          <w:u w:val="none"/>
        </w:rPr>
        <w:t>13.</w:t>
      </w:r>
      <w:r>
        <w:tab/>
      </w:r>
      <w:r>
        <w:rPr>
          <w:rFonts w:ascii="Times New Roman" w:hAnsi="Times New Roman"/>
          <w:u w:val="none"/>
        </w:rPr>
        <w:t>Date de référence: dans le cadre de la déclaration des pertes, la valeur exposée au risque à la date du d</w:t>
      </w:r>
      <w:r>
        <w:rPr>
          <w:rFonts w:ascii="Times New Roman" w:hAnsi="Times New Roman"/>
          <w:u w:val="none"/>
        </w:rPr>
        <w:t>é</w:t>
      </w:r>
      <w:r>
        <w:rPr>
          <w:rFonts w:ascii="Times New Roman" w:hAnsi="Times New Roman"/>
          <w:u w:val="none"/>
        </w:rPr>
        <w:t xml:space="preserve">faut de paiement est utilisée. </w:t>
      </w:r>
    </w:p>
    <w:p w:rsidR="008D7ACC" w:rsidRPr="005C453E" w:rsidRDefault="001E7A23" w:rsidP="001E7A23">
      <w:pPr>
        <w:pStyle w:val="InstructionsText2"/>
        <w:numPr>
          <w:ilvl w:val="0"/>
          <w:numId w:val="0"/>
        </w:numPr>
        <w:tabs>
          <w:tab w:val="left" w:pos="720"/>
        </w:tabs>
        <w:ind w:left="720" w:hanging="360"/>
        <w:rPr>
          <w:rFonts w:ascii="Times New Roman" w:hAnsi="Times New Roman"/>
          <w:bCs/>
          <w:szCs w:val="20"/>
          <w:u w:val="none"/>
        </w:rPr>
      </w:pPr>
      <w:r>
        <w:rPr>
          <w:rFonts w:ascii="Times New Roman" w:hAnsi="Times New Roman"/>
          <w:u w:val="none"/>
        </w:rPr>
        <w:t>a)</w:t>
      </w:r>
      <w:r>
        <w:tab/>
      </w:r>
      <w:r>
        <w:rPr>
          <w:rFonts w:ascii="Times New Roman" w:hAnsi="Times New Roman"/>
          <w:u w:val="none"/>
        </w:rPr>
        <w:t>Les pertes doivent être déclarées pour tous les défauts de paiement de prêts garantis par des biens i</w:t>
      </w:r>
      <w:r>
        <w:rPr>
          <w:rFonts w:ascii="Times New Roman" w:hAnsi="Times New Roman"/>
          <w:u w:val="none"/>
        </w:rPr>
        <w:t>m</w:t>
      </w:r>
      <w:r>
        <w:rPr>
          <w:rFonts w:ascii="Times New Roman" w:hAnsi="Times New Roman"/>
          <w:u w:val="none"/>
        </w:rPr>
        <w:t>mobiliers survenus au cours de la période de déclaration concernée, que la restructuration ait été ach</w:t>
      </w:r>
      <w:r>
        <w:rPr>
          <w:rFonts w:ascii="Times New Roman" w:hAnsi="Times New Roman"/>
          <w:u w:val="none"/>
        </w:rPr>
        <w:t>e</w:t>
      </w:r>
      <w:r>
        <w:rPr>
          <w:rFonts w:ascii="Times New Roman" w:hAnsi="Times New Roman"/>
          <w:u w:val="none"/>
        </w:rPr>
        <w:t>vée pendant cette période ou non. Les données concernant les pertes déclarées au 30 juin se réfèrent à la période du 1</w:t>
      </w:r>
      <w:r>
        <w:rPr>
          <w:rFonts w:ascii="Times New Roman" w:hAnsi="Times New Roman"/>
          <w:u w:val="none"/>
          <w:vertAlign w:val="superscript"/>
        </w:rPr>
        <w:t>er</w:t>
      </w:r>
      <w:r>
        <w:rPr>
          <w:rFonts w:ascii="Times New Roman" w:hAnsi="Times New Roman"/>
          <w:u w:val="none"/>
        </w:rPr>
        <w:t xml:space="preserve"> janvier jusqu’au 30 juin et les données concernant les pertes déclarées au 31 décembre se réfèrent à l’ensemble de l’année civile. Comme il peut se passer un certain temps entre le défaut de paiement et la réalisation de la perte, les estimations de pertes (y compris le processus inachevé de restructuration) sont déclarées dans les cas où la restructuration n’a pas été achevée pendant la période de déclaration.</w:t>
      </w:r>
    </w:p>
    <w:p w:rsidR="008D7ACC" w:rsidRPr="005C453E" w:rsidRDefault="001E7A23" w:rsidP="001E7A23">
      <w:pPr>
        <w:pStyle w:val="InstructionsText2"/>
        <w:numPr>
          <w:ilvl w:val="0"/>
          <w:numId w:val="0"/>
        </w:numPr>
        <w:tabs>
          <w:tab w:val="left" w:pos="720"/>
        </w:tabs>
        <w:ind w:left="720" w:hanging="360"/>
        <w:rPr>
          <w:rFonts w:ascii="Times New Roman" w:hAnsi="Times New Roman"/>
          <w:bCs/>
          <w:szCs w:val="20"/>
          <w:u w:val="none"/>
        </w:rPr>
      </w:pPr>
      <w:r>
        <w:rPr>
          <w:rFonts w:ascii="Times New Roman" w:hAnsi="Times New Roman"/>
          <w:u w:val="none"/>
        </w:rPr>
        <w:t>b)</w:t>
      </w:r>
      <w:r>
        <w:tab/>
      </w:r>
      <w:r>
        <w:rPr>
          <w:rFonts w:ascii="Times New Roman" w:hAnsi="Times New Roman"/>
          <w:u w:val="none"/>
        </w:rPr>
        <w:t>Trois scénarios sont possibles pour les défauts de paiement constatés pendant la période de déclaration: i) les prêts en défaut de paiement peuvent être restructurés de sorte qu’ils ne sont plus considérés comme en défaut de paiement (aucune perte observée); ii) la réalisation de toutes les garanties est ach</w:t>
      </w:r>
      <w:r>
        <w:rPr>
          <w:rFonts w:ascii="Times New Roman" w:hAnsi="Times New Roman"/>
          <w:u w:val="none"/>
        </w:rPr>
        <w:t>e</w:t>
      </w:r>
      <w:r>
        <w:rPr>
          <w:rFonts w:ascii="Times New Roman" w:hAnsi="Times New Roman"/>
          <w:u w:val="none"/>
        </w:rPr>
        <w:t>vée (restructuration complète, la perte réelle est connue); ou iii) la restructuration n’est pas achevée (r</w:t>
      </w:r>
      <w:r>
        <w:rPr>
          <w:rFonts w:ascii="Times New Roman" w:hAnsi="Times New Roman"/>
          <w:u w:val="none"/>
        </w:rPr>
        <w:t>e</w:t>
      </w:r>
      <w:r>
        <w:rPr>
          <w:rFonts w:ascii="Times New Roman" w:hAnsi="Times New Roman"/>
          <w:u w:val="none"/>
        </w:rPr>
        <w:t>cours à des estimations de pertes). La déclaration des pertes ne portera que sur les pertes émanant des scénarios ii), soit la réalisation des garanties (pertes observées), et iii), soit la restructuration inachevée (pertes estimées).</w:t>
      </w:r>
    </w:p>
    <w:p w:rsidR="008D7ACC" w:rsidRPr="005C453E" w:rsidRDefault="001E7A23" w:rsidP="001E7A23">
      <w:pPr>
        <w:pStyle w:val="InstructionsText2"/>
        <w:numPr>
          <w:ilvl w:val="0"/>
          <w:numId w:val="0"/>
        </w:numPr>
        <w:tabs>
          <w:tab w:val="left" w:pos="720"/>
        </w:tabs>
        <w:ind w:left="720" w:hanging="360"/>
        <w:rPr>
          <w:rFonts w:ascii="Times New Roman" w:hAnsi="Times New Roman"/>
          <w:bCs/>
          <w:szCs w:val="20"/>
          <w:u w:val="none"/>
        </w:rPr>
      </w:pPr>
      <w:r>
        <w:rPr>
          <w:rFonts w:ascii="Times New Roman" w:hAnsi="Times New Roman"/>
          <w:u w:val="none"/>
        </w:rPr>
        <w:t>c)</w:t>
      </w:r>
      <w:r>
        <w:tab/>
      </w:r>
      <w:r>
        <w:rPr>
          <w:rFonts w:ascii="Times New Roman" w:hAnsi="Times New Roman"/>
          <w:u w:val="none"/>
        </w:rPr>
        <w:t>Étant donné que les pertes ne sont déclarées que pour les expositions pour lesquelles un défaut de pai</w:t>
      </w:r>
      <w:r>
        <w:rPr>
          <w:rFonts w:ascii="Times New Roman" w:hAnsi="Times New Roman"/>
          <w:u w:val="none"/>
        </w:rPr>
        <w:t>e</w:t>
      </w:r>
      <w:r>
        <w:rPr>
          <w:rFonts w:ascii="Times New Roman" w:hAnsi="Times New Roman"/>
          <w:u w:val="none"/>
        </w:rPr>
        <w:t>ment est survenu au cours de la période de déclaration, les modifications apportées aux pertes liées aux expositions pour lesquelles un défaut de paiement est survenu lors de périodes antérieures n’apparaîtront pas dans les données déclarées. Par exemple, les produits de la réalisation de la garantie durant une période de déclaration ultérieure ou la réalisation de coûts inférieurs aux estimations ant</w:t>
      </w:r>
      <w:r>
        <w:rPr>
          <w:rFonts w:ascii="Times New Roman" w:hAnsi="Times New Roman"/>
          <w:u w:val="none"/>
        </w:rPr>
        <w:t>é</w:t>
      </w:r>
      <w:r>
        <w:rPr>
          <w:rFonts w:ascii="Times New Roman" w:hAnsi="Times New Roman"/>
          <w:u w:val="none"/>
        </w:rPr>
        <w:t>rieures ne seront pas déclarés.</w:t>
      </w:r>
    </w:p>
    <w:p w:rsidR="000471B0" w:rsidRDefault="001E7A23" w:rsidP="001E7A23">
      <w:pPr>
        <w:pStyle w:val="Instructionsberschrift2"/>
        <w:numPr>
          <w:ilvl w:val="0"/>
          <w:numId w:val="0"/>
        </w:numPr>
        <w:ind w:left="714" w:hanging="357"/>
        <w:rPr>
          <w:rFonts w:ascii="Times New Roman" w:hAnsi="Times New Roman" w:cs="Times New Roman"/>
          <w:u w:val="none"/>
        </w:rPr>
      </w:pPr>
      <w:r>
        <w:rPr>
          <w:rFonts w:ascii="Times New Roman" w:hAnsi="Times New Roman"/>
          <w:u w:val="none"/>
        </w:rPr>
        <w:t>14.</w:t>
      </w:r>
      <w:r>
        <w:tab/>
      </w:r>
      <w:r>
        <w:rPr>
          <w:rFonts w:ascii="Times New Roman" w:hAnsi="Times New Roman"/>
          <w:u w:val="none"/>
        </w:rPr>
        <w:t>Rôle de l’évaluation du bien: la dernière évaluation de la valeur du bien avant la date du défaut de l’exposition sert de date de référence lorsqu’il s’agit de déclarer la part de l’exposition garantie par des hypothèques sur biens immobiliers. Après le défaut de paiement, la valeur du bien peut être réévaluée. Cette nouvelle valeur ne sera toutefois pas pertinente pour identifier la part de l’exposition qui était in</w:t>
      </w:r>
      <w:r>
        <w:rPr>
          <w:rFonts w:ascii="Times New Roman" w:hAnsi="Times New Roman"/>
          <w:u w:val="none"/>
        </w:rPr>
        <w:t>i</w:t>
      </w:r>
      <w:r>
        <w:rPr>
          <w:rFonts w:ascii="Times New Roman" w:hAnsi="Times New Roman"/>
          <w:u w:val="none"/>
        </w:rPr>
        <w:t>tialement pleinement (et complètement) garantie par les hypothèques sur biens immobiliers. Cependant, la nouvelle valeur du bien sera prise en compte dans la déclaration des pertes économiques (la baisse de la valeur d’un bien fait partie des coûts économiques). En d’autres termes, la dernière évaluation du bien avant défaut de paiement sera utilisée pour déterminer quelle partie de la perte déclarer dans la ce</w:t>
      </w:r>
      <w:r>
        <w:rPr>
          <w:rFonts w:ascii="Times New Roman" w:hAnsi="Times New Roman"/>
          <w:u w:val="none"/>
        </w:rPr>
        <w:t>l</w:t>
      </w:r>
      <w:r>
        <w:rPr>
          <w:rFonts w:ascii="Times New Roman" w:hAnsi="Times New Roman"/>
          <w:u w:val="none"/>
        </w:rPr>
        <w:t>lule 010 (identification de la valeur des expositions pleinement et complètement garanties), et la valeur réévaluée du bien pour les montants à déclarer (estimation d’une éventuelle restructuration de la gara</w:t>
      </w:r>
      <w:r>
        <w:rPr>
          <w:rFonts w:ascii="Times New Roman" w:hAnsi="Times New Roman"/>
          <w:u w:val="none"/>
        </w:rPr>
        <w:t>n</w:t>
      </w:r>
      <w:r>
        <w:rPr>
          <w:rFonts w:ascii="Times New Roman" w:hAnsi="Times New Roman"/>
          <w:u w:val="none"/>
        </w:rPr>
        <w:t>tie) dans les cellules 010 et 030.</w:t>
      </w:r>
    </w:p>
    <w:p w:rsidR="000471B0" w:rsidRDefault="001E7A23" w:rsidP="001E7A23">
      <w:pPr>
        <w:pStyle w:val="Instructionsberschrift2"/>
        <w:numPr>
          <w:ilvl w:val="0"/>
          <w:numId w:val="0"/>
        </w:numPr>
        <w:ind w:left="714" w:hanging="357"/>
        <w:rPr>
          <w:rFonts w:ascii="Times New Roman" w:hAnsi="Times New Roman" w:cs="Times New Roman"/>
          <w:u w:val="none"/>
        </w:rPr>
      </w:pPr>
      <w:r>
        <w:rPr>
          <w:rFonts w:ascii="Times New Roman" w:hAnsi="Times New Roman"/>
          <w:u w:val="none"/>
        </w:rPr>
        <w:t>15.</w:t>
      </w:r>
      <w:r>
        <w:tab/>
      </w:r>
      <w:r>
        <w:rPr>
          <w:rFonts w:ascii="Times New Roman" w:hAnsi="Times New Roman"/>
          <w:u w:val="none"/>
        </w:rPr>
        <w:t>Traitement de la vente de prêts pendant la période de déclaration: l’établissement qui détient l’exposition au terme de la période de déclaration déclare les pertes, mais uniquement lorsqu’un défaut de paiement a été constaté pour cette exposition.</w:t>
      </w:r>
    </w:p>
    <w:p w:rsidR="00713F52" w:rsidRPr="00291779" w:rsidRDefault="001E7A23" w:rsidP="001E7A23">
      <w:pPr>
        <w:pStyle w:val="Instructionsberschrift2"/>
        <w:numPr>
          <w:ilvl w:val="0"/>
          <w:numId w:val="0"/>
        </w:numPr>
        <w:ind w:left="360" w:hanging="360"/>
        <w:rPr>
          <w:rFonts w:ascii="Times New Roman" w:hAnsi="Times New Roman" w:cs="Times New Roman"/>
        </w:rPr>
      </w:pPr>
      <w:bookmarkStart w:id="3" w:name="_Toc310008820"/>
      <w:r>
        <w:rPr>
          <w:rFonts w:ascii="Times New Roman" w:hAnsi="Times New Roman"/>
          <w:u w:val="none"/>
        </w:rPr>
        <w:t>5.</w:t>
      </w:r>
      <w:r>
        <w:tab/>
      </w:r>
      <w:r>
        <w:rPr>
          <w:rFonts w:ascii="Times New Roman" w:hAnsi="Times New Roman"/>
        </w:rPr>
        <w:t>Instructions concernant certaines positions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2"/>
        <w:gridCol w:w="8004"/>
      </w:tblGrid>
      <w:tr w:rsidR="00713F52" w:rsidRPr="005B6F8B" w:rsidTr="00165232">
        <w:tc>
          <w:tcPr>
            <w:tcW w:w="8856" w:type="dxa"/>
            <w:gridSpan w:val="2"/>
            <w:shd w:val="clear" w:color="auto" w:fill="CCCCCC"/>
          </w:tcPr>
          <w:p w:rsidR="00713F52" w:rsidRPr="005B6F8B" w:rsidRDefault="00713F52" w:rsidP="00A6020A">
            <w:pPr>
              <w:spacing w:beforeLines="60" w:before="144" w:afterLines="60" w:after="144"/>
              <w:rPr>
                <w:rFonts w:ascii="Times New Roman" w:hAnsi="Times New Roman"/>
                <w:b/>
              </w:rPr>
            </w:pPr>
            <w:r>
              <w:rPr>
                <w:rFonts w:ascii="Times New Roman" w:hAnsi="Times New Roman"/>
                <w:b/>
              </w:rPr>
              <w:t>Colonnes</w:t>
            </w:r>
          </w:p>
        </w:tc>
      </w:tr>
      <w:tr w:rsidR="00713F52" w:rsidRPr="005B6F8B" w:rsidTr="00165232">
        <w:tc>
          <w:tcPr>
            <w:tcW w:w="852" w:type="dxa"/>
          </w:tcPr>
          <w:p w:rsidR="00713F52" w:rsidRPr="005B6F8B" w:rsidRDefault="00713F52" w:rsidP="00A6020A">
            <w:pPr>
              <w:spacing w:beforeLines="60" w:before="144" w:afterLines="60" w:after="144"/>
              <w:rPr>
                <w:rFonts w:ascii="Times New Roman" w:hAnsi="Times New Roman"/>
              </w:rPr>
            </w:pPr>
            <w:r>
              <w:rPr>
                <w:rFonts w:ascii="Times New Roman" w:hAnsi="Times New Roman"/>
              </w:rPr>
              <w:t>010</w:t>
            </w:r>
          </w:p>
        </w:tc>
        <w:tc>
          <w:tcPr>
            <w:tcW w:w="8004" w:type="dxa"/>
          </w:tcPr>
          <w:p w:rsidR="000471B0" w:rsidRDefault="00713F52" w:rsidP="00A6020A">
            <w:pPr>
              <w:spacing w:beforeLines="60" w:before="144" w:afterLines="60" w:after="144"/>
              <w:rPr>
                <w:rStyle w:val="InstructionsTabelleberschrift"/>
                <w:rFonts w:ascii="Times New Roman" w:hAnsi="Times New Roman"/>
              </w:rPr>
            </w:pPr>
            <w:r>
              <w:rPr>
                <w:rStyle w:val="InstructionsTabelleberschrift"/>
                <w:rFonts w:ascii="Times New Roman" w:hAnsi="Times New Roman"/>
              </w:rPr>
              <w:t>Somme des pertes provenant de prêts à concurrence des taux de référence</w:t>
            </w:r>
          </w:p>
          <w:p w:rsidR="000471B0" w:rsidRDefault="00713F52" w:rsidP="00A6020A">
            <w:pPr>
              <w:spacing w:beforeLines="60" w:before="144" w:afterLines="60" w:after="144"/>
              <w:rPr>
                <w:rStyle w:val="InstructionsTabelleText"/>
                <w:rFonts w:ascii="Times New Roman" w:hAnsi="Times New Roman"/>
              </w:rPr>
            </w:pPr>
            <w:r>
              <w:rPr>
                <w:rStyle w:val="InstructionsTabelleText"/>
                <w:rFonts w:ascii="Times New Roman" w:hAnsi="Times New Roman"/>
              </w:rPr>
              <w:t xml:space="preserve">Article 101, paragraphe 1, respectivement points a) et d), du CRR </w:t>
            </w:r>
          </w:p>
          <w:p w:rsidR="000471B0" w:rsidRDefault="00713F52" w:rsidP="00A6020A">
            <w:pPr>
              <w:spacing w:beforeLines="60" w:before="144" w:afterLines="60" w:after="144"/>
              <w:rPr>
                <w:rStyle w:val="InstructionsTabelleText"/>
                <w:rFonts w:ascii="Times New Roman" w:hAnsi="Times New Roman"/>
              </w:rPr>
            </w:pPr>
            <w:r>
              <w:rPr>
                <w:rStyle w:val="InstructionsTabelleText"/>
                <w:rFonts w:ascii="Times New Roman" w:hAnsi="Times New Roman"/>
              </w:rPr>
              <w:lastRenderedPageBreak/>
              <w:t>Valeur de marché et valeur hypothécaire, conformément à l'article 4 (74) et (76) du CRR</w:t>
            </w:r>
          </w:p>
          <w:p w:rsidR="000471B0" w:rsidRDefault="00D87924" w:rsidP="00A6020A">
            <w:pPr>
              <w:spacing w:beforeLines="60" w:before="144" w:afterLines="60" w:after="144"/>
              <w:rPr>
                <w:rFonts w:ascii="Times New Roman" w:hAnsi="Times New Roman" w:cs="Arial"/>
                <w:u w:val="single"/>
              </w:rPr>
            </w:pPr>
            <w:r>
              <w:rPr>
                <w:rStyle w:val="InstructionsTabelleText"/>
                <w:rFonts w:ascii="Times New Roman" w:hAnsi="Times New Roman"/>
              </w:rPr>
              <w:t>Cette colonne rassemble toutes les pertes de prêts garantis par des biens immobiliers résidentiels ou commerciaux, à concurrence de la part de l’exposition considérée comme pleinement et co</w:t>
            </w:r>
            <w:r>
              <w:rPr>
                <w:rStyle w:val="InstructionsTabelleText"/>
                <w:rFonts w:ascii="Times New Roman" w:hAnsi="Times New Roman"/>
              </w:rPr>
              <w:t>m</w:t>
            </w:r>
            <w:r>
              <w:rPr>
                <w:rStyle w:val="InstructionsTabelleText"/>
                <w:rFonts w:ascii="Times New Roman" w:hAnsi="Times New Roman"/>
              </w:rPr>
              <w:t>plètement garantie en vertu de l’article 124, paragraphe 1, du CRR.</w:t>
            </w:r>
          </w:p>
        </w:tc>
      </w:tr>
      <w:tr w:rsidR="00713F52" w:rsidRPr="005B6F8B" w:rsidTr="00165232">
        <w:tc>
          <w:tcPr>
            <w:tcW w:w="852" w:type="dxa"/>
          </w:tcPr>
          <w:p w:rsidR="00713F52" w:rsidRPr="005B6F8B" w:rsidRDefault="00713F52" w:rsidP="00A6020A">
            <w:pPr>
              <w:spacing w:beforeLines="60" w:before="144" w:afterLines="60" w:after="144"/>
              <w:rPr>
                <w:rFonts w:ascii="Times New Roman" w:hAnsi="Times New Roman"/>
              </w:rPr>
            </w:pPr>
            <w:r>
              <w:rPr>
                <w:rFonts w:ascii="Times New Roman" w:hAnsi="Times New Roman"/>
              </w:rPr>
              <w:lastRenderedPageBreak/>
              <w:t>020</w:t>
            </w:r>
          </w:p>
        </w:tc>
        <w:tc>
          <w:tcPr>
            <w:tcW w:w="8004" w:type="dxa"/>
          </w:tcPr>
          <w:p w:rsidR="000471B0" w:rsidRDefault="00713F52" w:rsidP="00A6020A">
            <w:pPr>
              <w:spacing w:beforeLines="60" w:before="144" w:afterLines="60" w:after="144"/>
              <w:rPr>
                <w:rStyle w:val="InstructionsTabelleberschrift"/>
                <w:rFonts w:ascii="Times New Roman" w:hAnsi="Times New Roman"/>
              </w:rPr>
            </w:pPr>
            <w:r>
              <w:rPr>
                <w:rStyle w:val="InstructionsTabelleberschrift"/>
                <w:rFonts w:ascii="Times New Roman" w:hAnsi="Times New Roman"/>
              </w:rPr>
              <w:t>Dont: biens immobiliers évalués à la valeur hypothécaire</w:t>
            </w:r>
          </w:p>
          <w:p w:rsidR="000471B0" w:rsidRDefault="00713F52" w:rsidP="00A6020A">
            <w:pPr>
              <w:spacing w:beforeLines="60" w:before="144" w:afterLines="60" w:after="144"/>
              <w:rPr>
                <w:rStyle w:val="InstructionsTabelleText"/>
                <w:rFonts w:ascii="Times New Roman" w:hAnsi="Times New Roman"/>
              </w:rPr>
            </w:pPr>
            <w:r>
              <w:rPr>
                <w:rStyle w:val="InstructionsTabelleText"/>
                <w:rFonts w:ascii="Times New Roman" w:hAnsi="Times New Roman"/>
              </w:rPr>
              <w:t>Déclaration des pertes, lorsque la valeur de la garantie a été calculée comme étant la valeur h</w:t>
            </w:r>
            <w:r>
              <w:rPr>
                <w:rStyle w:val="InstructionsTabelleText"/>
                <w:rFonts w:ascii="Times New Roman" w:hAnsi="Times New Roman"/>
              </w:rPr>
              <w:t>y</w:t>
            </w:r>
            <w:r>
              <w:rPr>
                <w:rStyle w:val="InstructionsTabelleText"/>
                <w:rFonts w:ascii="Times New Roman" w:hAnsi="Times New Roman"/>
              </w:rPr>
              <w:t>pothécaire.</w:t>
            </w:r>
          </w:p>
        </w:tc>
      </w:tr>
      <w:tr w:rsidR="00713F52" w:rsidRPr="005B6F8B" w:rsidTr="00165232">
        <w:tc>
          <w:tcPr>
            <w:tcW w:w="852" w:type="dxa"/>
          </w:tcPr>
          <w:p w:rsidR="00713F52" w:rsidRPr="005B6F8B" w:rsidRDefault="00713F52" w:rsidP="00A6020A">
            <w:pPr>
              <w:spacing w:beforeLines="60" w:before="144" w:afterLines="60" w:after="144"/>
              <w:rPr>
                <w:rFonts w:ascii="Times New Roman" w:hAnsi="Times New Roman"/>
              </w:rPr>
            </w:pPr>
            <w:r>
              <w:rPr>
                <w:rFonts w:ascii="Times New Roman" w:hAnsi="Times New Roman"/>
              </w:rPr>
              <w:t>030</w:t>
            </w:r>
          </w:p>
        </w:tc>
        <w:tc>
          <w:tcPr>
            <w:tcW w:w="8004" w:type="dxa"/>
          </w:tcPr>
          <w:p w:rsidR="000471B0" w:rsidRDefault="00713F52" w:rsidP="00A6020A">
            <w:pPr>
              <w:spacing w:beforeLines="60" w:before="144" w:afterLines="60" w:after="144"/>
              <w:rPr>
                <w:rStyle w:val="InstructionsTabelleberschrift"/>
                <w:rFonts w:ascii="Times New Roman" w:hAnsi="Times New Roman"/>
              </w:rPr>
            </w:pPr>
            <w:r>
              <w:rPr>
                <w:rStyle w:val="InstructionsTabelleberschrift"/>
                <w:rFonts w:ascii="Times New Roman" w:hAnsi="Times New Roman"/>
              </w:rPr>
              <w:t>Somme des pertes globales</w:t>
            </w:r>
          </w:p>
          <w:p w:rsidR="000471B0" w:rsidRDefault="00713F52" w:rsidP="00A6020A">
            <w:pPr>
              <w:spacing w:beforeLines="60" w:before="144" w:afterLines="60" w:after="144"/>
              <w:rPr>
                <w:rStyle w:val="InstructionsTabelleText"/>
                <w:rFonts w:ascii="Times New Roman" w:hAnsi="Times New Roman"/>
              </w:rPr>
            </w:pPr>
            <w:r>
              <w:rPr>
                <w:rStyle w:val="InstructionsTabelleText"/>
                <w:rFonts w:ascii="Times New Roman" w:hAnsi="Times New Roman"/>
              </w:rPr>
              <w:t>Article 101, paragraphe 1, respectivement points b) et e), du CRR</w:t>
            </w:r>
          </w:p>
          <w:p w:rsidR="000471B0" w:rsidRDefault="00713F52" w:rsidP="00A6020A">
            <w:pPr>
              <w:spacing w:beforeLines="60" w:before="144" w:afterLines="60" w:after="144"/>
              <w:rPr>
                <w:rStyle w:val="InstructionsTabelleText"/>
                <w:rFonts w:ascii="Times New Roman" w:hAnsi="Times New Roman"/>
              </w:rPr>
            </w:pPr>
            <w:r>
              <w:rPr>
                <w:rStyle w:val="InstructionsTabelleText"/>
                <w:rFonts w:ascii="Times New Roman" w:hAnsi="Times New Roman"/>
              </w:rPr>
              <w:t>Valeur de marché et valeur hypothécaire, conformément à l'article 4 (74) et (76) du CRR</w:t>
            </w:r>
          </w:p>
          <w:p w:rsidR="000471B0" w:rsidRDefault="00713F52" w:rsidP="00A6020A">
            <w:pPr>
              <w:spacing w:beforeLines="60" w:before="144" w:afterLines="60" w:after="144"/>
              <w:rPr>
                <w:rFonts w:ascii="Times New Roman" w:hAnsi="Times New Roman" w:cs="Arial"/>
                <w:u w:val="single"/>
              </w:rPr>
            </w:pPr>
            <w:r>
              <w:rPr>
                <w:rStyle w:val="InstructionsTabelleText"/>
                <w:rFonts w:ascii="Times New Roman" w:hAnsi="Times New Roman"/>
              </w:rPr>
              <w:t>Cette colonne rassemble toutes les pertes de prêts garantis par des biens immobiliers résidentiels ou commerciaux, à concurrence de la part de l’exposition considérée comme pleinement garantie en vertu de l’article 124, paragraphe 1, du CRR.</w:t>
            </w:r>
          </w:p>
        </w:tc>
      </w:tr>
      <w:tr w:rsidR="00713F52" w:rsidRPr="005B6F8B" w:rsidTr="00165232">
        <w:tc>
          <w:tcPr>
            <w:tcW w:w="852" w:type="dxa"/>
          </w:tcPr>
          <w:p w:rsidR="00713F52" w:rsidRPr="005B6F8B" w:rsidRDefault="00713F52" w:rsidP="00A6020A">
            <w:pPr>
              <w:spacing w:beforeLines="60" w:before="144" w:afterLines="60" w:after="144"/>
              <w:rPr>
                <w:rFonts w:ascii="Times New Roman" w:hAnsi="Times New Roman"/>
              </w:rPr>
            </w:pPr>
            <w:r>
              <w:rPr>
                <w:rFonts w:ascii="Times New Roman" w:hAnsi="Times New Roman"/>
              </w:rPr>
              <w:t>040</w:t>
            </w:r>
          </w:p>
        </w:tc>
        <w:tc>
          <w:tcPr>
            <w:tcW w:w="8004" w:type="dxa"/>
          </w:tcPr>
          <w:p w:rsidR="000471B0" w:rsidRDefault="00713F52" w:rsidP="00A6020A">
            <w:pPr>
              <w:spacing w:beforeLines="60" w:before="144" w:afterLines="60" w:after="144"/>
              <w:rPr>
                <w:rStyle w:val="InstructionsTabelleberschrift"/>
                <w:rFonts w:ascii="Times New Roman" w:hAnsi="Times New Roman"/>
              </w:rPr>
            </w:pPr>
            <w:r>
              <w:rPr>
                <w:rStyle w:val="InstructionsTabelleberschrift"/>
                <w:rFonts w:ascii="Times New Roman" w:hAnsi="Times New Roman"/>
              </w:rPr>
              <w:t>Dont: biens immobiliers évalués à la valeur hypothécaire</w:t>
            </w:r>
          </w:p>
          <w:p w:rsidR="000471B0" w:rsidRDefault="00713F52" w:rsidP="00A6020A">
            <w:pPr>
              <w:spacing w:beforeLines="60" w:before="144" w:afterLines="60" w:after="144"/>
              <w:rPr>
                <w:rStyle w:val="InstructionsTabelleText"/>
                <w:rFonts w:ascii="Times New Roman" w:hAnsi="Times New Roman"/>
              </w:rPr>
            </w:pPr>
            <w:r>
              <w:rPr>
                <w:rStyle w:val="InstructionsTabelleText"/>
                <w:rFonts w:ascii="Times New Roman" w:hAnsi="Times New Roman"/>
              </w:rPr>
              <w:t>Déclaration des pertes, pour les cas où la valeur de la garantie a été calculée comme étant la v</w:t>
            </w:r>
            <w:r>
              <w:rPr>
                <w:rStyle w:val="InstructionsTabelleText"/>
                <w:rFonts w:ascii="Times New Roman" w:hAnsi="Times New Roman"/>
              </w:rPr>
              <w:t>a</w:t>
            </w:r>
            <w:r>
              <w:rPr>
                <w:rStyle w:val="InstructionsTabelleText"/>
                <w:rFonts w:ascii="Times New Roman" w:hAnsi="Times New Roman"/>
              </w:rPr>
              <w:t>leur hypothécaire</w:t>
            </w:r>
          </w:p>
        </w:tc>
      </w:tr>
      <w:tr w:rsidR="00713F52" w:rsidRPr="005B6F8B" w:rsidTr="00165232">
        <w:tc>
          <w:tcPr>
            <w:tcW w:w="852" w:type="dxa"/>
          </w:tcPr>
          <w:p w:rsidR="00713F52" w:rsidRPr="005B6F8B" w:rsidRDefault="00713F52" w:rsidP="00A6020A">
            <w:pPr>
              <w:spacing w:beforeLines="60" w:before="144" w:afterLines="60" w:after="144"/>
              <w:rPr>
                <w:rFonts w:ascii="Times New Roman" w:hAnsi="Times New Roman"/>
              </w:rPr>
            </w:pPr>
            <w:r>
              <w:rPr>
                <w:rFonts w:ascii="Times New Roman" w:hAnsi="Times New Roman"/>
              </w:rPr>
              <w:t>050</w:t>
            </w:r>
          </w:p>
        </w:tc>
        <w:tc>
          <w:tcPr>
            <w:tcW w:w="8004" w:type="dxa"/>
          </w:tcPr>
          <w:p w:rsidR="000471B0" w:rsidRDefault="00713F52" w:rsidP="00A6020A">
            <w:pPr>
              <w:spacing w:beforeLines="60" w:before="144" w:afterLines="60" w:after="144"/>
              <w:rPr>
                <w:rStyle w:val="InstructionsTabelleberschrift"/>
                <w:rFonts w:ascii="Times New Roman" w:hAnsi="Times New Roman"/>
              </w:rPr>
            </w:pPr>
            <w:r>
              <w:rPr>
                <w:rStyle w:val="InstructionsTabelleberschrift"/>
                <w:rFonts w:ascii="Times New Roman" w:hAnsi="Times New Roman"/>
              </w:rPr>
              <w:t>Somme des expositions</w:t>
            </w:r>
          </w:p>
          <w:p w:rsidR="000471B0" w:rsidRDefault="0046092C" w:rsidP="00A6020A">
            <w:pPr>
              <w:spacing w:beforeLines="60" w:before="144" w:afterLines="60" w:after="144"/>
              <w:rPr>
                <w:rStyle w:val="InstructionsTabelleText"/>
                <w:rFonts w:ascii="Times New Roman" w:hAnsi="Times New Roman"/>
              </w:rPr>
            </w:pPr>
            <w:r>
              <w:rPr>
                <w:rStyle w:val="InstructionsTabelleText"/>
                <w:rFonts w:ascii="Times New Roman" w:hAnsi="Times New Roman"/>
              </w:rPr>
              <w:t>Article 101, paragraphe 1, respectivement points c) et f), du CRR</w:t>
            </w:r>
          </w:p>
          <w:p w:rsidR="000471B0" w:rsidRDefault="00E66FEA" w:rsidP="00A6020A">
            <w:pPr>
              <w:spacing w:beforeLines="60" w:before="144" w:afterLines="60" w:after="144"/>
              <w:jc w:val="left"/>
              <w:rPr>
                <w:rStyle w:val="InstructionsTabelleberschrift"/>
                <w:rFonts w:ascii="Times New Roman" w:hAnsi="Times New Roman"/>
                <w:b w:val="0"/>
                <w:bCs w:val="0"/>
                <w:u w:val="none"/>
              </w:rPr>
            </w:pPr>
            <w:r>
              <w:rPr>
                <w:rStyle w:val="InstructionsTabelleberschrift"/>
                <w:rFonts w:ascii="Times New Roman" w:hAnsi="Times New Roman"/>
                <w:b w:val="0"/>
                <w:u w:val="none"/>
              </w:rPr>
              <w:t>La valeur à déclarer correspond uniquement à la part de la valeur exposée au risque qui est co</w:t>
            </w:r>
            <w:r>
              <w:rPr>
                <w:rStyle w:val="InstructionsTabelleberschrift"/>
                <w:rFonts w:ascii="Times New Roman" w:hAnsi="Times New Roman"/>
                <w:b w:val="0"/>
                <w:u w:val="none"/>
              </w:rPr>
              <w:t>n</w:t>
            </w:r>
            <w:r>
              <w:rPr>
                <w:rStyle w:val="InstructionsTabelleberschrift"/>
                <w:rFonts w:ascii="Times New Roman" w:hAnsi="Times New Roman"/>
                <w:b w:val="0"/>
                <w:u w:val="none"/>
              </w:rPr>
              <w:t>sidérée comme étant pleinement garantie par un bien immobilier. La part considérée comme non garantie n’est pas pertinente pour la déclaration des pertes.</w:t>
            </w:r>
          </w:p>
          <w:p w:rsidR="00A122F8" w:rsidRDefault="00A122F8" w:rsidP="00A122F8">
            <w:pPr>
              <w:spacing w:beforeLines="60" w:before="144" w:afterLines="60" w:after="144"/>
              <w:jc w:val="left"/>
              <w:rPr>
                <w:rStyle w:val="InstructionsTabelleberschrift"/>
                <w:rFonts w:ascii="Times New Roman" w:hAnsi="Times New Roman"/>
                <w:b w:val="0"/>
                <w:bCs w:val="0"/>
                <w:u w:val="none"/>
              </w:rPr>
            </w:pPr>
            <w:r>
              <w:rPr>
                <w:rStyle w:val="InstructionsTabelleberschrift"/>
                <w:rFonts w:ascii="Times New Roman" w:hAnsi="Times New Roman"/>
                <w:b w:val="0"/>
                <w:u w:val="none"/>
              </w:rPr>
              <w:t>En cas de défaut de paiement, la valeur exposée au risque déclarée équivaut à la valeur exposée au risque juste avant le défaut.</w:t>
            </w:r>
          </w:p>
        </w:tc>
      </w:tr>
    </w:tbl>
    <w:p w:rsidR="00713F52" w:rsidRPr="005B6F8B" w:rsidRDefault="00713F52" w:rsidP="00713F52">
      <w:pPr>
        <w:autoSpaceDE w:val="0"/>
        <w:autoSpaceDN w:val="0"/>
        <w:adjustRightInd w:val="0"/>
        <w:rPr>
          <w:rFonts w:ascii="Times New Roman" w:hAnsi="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2"/>
        <w:gridCol w:w="8004"/>
      </w:tblGrid>
      <w:tr w:rsidR="00713F52" w:rsidRPr="005B6F8B" w:rsidTr="00165232">
        <w:tc>
          <w:tcPr>
            <w:tcW w:w="8856" w:type="dxa"/>
            <w:gridSpan w:val="2"/>
            <w:shd w:val="clear" w:color="auto" w:fill="CCCCCC"/>
          </w:tcPr>
          <w:p w:rsidR="00713F52" w:rsidRPr="005B6F8B" w:rsidRDefault="00713F52" w:rsidP="00A6020A">
            <w:pPr>
              <w:spacing w:beforeLines="60" w:before="144" w:afterLines="60" w:after="144"/>
              <w:rPr>
                <w:rFonts w:ascii="Times New Roman" w:hAnsi="Times New Roman"/>
                <w:b/>
              </w:rPr>
            </w:pPr>
            <w:r>
              <w:rPr>
                <w:rFonts w:ascii="Times New Roman" w:hAnsi="Times New Roman"/>
                <w:b/>
              </w:rPr>
              <w:t>Lignes</w:t>
            </w:r>
          </w:p>
        </w:tc>
      </w:tr>
      <w:tr w:rsidR="00713F52" w:rsidRPr="005B6F8B" w:rsidTr="00165232">
        <w:tc>
          <w:tcPr>
            <w:tcW w:w="852" w:type="dxa"/>
          </w:tcPr>
          <w:p w:rsidR="00713F52" w:rsidRPr="005B6F8B" w:rsidRDefault="00713F52" w:rsidP="00A6020A">
            <w:pPr>
              <w:spacing w:beforeLines="60" w:before="144" w:afterLines="60" w:after="144"/>
              <w:rPr>
                <w:rFonts w:ascii="Times New Roman" w:hAnsi="Times New Roman"/>
              </w:rPr>
            </w:pPr>
            <w:r>
              <w:rPr>
                <w:rFonts w:ascii="Times New Roman" w:hAnsi="Times New Roman"/>
              </w:rPr>
              <w:t>010</w:t>
            </w:r>
          </w:p>
        </w:tc>
        <w:tc>
          <w:tcPr>
            <w:tcW w:w="8004" w:type="dxa"/>
          </w:tcPr>
          <w:p w:rsidR="000471B0" w:rsidRDefault="00F76469" w:rsidP="00F76469">
            <w:pPr>
              <w:spacing w:beforeLines="60" w:before="144" w:afterLines="60" w:after="144"/>
              <w:rPr>
                <w:rStyle w:val="InstructionsTabelleberschrift"/>
                <w:rFonts w:ascii="Times New Roman" w:hAnsi="Times New Roman"/>
              </w:rPr>
            </w:pPr>
            <w:r>
              <w:rPr>
                <w:rStyle w:val="InstructionsTabelleberschrift"/>
                <w:rFonts w:ascii="Times New Roman" w:hAnsi="Times New Roman"/>
              </w:rPr>
              <w:t xml:space="preserve">Bien immobilier résidentiel </w:t>
            </w:r>
          </w:p>
        </w:tc>
      </w:tr>
      <w:tr w:rsidR="00713F52" w:rsidRPr="005B6F8B" w:rsidTr="00165232">
        <w:tc>
          <w:tcPr>
            <w:tcW w:w="852" w:type="dxa"/>
          </w:tcPr>
          <w:p w:rsidR="00713F52" w:rsidRPr="005B6F8B" w:rsidRDefault="00713F52" w:rsidP="00A6020A">
            <w:pPr>
              <w:spacing w:beforeLines="60" w:before="144" w:afterLines="60" w:after="144"/>
              <w:rPr>
                <w:rFonts w:ascii="Times New Roman" w:hAnsi="Times New Roman"/>
              </w:rPr>
            </w:pPr>
            <w:r>
              <w:rPr>
                <w:rFonts w:ascii="Times New Roman" w:hAnsi="Times New Roman"/>
              </w:rPr>
              <w:t xml:space="preserve">020 </w:t>
            </w:r>
          </w:p>
        </w:tc>
        <w:tc>
          <w:tcPr>
            <w:tcW w:w="8004" w:type="dxa"/>
          </w:tcPr>
          <w:p w:rsidR="000471B0" w:rsidRDefault="00F76469" w:rsidP="00A6020A">
            <w:pPr>
              <w:spacing w:beforeLines="60" w:before="144" w:afterLines="60" w:after="144"/>
              <w:rPr>
                <w:rStyle w:val="InstructionsTabelleberschrift"/>
                <w:rFonts w:ascii="Times New Roman" w:hAnsi="Times New Roman"/>
              </w:rPr>
            </w:pPr>
            <w:r>
              <w:rPr>
                <w:rStyle w:val="InstructionsTabelleberschrift"/>
                <w:rFonts w:ascii="Times New Roman" w:hAnsi="Times New Roman"/>
              </w:rPr>
              <w:t xml:space="preserve">Bien immobilier commercial </w:t>
            </w:r>
          </w:p>
        </w:tc>
      </w:tr>
      <w:bookmarkEnd w:id="0"/>
      <w:bookmarkEnd w:id="1"/>
      <w:bookmarkEnd w:id="3"/>
    </w:tbl>
    <w:p w:rsidR="00D92396" w:rsidRPr="005B6F8B" w:rsidRDefault="00D92396" w:rsidP="00713F52">
      <w:pPr>
        <w:pStyle w:val="Instructionsberschrift2"/>
        <w:numPr>
          <w:ilvl w:val="0"/>
          <w:numId w:val="0"/>
        </w:numPr>
        <w:rPr>
          <w:rFonts w:ascii="Times New Roman" w:hAnsi="Times New Roman" w:cs="Times New Roman"/>
        </w:rPr>
      </w:pPr>
    </w:p>
    <w:sectPr w:rsidR="00D92396" w:rsidRPr="005B6F8B" w:rsidSect="00B51F42">
      <w:endnotePr>
        <w:numFmt w:val="decimal"/>
      </w:endnotePr>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B5E54" w:rsidRDefault="004B5E54" w:rsidP="00D946DB">
      <w:pPr>
        <w:spacing w:before="0" w:after="0"/>
      </w:pPr>
      <w:r>
        <w:separator/>
      </w:r>
    </w:p>
  </w:endnote>
  <w:endnote w:type="continuationSeparator" w:id="0">
    <w:p w:rsidR="004B5E54" w:rsidRDefault="004B5E54" w:rsidP="00D946DB">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2064" w:rsidRDefault="005D254B">
    <w:pPr>
      <w:pStyle w:val="Footer"/>
      <w:framePr w:wrap="auto" w:vAnchor="text" w:hAnchor="margin" w:xAlign="right" w:y="1"/>
      <w:rPr>
        <w:rStyle w:val="PageNumber"/>
      </w:rPr>
    </w:pPr>
    <w:r>
      <w:rPr>
        <w:rStyle w:val="PageNumber"/>
      </w:rPr>
      <w:fldChar w:fldCharType="begin"/>
    </w:r>
    <w:r w:rsidR="00422064">
      <w:rPr>
        <w:rStyle w:val="PageNumber"/>
      </w:rPr>
      <w:instrText xml:space="preserve">PAGE  </w:instrText>
    </w:r>
    <w:r>
      <w:rPr>
        <w:rStyle w:val="PageNumber"/>
      </w:rPr>
      <w:fldChar w:fldCharType="end"/>
    </w:r>
  </w:p>
  <w:p w:rsidR="00422064" w:rsidRDefault="00422064">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2064" w:rsidRDefault="005D254B">
    <w:pPr>
      <w:pStyle w:val="Footer"/>
      <w:tabs>
        <w:tab w:val="left" w:pos="8640"/>
      </w:tabs>
      <w:ind w:right="6"/>
      <w:jc w:val="right"/>
    </w:pPr>
    <w:r>
      <w:rPr>
        <w:rStyle w:val="PageNumber"/>
        <w:rFonts w:cs="Verdana"/>
        <w:szCs w:val="20"/>
      </w:rPr>
      <w:fldChar w:fldCharType="begin"/>
    </w:r>
    <w:r w:rsidR="00422064">
      <w:rPr>
        <w:rStyle w:val="PageNumber"/>
        <w:rFonts w:cs="Verdana"/>
        <w:szCs w:val="20"/>
      </w:rPr>
      <w:instrText xml:space="preserve">PAGE  </w:instrText>
    </w:r>
    <w:r>
      <w:rPr>
        <w:rStyle w:val="PageNumber"/>
        <w:rFonts w:cs="Verdana"/>
        <w:szCs w:val="20"/>
      </w:rPr>
      <w:fldChar w:fldCharType="separate"/>
    </w:r>
    <w:r w:rsidR="00594630">
      <w:rPr>
        <w:rStyle w:val="PageNumber"/>
        <w:rFonts w:cs="Verdana"/>
        <w:noProof/>
        <w:szCs w:val="20"/>
      </w:rPr>
      <w:t>4</w:t>
    </w:r>
    <w:r>
      <w:rPr>
        <w:rStyle w:val="PageNumber"/>
        <w:rFonts w:cs="Verdana"/>
        <w:szCs w:val="2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65674648"/>
      <w:docPartObj>
        <w:docPartGallery w:val="Page Numbers (Bottom of Page)"/>
        <w:docPartUnique/>
      </w:docPartObj>
    </w:sdtPr>
    <w:sdtEndPr>
      <w:rPr>
        <w:noProof/>
      </w:rPr>
    </w:sdtEndPr>
    <w:sdtContent>
      <w:p w:rsidR="00D452AA" w:rsidRDefault="00D452AA">
        <w:pPr>
          <w:pStyle w:val="Footer"/>
          <w:jc w:val="center"/>
        </w:pPr>
        <w:r>
          <w:fldChar w:fldCharType="begin"/>
        </w:r>
        <w:r>
          <w:instrText xml:space="preserve"> PAGE   \* MERGEFORMAT </w:instrText>
        </w:r>
        <w:r>
          <w:fldChar w:fldCharType="separate"/>
        </w:r>
        <w:r w:rsidR="00594630">
          <w:rPr>
            <w:noProof/>
          </w:rPr>
          <w:t>1</w:t>
        </w:r>
        <w:r>
          <w:rPr>
            <w:noProof/>
          </w:rPr>
          <w:fldChar w:fldCharType="end"/>
        </w:r>
      </w:p>
    </w:sdtContent>
  </w:sdt>
  <w:p w:rsidR="00A6020A" w:rsidRDefault="00A6020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B5E54" w:rsidRDefault="004B5E54" w:rsidP="00D946DB">
      <w:pPr>
        <w:spacing w:before="0" w:after="0"/>
      </w:pPr>
      <w:r>
        <w:separator/>
      </w:r>
    </w:p>
  </w:footnote>
  <w:footnote w:type="continuationSeparator" w:id="0">
    <w:p w:rsidR="004B5E54" w:rsidRDefault="004B5E54" w:rsidP="00D946DB">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020A" w:rsidRDefault="00A6020A" w:rsidP="00E577B1">
    <w:pPr>
      <w:pStyle w:val="Header"/>
      <w:jc w:val="center"/>
    </w:pPr>
    <w:r>
      <w:t>FR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CD3A99"/>
    <w:multiLevelType w:val="hybridMultilevel"/>
    <w:tmpl w:val="B9D49566"/>
    <w:lvl w:ilvl="0" w:tplc="D2024F70">
      <w:start w:val="1"/>
      <w:numFmt w:val="bullet"/>
      <w:pStyle w:val="Aufzhlungszeichen1"/>
      <w:lvlText w:val=""/>
      <w:lvlJc w:val="left"/>
      <w:pPr>
        <w:tabs>
          <w:tab w:val="num" w:pos="360"/>
        </w:tabs>
        <w:ind w:left="360" w:hanging="360"/>
      </w:pPr>
      <w:rPr>
        <w:rFonts w:ascii="Symbol" w:hAnsi="Symbol" w:hint="default"/>
        <w:color w:val="auto"/>
        <w:sz w:val="28"/>
        <w:szCs w:val="28"/>
      </w:rPr>
    </w:lvl>
    <w:lvl w:ilvl="1" w:tplc="FBC0B1D0" w:tentative="1">
      <w:start w:val="1"/>
      <w:numFmt w:val="bullet"/>
      <w:lvlText w:val="o"/>
      <w:lvlJc w:val="left"/>
      <w:pPr>
        <w:tabs>
          <w:tab w:val="num" w:pos="1440"/>
        </w:tabs>
        <w:ind w:left="1440" w:hanging="360"/>
      </w:pPr>
      <w:rPr>
        <w:rFonts w:ascii="Courier New" w:hAnsi="Courier New" w:cs="Courier New" w:hint="default"/>
      </w:rPr>
    </w:lvl>
    <w:lvl w:ilvl="2" w:tplc="0B0AEBA8" w:tentative="1">
      <w:start w:val="1"/>
      <w:numFmt w:val="bullet"/>
      <w:lvlText w:val=""/>
      <w:lvlJc w:val="left"/>
      <w:pPr>
        <w:tabs>
          <w:tab w:val="num" w:pos="2160"/>
        </w:tabs>
        <w:ind w:left="2160" w:hanging="360"/>
      </w:pPr>
      <w:rPr>
        <w:rFonts w:ascii="Wingdings" w:hAnsi="Wingdings" w:hint="default"/>
      </w:rPr>
    </w:lvl>
    <w:lvl w:ilvl="3" w:tplc="320AF0DE" w:tentative="1">
      <w:start w:val="1"/>
      <w:numFmt w:val="bullet"/>
      <w:lvlText w:val=""/>
      <w:lvlJc w:val="left"/>
      <w:pPr>
        <w:tabs>
          <w:tab w:val="num" w:pos="2880"/>
        </w:tabs>
        <w:ind w:left="2880" w:hanging="360"/>
      </w:pPr>
      <w:rPr>
        <w:rFonts w:ascii="Symbol" w:hAnsi="Symbol" w:hint="default"/>
      </w:rPr>
    </w:lvl>
    <w:lvl w:ilvl="4" w:tplc="FCE445B6" w:tentative="1">
      <w:start w:val="1"/>
      <w:numFmt w:val="bullet"/>
      <w:lvlText w:val="o"/>
      <w:lvlJc w:val="left"/>
      <w:pPr>
        <w:tabs>
          <w:tab w:val="num" w:pos="3600"/>
        </w:tabs>
        <w:ind w:left="3600" w:hanging="360"/>
      </w:pPr>
      <w:rPr>
        <w:rFonts w:ascii="Courier New" w:hAnsi="Courier New" w:cs="Courier New" w:hint="default"/>
      </w:rPr>
    </w:lvl>
    <w:lvl w:ilvl="5" w:tplc="BD46C1E4" w:tentative="1">
      <w:start w:val="1"/>
      <w:numFmt w:val="bullet"/>
      <w:lvlText w:val=""/>
      <w:lvlJc w:val="left"/>
      <w:pPr>
        <w:tabs>
          <w:tab w:val="num" w:pos="4320"/>
        </w:tabs>
        <w:ind w:left="4320" w:hanging="360"/>
      </w:pPr>
      <w:rPr>
        <w:rFonts w:ascii="Wingdings" w:hAnsi="Wingdings" w:hint="default"/>
      </w:rPr>
    </w:lvl>
    <w:lvl w:ilvl="6" w:tplc="DCB491D4" w:tentative="1">
      <w:start w:val="1"/>
      <w:numFmt w:val="bullet"/>
      <w:lvlText w:val=""/>
      <w:lvlJc w:val="left"/>
      <w:pPr>
        <w:tabs>
          <w:tab w:val="num" w:pos="5040"/>
        </w:tabs>
        <w:ind w:left="5040" w:hanging="360"/>
      </w:pPr>
      <w:rPr>
        <w:rFonts w:ascii="Symbol" w:hAnsi="Symbol" w:hint="default"/>
      </w:rPr>
    </w:lvl>
    <w:lvl w:ilvl="7" w:tplc="00762622" w:tentative="1">
      <w:start w:val="1"/>
      <w:numFmt w:val="bullet"/>
      <w:lvlText w:val="o"/>
      <w:lvlJc w:val="left"/>
      <w:pPr>
        <w:tabs>
          <w:tab w:val="num" w:pos="5760"/>
        </w:tabs>
        <w:ind w:left="5760" w:hanging="360"/>
      </w:pPr>
      <w:rPr>
        <w:rFonts w:ascii="Courier New" w:hAnsi="Courier New" w:cs="Courier New" w:hint="default"/>
      </w:rPr>
    </w:lvl>
    <w:lvl w:ilvl="8" w:tplc="49DCE7E8" w:tentative="1">
      <w:start w:val="1"/>
      <w:numFmt w:val="bullet"/>
      <w:lvlText w:val=""/>
      <w:lvlJc w:val="left"/>
      <w:pPr>
        <w:tabs>
          <w:tab w:val="num" w:pos="6480"/>
        </w:tabs>
        <w:ind w:left="6480" w:hanging="360"/>
      </w:pPr>
      <w:rPr>
        <w:rFonts w:ascii="Wingdings" w:hAnsi="Wingdings" w:hint="default"/>
      </w:rPr>
    </w:lvl>
  </w:abstractNum>
  <w:abstractNum w:abstractNumId="1">
    <w:nsid w:val="13710F59"/>
    <w:multiLevelType w:val="multilevel"/>
    <w:tmpl w:val="6348284C"/>
    <w:lvl w:ilvl="0">
      <w:start w:val="1"/>
      <w:numFmt w:val="decimal"/>
      <w:pStyle w:val="Baseparagraphnumbered"/>
      <w:lvlText w:val="%1."/>
      <w:lvlJc w:val="left"/>
      <w:pPr>
        <w:ind w:left="1637" w:hanging="360"/>
      </w:pPr>
      <w:rPr>
        <w:rFonts w:hint="default"/>
      </w:rPr>
    </w:lvl>
    <w:lvl w:ilvl="1">
      <w:start w:val="1"/>
      <w:numFmt w:val="lowerLetter"/>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3447" w:hanging="36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2">
    <w:nsid w:val="19B7337E"/>
    <w:multiLevelType w:val="hybridMultilevel"/>
    <w:tmpl w:val="65CCD6C0"/>
    <w:lvl w:ilvl="0" w:tplc="08090017">
      <w:start w:val="1"/>
      <w:numFmt w:val="lowerLetter"/>
      <w:lvlText w:val="%1)"/>
      <w:lvlJc w:val="left"/>
      <w:pPr>
        <w:tabs>
          <w:tab w:val="num" w:pos="720"/>
        </w:tabs>
        <w:ind w:left="720" w:hanging="360"/>
      </w:pPr>
      <w:rPr>
        <w:rFonts w:hint="default"/>
      </w:rPr>
    </w:lvl>
    <w:lvl w:ilvl="1" w:tplc="72D82CB2" w:tentative="1">
      <w:start w:val="1"/>
      <w:numFmt w:val="bullet"/>
      <w:lvlText w:val="o"/>
      <w:lvlJc w:val="left"/>
      <w:pPr>
        <w:tabs>
          <w:tab w:val="num" w:pos="1440"/>
        </w:tabs>
        <w:ind w:left="1440" w:hanging="360"/>
      </w:pPr>
      <w:rPr>
        <w:rFonts w:ascii="Courier New" w:hAnsi="Courier New" w:hint="default"/>
      </w:rPr>
    </w:lvl>
    <w:lvl w:ilvl="2" w:tplc="F3D860D8" w:tentative="1">
      <w:start w:val="1"/>
      <w:numFmt w:val="bullet"/>
      <w:lvlText w:val=""/>
      <w:lvlJc w:val="left"/>
      <w:pPr>
        <w:tabs>
          <w:tab w:val="num" w:pos="2160"/>
        </w:tabs>
        <w:ind w:left="2160" w:hanging="360"/>
      </w:pPr>
      <w:rPr>
        <w:rFonts w:ascii="Wingdings" w:hAnsi="Wingdings" w:hint="default"/>
      </w:rPr>
    </w:lvl>
    <w:lvl w:ilvl="3" w:tplc="B8088B2A" w:tentative="1">
      <w:start w:val="1"/>
      <w:numFmt w:val="bullet"/>
      <w:lvlText w:val=""/>
      <w:lvlJc w:val="left"/>
      <w:pPr>
        <w:tabs>
          <w:tab w:val="num" w:pos="2880"/>
        </w:tabs>
        <w:ind w:left="2880" w:hanging="360"/>
      </w:pPr>
      <w:rPr>
        <w:rFonts w:ascii="Symbol" w:hAnsi="Symbol" w:hint="default"/>
      </w:rPr>
    </w:lvl>
    <w:lvl w:ilvl="4" w:tplc="71845B34" w:tentative="1">
      <w:start w:val="1"/>
      <w:numFmt w:val="bullet"/>
      <w:lvlText w:val="o"/>
      <w:lvlJc w:val="left"/>
      <w:pPr>
        <w:tabs>
          <w:tab w:val="num" w:pos="3600"/>
        </w:tabs>
        <w:ind w:left="3600" w:hanging="360"/>
      </w:pPr>
      <w:rPr>
        <w:rFonts w:ascii="Courier New" w:hAnsi="Courier New" w:hint="default"/>
      </w:rPr>
    </w:lvl>
    <w:lvl w:ilvl="5" w:tplc="490A9836" w:tentative="1">
      <w:start w:val="1"/>
      <w:numFmt w:val="bullet"/>
      <w:lvlText w:val=""/>
      <w:lvlJc w:val="left"/>
      <w:pPr>
        <w:tabs>
          <w:tab w:val="num" w:pos="4320"/>
        </w:tabs>
        <w:ind w:left="4320" w:hanging="360"/>
      </w:pPr>
      <w:rPr>
        <w:rFonts w:ascii="Wingdings" w:hAnsi="Wingdings" w:hint="default"/>
      </w:rPr>
    </w:lvl>
    <w:lvl w:ilvl="6" w:tplc="E8D84DA6" w:tentative="1">
      <w:start w:val="1"/>
      <w:numFmt w:val="bullet"/>
      <w:lvlText w:val=""/>
      <w:lvlJc w:val="left"/>
      <w:pPr>
        <w:tabs>
          <w:tab w:val="num" w:pos="5040"/>
        </w:tabs>
        <w:ind w:left="5040" w:hanging="360"/>
      </w:pPr>
      <w:rPr>
        <w:rFonts w:ascii="Symbol" w:hAnsi="Symbol" w:hint="default"/>
      </w:rPr>
    </w:lvl>
    <w:lvl w:ilvl="7" w:tplc="2D5EB902" w:tentative="1">
      <w:start w:val="1"/>
      <w:numFmt w:val="bullet"/>
      <w:lvlText w:val="o"/>
      <w:lvlJc w:val="left"/>
      <w:pPr>
        <w:tabs>
          <w:tab w:val="num" w:pos="5760"/>
        </w:tabs>
        <w:ind w:left="5760" w:hanging="360"/>
      </w:pPr>
      <w:rPr>
        <w:rFonts w:ascii="Courier New" w:hAnsi="Courier New" w:hint="default"/>
      </w:rPr>
    </w:lvl>
    <w:lvl w:ilvl="8" w:tplc="29147270" w:tentative="1">
      <w:start w:val="1"/>
      <w:numFmt w:val="bullet"/>
      <w:lvlText w:val=""/>
      <w:lvlJc w:val="left"/>
      <w:pPr>
        <w:tabs>
          <w:tab w:val="num" w:pos="6480"/>
        </w:tabs>
        <w:ind w:left="6480" w:hanging="360"/>
      </w:pPr>
      <w:rPr>
        <w:rFonts w:ascii="Wingdings" w:hAnsi="Wingdings" w:hint="default"/>
      </w:rPr>
    </w:lvl>
  </w:abstractNum>
  <w:abstractNum w:abstractNumId="3">
    <w:nsid w:val="1CED6282"/>
    <w:multiLevelType w:val="multilevel"/>
    <w:tmpl w:val="5D8418C4"/>
    <w:lvl w:ilvl="0">
      <w:start w:val="1"/>
      <w:numFmt w:val="decimal"/>
      <w:pStyle w:val="GliederungmitNummerierung"/>
      <w:lvlText w:val="%1"/>
      <w:lvlJc w:val="left"/>
      <w:pPr>
        <w:tabs>
          <w:tab w:val="num" w:pos="357"/>
        </w:tabs>
        <w:ind w:left="357" w:hanging="35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361"/>
        </w:tabs>
        <w:ind w:left="1361" w:hanging="567"/>
      </w:pPr>
      <w:rPr>
        <w:rFonts w:hint="default"/>
      </w:rPr>
    </w:lvl>
    <w:lvl w:ilvl="3">
      <w:start w:val="1"/>
      <w:numFmt w:val="decimal"/>
      <w:lvlText w:val="%1.%2.%3.%4"/>
      <w:lvlJc w:val="left"/>
      <w:pPr>
        <w:tabs>
          <w:tab w:val="num" w:pos="2098"/>
        </w:tabs>
        <w:ind w:left="2098" w:hanging="737"/>
      </w:pPr>
      <w:rPr>
        <w:rFonts w:hint="default"/>
      </w:rPr>
    </w:lvl>
    <w:lvl w:ilvl="4">
      <w:start w:val="1"/>
      <w:numFmt w:val="decimal"/>
      <w:lvlText w:val="%1.%2.%3.%4.%5"/>
      <w:lvlJc w:val="left"/>
      <w:pPr>
        <w:tabs>
          <w:tab w:val="num" w:pos="3062"/>
        </w:tabs>
        <w:ind w:left="3062" w:hanging="964"/>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4">
    <w:nsid w:val="28824E32"/>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2AC050D9"/>
    <w:multiLevelType w:val="hybridMultilevel"/>
    <w:tmpl w:val="F7E0F274"/>
    <w:lvl w:ilvl="0" w:tplc="9BAEF704">
      <w:start w:val="1"/>
      <w:numFmt w:val="lowerLetter"/>
      <w:pStyle w:val="Nummerierungsart4"/>
      <w:lvlText w:val="%1)"/>
      <w:lvlJc w:val="left"/>
      <w:pPr>
        <w:tabs>
          <w:tab w:val="num" w:pos="357"/>
        </w:tabs>
        <w:ind w:left="357" w:hanging="357"/>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6">
    <w:nsid w:val="2F7D7F02"/>
    <w:multiLevelType w:val="multilevel"/>
    <w:tmpl w:val="0407001D"/>
    <w:numStyleLink w:val="Formatvorlage3"/>
  </w:abstractNum>
  <w:abstractNum w:abstractNumId="7">
    <w:nsid w:val="33057CB8"/>
    <w:multiLevelType w:val="hybridMultilevel"/>
    <w:tmpl w:val="EA70702C"/>
    <w:lvl w:ilvl="0" w:tplc="236EA62C">
      <w:start w:val="1"/>
      <w:numFmt w:val="decimal"/>
      <w:pStyle w:val="InstructionsText2"/>
      <w:lvlText w:val="%1."/>
      <w:lvlJc w:val="left"/>
      <w:pPr>
        <w:ind w:left="720" w:hanging="360"/>
      </w:pPr>
    </w:lvl>
    <w:lvl w:ilvl="1" w:tplc="04070003">
      <w:start w:val="1"/>
      <w:numFmt w:val="lowerLetter"/>
      <w:lvlText w:val="%2."/>
      <w:lvlJc w:val="left"/>
      <w:pPr>
        <w:ind w:left="1440" w:hanging="360"/>
      </w:pPr>
    </w:lvl>
    <w:lvl w:ilvl="2" w:tplc="04070005" w:tentative="1">
      <w:start w:val="1"/>
      <w:numFmt w:val="lowerRoman"/>
      <w:lvlText w:val="%3."/>
      <w:lvlJc w:val="right"/>
      <w:pPr>
        <w:ind w:left="2160" w:hanging="180"/>
      </w:pPr>
    </w:lvl>
    <w:lvl w:ilvl="3" w:tplc="04070001" w:tentative="1">
      <w:start w:val="1"/>
      <w:numFmt w:val="decimal"/>
      <w:lvlText w:val="%4."/>
      <w:lvlJc w:val="left"/>
      <w:pPr>
        <w:ind w:left="2880" w:hanging="360"/>
      </w:pPr>
    </w:lvl>
    <w:lvl w:ilvl="4" w:tplc="04070003" w:tentative="1">
      <w:start w:val="1"/>
      <w:numFmt w:val="lowerLetter"/>
      <w:lvlText w:val="%5."/>
      <w:lvlJc w:val="left"/>
      <w:pPr>
        <w:ind w:left="3600" w:hanging="360"/>
      </w:pPr>
    </w:lvl>
    <w:lvl w:ilvl="5" w:tplc="04070005" w:tentative="1">
      <w:start w:val="1"/>
      <w:numFmt w:val="lowerRoman"/>
      <w:lvlText w:val="%6."/>
      <w:lvlJc w:val="right"/>
      <w:pPr>
        <w:ind w:left="4320" w:hanging="180"/>
      </w:pPr>
    </w:lvl>
    <w:lvl w:ilvl="6" w:tplc="04070001" w:tentative="1">
      <w:start w:val="1"/>
      <w:numFmt w:val="decimal"/>
      <w:lvlText w:val="%7."/>
      <w:lvlJc w:val="left"/>
      <w:pPr>
        <w:ind w:left="5040" w:hanging="360"/>
      </w:pPr>
    </w:lvl>
    <w:lvl w:ilvl="7" w:tplc="04070003" w:tentative="1">
      <w:start w:val="1"/>
      <w:numFmt w:val="lowerLetter"/>
      <w:lvlText w:val="%8."/>
      <w:lvlJc w:val="left"/>
      <w:pPr>
        <w:ind w:left="5760" w:hanging="360"/>
      </w:pPr>
    </w:lvl>
    <w:lvl w:ilvl="8" w:tplc="04070005" w:tentative="1">
      <w:start w:val="1"/>
      <w:numFmt w:val="lowerRoman"/>
      <w:lvlText w:val="%9."/>
      <w:lvlJc w:val="right"/>
      <w:pPr>
        <w:ind w:left="6480" w:hanging="180"/>
      </w:pPr>
    </w:lvl>
  </w:abstractNum>
  <w:abstractNum w:abstractNumId="8">
    <w:nsid w:val="37226525"/>
    <w:multiLevelType w:val="hybridMultilevel"/>
    <w:tmpl w:val="9872E646"/>
    <w:lvl w:ilvl="0" w:tplc="0C0A0001">
      <w:start w:val="1"/>
      <w:numFmt w:val="decimal"/>
      <w:pStyle w:val="Nummerierungsart2"/>
      <w:lvlText w:val="%1)"/>
      <w:lvlJc w:val="left"/>
      <w:pPr>
        <w:tabs>
          <w:tab w:val="num" w:pos="360"/>
        </w:tabs>
        <w:ind w:left="360" w:hanging="360"/>
      </w:pPr>
      <w:rPr>
        <w:rFonts w:hint="default"/>
      </w:rPr>
    </w:lvl>
    <w:lvl w:ilvl="1" w:tplc="040A0003" w:tentative="1">
      <w:start w:val="1"/>
      <w:numFmt w:val="lowerLetter"/>
      <w:lvlText w:val="%2."/>
      <w:lvlJc w:val="left"/>
      <w:pPr>
        <w:tabs>
          <w:tab w:val="num" w:pos="1440"/>
        </w:tabs>
        <w:ind w:left="1440" w:hanging="360"/>
      </w:pPr>
    </w:lvl>
    <w:lvl w:ilvl="2" w:tplc="040A0005" w:tentative="1">
      <w:start w:val="1"/>
      <w:numFmt w:val="lowerRoman"/>
      <w:lvlText w:val="%3."/>
      <w:lvlJc w:val="right"/>
      <w:pPr>
        <w:tabs>
          <w:tab w:val="num" w:pos="2160"/>
        </w:tabs>
        <w:ind w:left="2160" w:hanging="180"/>
      </w:pPr>
    </w:lvl>
    <w:lvl w:ilvl="3" w:tplc="040A0001" w:tentative="1">
      <w:start w:val="1"/>
      <w:numFmt w:val="decimal"/>
      <w:lvlText w:val="%4."/>
      <w:lvlJc w:val="left"/>
      <w:pPr>
        <w:tabs>
          <w:tab w:val="num" w:pos="2880"/>
        </w:tabs>
        <w:ind w:left="2880" w:hanging="360"/>
      </w:pPr>
    </w:lvl>
    <w:lvl w:ilvl="4" w:tplc="040A0003" w:tentative="1">
      <w:start w:val="1"/>
      <w:numFmt w:val="lowerLetter"/>
      <w:lvlText w:val="%5."/>
      <w:lvlJc w:val="left"/>
      <w:pPr>
        <w:tabs>
          <w:tab w:val="num" w:pos="3600"/>
        </w:tabs>
        <w:ind w:left="3600" w:hanging="360"/>
      </w:pPr>
    </w:lvl>
    <w:lvl w:ilvl="5" w:tplc="040A0005" w:tentative="1">
      <w:start w:val="1"/>
      <w:numFmt w:val="lowerRoman"/>
      <w:lvlText w:val="%6."/>
      <w:lvlJc w:val="right"/>
      <w:pPr>
        <w:tabs>
          <w:tab w:val="num" w:pos="4320"/>
        </w:tabs>
        <w:ind w:left="4320" w:hanging="180"/>
      </w:pPr>
    </w:lvl>
    <w:lvl w:ilvl="6" w:tplc="040A0001" w:tentative="1">
      <w:start w:val="1"/>
      <w:numFmt w:val="decimal"/>
      <w:lvlText w:val="%7."/>
      <w:lvlJc w:val="left"/>
      <w:pPr>
        <w:tabs>
          <w:tab w:val="num" w:pos="5040"/>
        </w:tabs>
        <w:ind w:left="5040" w:hanging="360"/>
      </w:pPr>
    </w:lvl>
    <w:lvl w:ilvl="7" w:tplc="040A0003" w:tentative="1">
      <w:start w:val="1"/>
      <w:numFmt w:val="lowerLetter"/>
      <w:lvlText w:val="%8."/>
      <w:lvlJc w:val="left"/>
      <w:pPr>
        <w:tabs>
          <w:tab w:val="num" w:pos="5760"/>
        </w:tabs>
        <w:ind w:left="5760" w:hanging="360"/>
      </w:pPr>
    </w:lvl>
    <w:lvl w:ilvl="8" w:tplc="040A0005" w:tentative="1">
      <w:start w:val="1"/>
      <w:numFmt w:val="lowerRoman"/>
      <w:lvlText w:val="%9."/>
      <w:lvlJc w:val="right"/>
      <w:pPr>
        <w:tabs>
          <w:tab w:val="num" w:pos="6480"/>
        </w:tabs>
        <w:ind w:left="6480" w:hanging="180"/>
      </w:pPr>
    </w:lvl>
  </w:abstractNum>
  <w:abstractNum w:abstractNumId="9">
    <w:nsid w:val="39BB79FB"/>
    <w:multiLevelType w:val="multilevel"/>
    <w:tmpl w:val="AB961BA2"/>
    <w:lvl w:ilvl="0">
      <w:start w:val="1"/>
      <w:numFmt w:val="decimal"/>
      <w:lvlText w:val="%1."/>
      <w:lvlJc w:val="left"/>
      <w:pPr>
        <w:ind w:left="714" w:hanging="357"/>
      </w:pPr>
      <w:rPr>
        <w:rFonts w:hint="default"/>
      </w:rPr>
    </w:lvl>
    <w:lvl w:ilvl="1">
      <w:start w:val="1"/>
      <w:numFmt w:val="bullet"/>
      <w:lvlText w:val=""/>
      <w:lvlJc w:val="left"/>
      <w:pPr>
        <w:ind w:left="714" w:hanging="357"/>
      </w:pPr>
      <w:rPr>
        <w:rFonts w:ascii="Symbol" w:hAnsi="Symbol" w:hint="default"/>
      </w:rPr>
    </w:lvl>
    <w:lvl w:ilvl="2">
      <w:start w:val="1"/>
      <w:numFmt w:val="lowerLetter"/>
      <w:lvlText w:val="%3)"/>
      <w:lvlJc w:val="left"/>
      <w:pPr>
        <w:ind w:left="714" w:hanging="357"/>
      </w:pPr>
      <w:rPr>
        <w:rFonts w:hint="default"/>
      </w:rPr>
    </w:lvl>
    <w:lvl w:ilvl="3">
      <w:start w:val="1"/>
      <w:numFmt w:val="decimal"/>
      <w:lvlText w:val="%1.%2.%3.%4."/>
      <w:lvlJc w:val="left"/>
      <w:pPr>
        <w:ind w:left="714" w:hanging="357"/>
      </w:pPr>
      <w:rPr>
        <w:rFonts w:hint="default"/>
      </w:rPr>
    </w:lvl>
    <w:lvl w:ilvl="4">
      <w:start w:val="1"/>
      <w:numFmt w:val="decimal"/>
      <w:lvlText w:val="%1.%2.%3.%4.%5."/>
      <w:lvlJc w:val="left"/>
      <w:pPr>
        <w:ind w:left="714" w:hanging="357"/>
      </w:pPr>
      <w:rPr>
        <w:rFonts w:hint="default"/>
      </w:rPr>
    </w:lvl>
    <w:lvl w:ilvl="5">
      <w:start w:val="1"/>
      <w:numFmt w:val="decimal"/>
      <w:lvlText w:val="%1.%2.%3.%4.%5.%6."/>
      <w:lvlJc w:val="left"/>
      <w:pPr>
        <w:ind w:left="714" w:hanging="357"/>
      </w:pPr>
      <w:rPr>
        <w:rFonts w:hint="default"/>
      </w:rPr>
    </w:lvl>
    <w:lvl w:ilvl="6">
      <w:start w:val="1"/>
      <w:numFmt w:val="decimal"/>
      <w:lvlText w:val="%1.%2.%3.%4.%5.%6.%7."/>
      <w:lvlJc w:val="left"/>
      <w:pPr>
        <w:ind w:left="714" w:hanging="357"/>
      </w:pPr>
      <w:rPr>
        <w:rFonts w:hint="default"/>
      </w:rPr>
    </w:lvl>
    <w:lvl w:ilvl="7">
      <w:start w:val="1"/>
      <w:numFmt w:val="decimal"/>
      <w:lvlText w:val="%1.%2.%3.%4.%5.%6.%7.%8."/>
      <w:lvlJc w:val="left"/>
      <w:pPr>
        <w:ind w:left="714" w:hanging="357"/>
      </w:pPr>
      <w:rPr>
        <w:rFonts w:hint="default"/>
      </w:rPr>
    </w:lvl>
    <w:lvl w:ilvl="8">
      <w:start w:val="1"/>
      <w:numFmt w:val="decimal"/>
      <w:lvlText w:val="%1.%2.%3.%4.%5.%6.%7.%8.%9."/>
      <w:lvlJc w:val="left"/>
      <w:pPr>
        <w:ind w:left="714" w:hanging="357"/>
      </w:pPr>
      <w:rPr>
        <w:rFonts w:hint="default"/>
      </w:rPr>
    </w:lvl>
  </w:abstractNum>
  <w:abstractNum w:abstractNumId="10">
    <w:nsid w:val="3CD57312"/>
    <w:multiLevelType w:val="multilevel"/>
    <w:tmpl w:val="1864F90A"/>
    <w:styleLink w:val="Formatvorlage2"/>
    <w:lvl w:ilvl="0">
      <w:start w:val="1"/>
      <w:numFmt w:val="bullet"/>
      <w:lvlText w:val=""/>
      <w:lvlJc w:val="left"/>
      <w:pPr>
        <w:ind w:left="360" w:hanging="360"/>
      </w:pPr>
      <w:rPr>
        <w:rFonts w:ascii="Symbol" w:hAnsi="Symbol" w:hint="default"/>
        <w:sz w:val="22"/>
        <w:szCs w:val="28"/>
      </w:rPr>
    </w:lvl>
    <w:lvl w:ilvl="1">
      <w:start w:val="1"/>
      <w:numFmt w:val="bullet"/>
      <w:lvlText w:val=""/>
      <w:lvlJc w:val="left"/>
      <w:pPr>
        <w:tabs>
          <w:tab w:val="num" w:pos="720"/>
        </w:tabs>
        <w:ind w:left="720" w:hanging="360"/>
      </w:pPr>
      <w:rPr>
        <w:rFonts w:ascii="Symbol" w:hAnsi="Symbol" w:hint="default"/>
        <w:sz w:val="22"/>
        <w:szCs w:val="24"/>
      </w:rPr>
    </w:lvl>
    <w:lvl w:ilvl="2">
      <w:start w:val="1"/>
      <w:numFmt w:val="bullet"/>
      <w:lvlText w:val=""/>
      <w:lvlJc w:val="left"/>
      <w:pPr>
        <w:tabs>
          <w:tab w:val="num" w:pos="1072"/>
        </w:tabs>
        <w:ind w:left="1072" w:hanging="358"/>
      </w:pPr>
      <w:rPr>
        <w:rFonts w:ascii="Symbol" w:hAnsi="Symbol" w:hint="default"/>
        <w:sz w:val="22"/>
        <w:szCs w:val="22"/>
      </w:rPr>
    </w:lvl>
    <w:lvl w:ilvl="3">
      <w:start w:val="1"/>
      <w:numFmt w:val="bullet"/>
      <w:lvlText w:val=""/>
      <w:lvlJc w:val="left"/>
      <w:pPr>
        <w:tabs>
          <w:tab w:val="num" w:pos="1429"/>
        </w:tabs>
        <w:ind w:left="1429" w:hanging="357"/>
      </w:pPr>
      <w:rPr>
        <w:rFonts w:ascii="Symbol" w:hAnsi="Symbol" w:hint="default"/>
        <w:sz w:val="22"/>
      </w:rPr>
    </w:lvl>
    <w:lvl w:ilvl="4">
      <w:start w:val="1"/>
      <w:numFmt w:val="bullet"/>
      <w:lvlText w:val=""/>
      <w:lvlJc w:val="left"/>
      <w:pPr>
        <w:tabs>
          <w:tab w:val="num" w:pos="1786"/>
        </w:tabs>
        <w:ind w:left="1786" w:hanging="357"/>
      </w:pPr>
      <w:rPr>
        <w:rFonts w:ascii="Symbol" w:hAnsi="Symbol" w:hint="default"/>
        <w:sz w:val="22"/>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1">
    <w:nsid w:val="49772236"/>
    <w:multiLevelType w:val="hybridMultilevel"/>
    <w:tmpl w:val="E974A63C"/>
    <w:lvl w:ilvl="0" w:tplc="91F28F2A">
      <w:start w:val="1"/>
      <w:numFmt w:val="bullet"/>
      <w:pStyle w:val="Aufzhlungszeichen4"/>
      <w:lvlText w:val=""/>
      <w:lvlJc w:val="left"/>
      <w:pPr>
        <w:tabs>
          <w:tab w:val="num" w:pos="357"/>
        </w:tabs>
        <w:ind w:left="357" w:hanging="357"/>
      </w:pPr>
      <w:rPr>
        <w:rFonts w:ascii="Wingdings" w:hAnsi="Wingdings" w:hint="default"/>
        <w:sz w:val="28"/>
        <w:szCs w:val="28"/>
      </w:rPr>
    </w:lvl>
    <w:lvl w:ilvl="1" w:tplc="78D02204">
      <w:start w:val="1"/>
      <w:numFmt w:val="bullet"/>
      <w:lvlText w:val="o"/>
      <w:lvlJc w:val="left"/>
      <w:pPr>
        <w:tabs>
          <w:tab w:val="num" w:pos="1440"/>
        </w:tabs>
        <w:ind w:left="1440" w:hanging="360"/>
      </w:pPr>
      <w:rPr>
        <w:rFonts w:ascii="Courier New" w:hAnsi="Courier New" w:cs="Courier New" w:hint="default"/>
      </w:rPr>
    </w:lvl>
    <w:lvl w:ilvl="2" w:tplc="0407001B" w:tentative="1">
      <w:start w:val="1"/>
      <w:numFmt w:val="bullet"/>
      <w:lvlText w:val=""/>
      <w:lvlJc w:val="left"/>
      <w:pPr>
        <w:tabs>
          <w:tab w:val="num" w:pos="2160"/>
        </w:tabs>
        <w:ind w:left="2160" w:hanging="360"/>
      </w:pPr>
      <w:rPr>
        <w:rFonts w:ascii="Wingdings" w:hAnsi="Wingdings" w:hint="default"/>
      </w:rPr>
    </w:lvl>
    <w:lvl w:ilvl="3" w:tplc="0407000F" w:tentative="1">
      <w:start w:val="1"/>
      <w:numFmt w:val="bullet"/>
      <w:lvlText w:val=""/>
      <w:lvlJc w:val="left"/>
      <w:pPr>
        <w:tabs>
          <w:tab w:val="num" w:pos="2880"/>
        </w:tabs>
        <w:ind w:left="2880" w:hanging="360"/>
      </w:pPr>
      <w:rPr>
        <w:rFonts w:ascii="Symbol" w:hAnsi="Symbol" w:hint="default"/>
      </w:rPr>
    </w:lvl>
    <w:lvl w:ilvl="4" w:tplc="04070019" w:tentative="1">
      <w:start w:val="1"/>
      <w:numFmt w:val="bullet"/>
      <w:lvlText w:val="o"/>
      <w:lvlJc w:val="left"/>
      <w:pPr>
        <w:tabs>
          <w:tab w:val="num" w:pos="3600"/>
        </w:tabs>
        <w:ind w:left="3600" w:hanging="360"/>
      </w:pPr>
      <w:rPr>
        <w:rFonts w:ascii="Courier New" w:hAnsi="Courier New" w:cs="Courier New" w:hint="default"/>
      </w:rPr>
    </w:lvl>
    <w:lvl w:ilvl="5" w:tplc="0407001B" w:tentative="1">
      <w:start w:val="1"/>
      <w:numFmt w:val="bullet"/>
      <w:lvlText w:val=""/>
      <w:lvlJc w:val="left"/>
      <w:pPr>
        <w:tabs>
          <w:tab w:val="num" w:pos="4320"/>
        </w:tabs>
        <w:ind w:left="4320" w:hanging="360"/>
      </w:pPr>
      <w:rPr>
        <w:rFonts w:ascii="Wingdings" w:hAnsi="Wingdings" w:hint="default"/>
      </w:rPr>
    </w:lvl>
    <w:lvl w:ilvl="6" w:tplc="0407000F" w:tentative="1">
      <w:start w:val="1"/>
      <w:numFmt w:val="bullet"/>
      <w:lvlText w:val=""/>
      <w:lvlJc w:val="left"/>
      <w:pPr>
        <w:tabs>
          <w:tab w:val="num" w:pos="5040"/>
        </w:tabs>
        <w:ind w:left="5040" w:hanging="360"/>
      </w:pPr>
      <w:rPr>
        <w:rFonts w:ascii="Symbol" w:hAnsi="Symbol" w:hint="default"/>
      </w:rPr>
    </w:lvl>
    <w:lvl w:ilvl="7" w:tplc="04070019" w:tentative="1">
      <w:start w:val="1"/>
      <w:numFmt w:val="bullet"/>
      <w:lvlText w:val="o"/>
      <w:lvlJc w:val="left"/>
      <w:pPr>
        <w:tabs>
          <w:tab w:val="num" w:pos="5760"/>
        </w:tabs>
        <w:ind w:left="5760" w:hanging="360"/>
      </w:pPr>
      <w:rPr>
        <w:rFonts w:ascii="Courier New" w:hAnsi="Courier New" w:cs="Courier New" w:hint="default"/>
      </w:rPr>
    </w:lvl>
    <w:lvl w:ilvl="8" w:tplc="0407001B" w:tentative="1">
      <w:start w:val="1"/>
      <w:numFmt w:val="bullet"/>
      <w:lvlText w:val=""/>
      <w:lvlJc w:val="left"/>
      <w:pPr>
        <w:tabs>
          <w:tab w:val="num" w:pos="6480"/>
        </w:tabs>
        <w:ind w:left="6480" w:hanging="360"/>
      </w:pPr>
      <w:rPr>
        <w:rFonts w:ascii="Wingdings" w:hAnsi="Wingdings" w:hint="default"/>
      </w:rPr>
    </w:lvl>
  </w:abstractNum>
  <w:abstractNum w:abstractNumId="12">
    <w:nsid w:val="4EB95802"/>
    <w:multiLevelType w:val="multilevel"/>
    <w:tmpl w:val="0407001D"/>
    <w:styleLink w:val="Formatvorlage3"/>
    <w:lvl w:ilvl="0">
      <w:start w:val="1"/>
      <w:numFmt w:val="none"/>
      <w:pStyle w:val="Heading4"/>
      <w:lvlText w:val="%1"/>
      <w:lvlJc w:val="left"/>
      <w:pPr>
        <w:ind w:left="360" w:hanging="360"/>
      </w:pPr>
      <w:rPr>
        <w:rFonts w:ascii="Verdana" w:hAnsi="Verdana" w:hint="default"/>
        <w:b/>
        <w:color w:val="auto"/>
        <w:sz w:val="20"/>
        <w:u w:val="single"/>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4EF30DF1"/>
    <w:multiLevelType w:val="hybridMultilevel"/>
    <w:tmpl w:val="95BE37A4"/>
    <w:lvl w:ilvl="0" w:tplc="B2366634">
      <w:start w:val="1"/>
      <w:numFmt w:val="upperRoman"/>
      <w:pStyle w:val="Nummerierungsart3"/>
      <w:lvlText w:val="%1."/>
      <w:lvlJc w:val="left"/>
      <w:pPr>
        <w:tabs>
          <w:tab w:val="num" w:pos="357"/>
        </w:tabs>
        <w:ind w:left="357" w:hanging="357"/>
      </w:pPr>
      <w:rPr>
        <w:rFonts w:hint="default"/>
      </w:rPr>
    </w:lvl>
    <w:lvl w:ilvl="1" w:tplc="04070003" w:tentative="1">
      <w:start w:val="1"/>
      <w:numFmt w:val="lowerLetter"/>
      <w:lvlText w:val="%2."/>
      <w:lvlJc w:val="left"/>
      <w:pPr>
        <w:tabs>
          <w:tab w:val="num" w:pos="1440"/>
        </w:tabs>
        <w:ind w:left="1440" w:hanging="360"/>
      </w:pPr>
    </w:lvl>
    <w:lvl w:ilvl="2" w:tplc="04070005" w:tentative="1">
      <w:start w:val="1"/>
      <w:numFmt w:val="lowerRoman"/>
      <w:lvlText w:val="%3."/>
      <w:lvlJc w:val="right"/>
      <w:pPr>
        <w:tabs>
          <w:tab w:val="num" w:pos="2160"/>
        </w:tabs>
        <w:ind w:left="2160" w:hanging="180"/>
      </w:pPr>
    </w:lvl>
    <w:lvl w:ilvl="3" w:tplc="04070001" w:tentative="1">
      <w:start w:val="1"/>
      <w:numFmt w:val="decimal"/>
      <w:lvlText w:val="%4."/>
      <w:lvlJc w:val="left"/>
      <w:pPr>
        <w:tabs>
          <w:tab w:val="num" w:pos="2880"/>
        </w:tabs>
        <w:ind w:left="2880" w:hanging="360"/>
      </w:pPr>
    </w:lvl>
    <w:lvl w:ilvl="4" w:tplc="04070003" w:tentative="1">
      <w:start w:val="1"/>
      <w:numFmt w:val="lowerLetter"/>
      <w:lvlText w:val="%5."/>
      <w:lvlJc w:val="left"/>
      <w:pPr>
        <w:tabs>
          <w:tab w:val="num" w:pos="3600"/>
        </w:tabs>
        <w:ind w:left="3600" w:hanging="360"/>
      </w:pPr>
    </w:lvl>
    <w:lvl w:ilvl="5" w:tplc="04070005" w:tentative="1">
      <w:start w:val="1"/>
      <w:numFmt w:val="lowerRoman"/>
      <w:lvlText w:val="%6."/>
      <w:lvlJc w:val="right"/>
      <w:pPr>
        <w:tabs>
          <w:tab w:val="num" w:pos="4320"/>
        </w:tabs>
        <w:ind w:left="4320" w:hanging="180"/>
      </w:pPr>
    </w:lvl>
    <w:lvl w:ilvl="6" w:tplc="04070001" w:tentative="1">
      <w:start w:val="1"/>
      <w:numFmt w:val="decimal"/>
      <w:lvlText w:val="%7."/>
      <w:lvlJc w:val="left"/>
      <w:pPr>
        <w:tabs>
          <w:tab w:val="num" w:pos="5040"/>
        </w:tabs>
        <w:ind w:left="5040" w:hanging="360"/>
      </w:pPr>
    </w:lvl>
    <w:lvl w:ilvl="7" w:tplc="04070003" w:tentative="1">
      <w:start w:val="1"/>
      <w:numFmt w:val="lowerLetter"/>
      <w:lvlText w:val="%8."/>
      <w:lvlJc w:val="left"/>
      <w:pPr>
        <w:tabs>
          <w:tab w:val="num" w:pos="5760"/>
        </w:tabs>
        <w:ind w:left="5760" w:hanging="360"/>
      </w:pPr>
    </w:lvl>
    <w:lvl w:ilvl="8" w:tplc="04070005" w:tentative="1">
      <w:start w:val="1"/>
      <w:numFmt w:val="lowerRoman"/>
      <w:lvlText w:val="%9."/>
      <w:lvlJc w:val="right"/>
      <w:pPr>
        <w:tabs>
          <w:tab w:val="num" w:pos="6480"/>
        </w:tabs>
        <w:ind w:left="6480" w:hanging="180"/>
      </w:pPr>
    </w:lvl>
  </w:abstractNum>
  <w:abstractNum w:abstractNumId="14">
    <w:nsid w:val="5BA1738F"/>
    <w:multiLevelType w:val="hybridMultilevel"/>
    <w:tmpl w:val="2FE2799E"/>
    <w:lvl w:ilvl="0" w:tplc="04090003">
      <w:start w:val="1"/>
      <w:numFmt w:val="decimal"/>
      <w:pStyle w:val="Instructionsberschrift3"/>
      <w:lvlText w:val="%1.1.1"/>
      <w:lvlJc w:val="left"/>
      <w:pPr>
        <w:ind w:left="720" w:hanging="360"/>
      </w:pPr>
      <w:rPr>
        <w:rFonts w:hint="default"/>
      </w:rPr>
    </w:lvl>
    <w:lvl w:ilvl="1" w:tplc="04090005" w:tentative="1">
      <w:start w:val="1"/>
      <w:numFmt w:val="lowerLetter"/>
      <w:lvlText w:val="%2."/>
      <w:lvlJc w:val="left"/>
      <w:pPr>
        <w:ind w:left="1440" w:hanging="360"/>
      </w:pPr>
    </w:lvl>
    <w:lvl w:ilvl="2" w:tplc="04090005">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5">
    <w:nsid w:val="5C951B61"/>
    <w:multiLevelType w:val="hybridMultilevel"/>
    <w:tmpl w:val="121C0A42"/>
    <w:lvl w:ilvl="0" w:tplc="040A0017">
      <w:start w:val="1"/>
      <w:numFmt w:val="bullet"/>
      <w:pStyle w:val="Aufzhlungszeichen2"/>
      <w:lvlText w:val=""/>
      <w:lvlJc w:val="left"/>
      <w:pPr>
        <w:tabs>
          <w:tab w:val="num" w:pos="357"/>
        </w:tabs>
        <w:ind w:left="357" w:hanging="357"/>
      </w:pPr>
      <w:rPr>
        <w:rFonts w:ascii="Wingdings" w:hAnsi="Wingdings" w:hint="default"/>
        <w:sz w:val="32"/>
        <w:szCs w:val="32"/>
      </w:rPr>
    </w:lvl>
    <w:lvl w:ilvl="1" w:tplc="040A0019" w:tentative="1">
      <w:start w:val="1"/>
      <w:numFmt w:val="bullet"/>
      <w:lvlText w:val="o"/>
      <w:lvlJc w:val="left"/>
      <w:pPr>
        <w:tabs>
          <w:tab w:val="num" w:pos="1440"/>
        </w:tabs>
        <w:ind w:left="1440" w:hanging="360"/>
      </w:pPr>
      <w:rPr>
        <w:rFonts w:ascii="Courier New" w:hAnsi="Courier New" w:cs="Courier New" w:hint="default"/>
      </w:rPr>
    </w:lvl>
    <w:lvl w:ilvl="2" w:tplc="040A001B" w:tentative="1">
      <w:start w:val="1"/>
      <w:numFmt w:val="bullet"/>
      <w:lvlText w:val=""/>
      <w:lvlJc w:val="left"/>
      <w:pPr>
        <w:tabs>
          <w:tab w:val="num" w:pos="2160"/>
        </w:tabs>
        <w:ind w:left="2160" w:hanging="360"/>
      </w:pPr>
      <w:rPr>
        <w:rFonts w:ascii="Wingdings" w:hAnsi="Wingdings" w:hint="default"/>
      </w:rPr>
    </w:lvl>
    <w:lvl w:ilvl="3" w:tplc="040A000F" w:tentative="1">
      <w:start w:val="1"/>
      <w:numFmt w:val="bullet"/>
      <w:lvlText w:val=""/>
      <w:lvlJc w:val="left"/>
      <w:pPr>
        <w:tabs>
          <w:tab w:val="num" w:pos="2880"/>
        </w:tabs>
        <w:ind w:left="2880" w:hanging="360"/>
      </w:pPr>
      <w:rPr>
        <w:rFonts w:ascii="Symbol" w:hAnsi="Symbol" w:hint="default"/>
      </w:rPr>
    </w:lvl>
    <w:lvl w:ilvl="4" w:tplc="040A0019" w:tentative="1">
      <w:start w:val="1"/>
      <w:numFmt w:val="bullet"/>
      <w:lvlText w:val="o"/>
      <w:lvlJc w:val="left"/>
      <w:pPr>
        <w:tabs>
          <w:tab w:val="num" w:pos="3600"/>
        </w:tabs>
        <w:ind w:left="3600" w:hanging="360"/>
      </w:pPr>
      <w:rPr>
        <w:rFonts w:ascii="Courier New" w:hAnsi="Courier New" w:cs="Courier New" w:hint="default"/>
      </w:rPr>
    </w:lvl>
    <w:lvl w:ilvl="5" w:tplc="040A001B" w:tentative="1">
      <w:start w:val="1"/>
      <w:numFmt w:val="bullet"/>
      <w:lvlText w:val=""/>
      <w:lvlJc w:val="left"/>
      <w:pPr>
        <w:tabs>
          <w:tab w:val="num" w:pos="4320"/>
        </w:tabs>
        <w:ind w:left="4320" w:hanging="360"/>
      </w:pPr>
      <w:rPr>
        <w:rFonts w:ascii="Wingdings" w:hAnsi="Wingdings" w:hint="default"/>
      </w:rPr>
    </w:lvl>
    <w:lvl w:ilvl="6" w:tplc="040A000F" w:tentative="1">
      <w:start w:val="1"/>
      <w:numFmt w:val="bullet"/>
      <w:lvlText w:val=""/>
      <w:lvlJc w:val="left"/>
      <w:pPr>
        <w:tabs>
          <w:tab w:val="num" w:pos="5040"/>
        </w:tabs>
        <w:ind w:left="5040" w:hanging="360"/>
      </w:pPr>
      <w:rPr>
        <w:rFonts w:ascii="Symbol" w:hAnsi="Symbol" w:hint="default"/>
      </w:rPr>
    </w:lvl>
    <w:lvl w:ilvl="7" w:tplc="040A0019" w:tentative="1">
      <w:start w:val="1"/>
      <w:numFmt w:val="bullet"/>
      <w:lvlText w:val="o"/>
      <w:lvlJc w:val="left"/>
      <w:pPr>
        <w:tabs>
          <w:tab w:val="num" w:pos="5760"/>
        </w:tabs>
        <w:ind w:left="5760" w:hanging="360"/>
      </w:pPr>
      <w:rPr>
        <w:rFonts w:ascii="Courier New" w:hAnsi="Courier New" w:cs="Courier New" w:hint="default"/>
      </w:rPr>
    </w:lvl>
    <w:lvl w:ilvl="8" w:tplc="040A001B" w:tentative="1">
      <w:start w:val="1"/>
      <w:numFmt w:val="bullet"/>
      <w:lvlText w:val=""/>
      <w:lvlJc w:val="left"/>
      <w:pPr>
        <w:tabs>
          <w:tab w:val="num" w:pos="6480"/>
        </w:tabs>
        <w:ind w:left="6480" w:hanging="360"/>
      </w:pPr>
      <w:rPr>
        <w:rFonts w:ascii="Wingdings" w:hAnsi="Wingdings" w:hint="default"/>
      </w:rPr>
    </w:lvl>
  </w:abstractNum>
  <w:abstractNum w:abstractNumId="16">
    <w:nsid w:val="647057A3"/>
    <w:multiLevelType w:val="hybridMultilevel"/>
    <w:tmpl w:val="13420D26"/>
    <w:lvl w:ilvl="0" w:tplc="91F28F2A">
      <w:start w:val="1"/>
      <w:numFmt w:val="decimal"/>
      <w:pStyle w:val="Nummerierungsart1"/>
      <w:lvlText w:val="%1."/>
      <w:lvlJc w:val="left"/>
      <w:pPr>
        <w:tabs>
          <w:tab w:val="num" w:pos="357"/>
        </w:tabs>
        <w:ind w:left="357" w:hanging="357"/>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7">
    <w:nsid w:val="66CA2C8C"/>
    <w:multiLevelType w:val="hybridMultilevel"/>
    <w:tmpl w:val="5BF2CFE0"/>
    <w:lvl w:ilvl="0" w:tplc="4BB6D85C">
      <w:start w:val="1"/>
      <w:numFmt w:val="decimal"/>
      <w:pStyle w:val="Instructionsberschrift2"/>
      <w:lvlText w:val="%1.1"/>
      <w:lvlJc w:val="left"/>
      <w:pPr>
        <w:ind w:left="720" w:hanging="360"/>
      </w:pPr>
      <w:rPr>
        <w:rFonts w:hint="default"/>
      </w:rPr>
    </w:lvl>
    <w:lvl w:ilvl="1" w:tplc="E7565B6A">
      <w:start w:val="1"/>
      <w:numFmt w:val="lowerLetter"/>
      <w:lvlText w:val="%2."/>
      <w:lvlJc w:val="left"/>
      <w:pPr>
        <w:ind w:left="1440" w:hanging="360"/>
      </w:pPr>
    </w:lvl>
    <w:lvl w:ilvl="2" w:tplc="67A6A44A" w:tentative="1">
      <w:start w:val="1"/>
      <w:numFmt w:val="lowerRoman"/>
      <w:lvlText w:val="%3."/>
      <w:lvlJc w:val="right"/>
      <w:pPr>
        <w:ind w:left="2160" w:hanging="180"/>
      </w:pPr>
    </w:lvl>
    <w:lvl w:ilvl="3" w:tplc="21C6EF3C" w:tentative="1">
      <w:start w:val="1"/>
      <w:numFmt w:val="decimal"/>
      <w:lvlText w:val="%4."/>
      <w:lvlJc w:val="left"/>
      <w:pPr>
        <w:ind w:left="2880" w:hanging="360"/>
      </w:pPr>
    </w:lvl>
    <w:lvl w:ilvl="4" w:tplc="6C185750" w:tentative="1">
      <w:start w:val="1"/>
      <w:numFmt w:val="lowerLetter"/>
      <w:lvlText w:val="%5."/>
      <w:lvlJc w:val="left"/>
      <w:pPr>
        <w:ind w:left="3600" w:hanging="360"/>
      </w:pPr>
    </w:lvl>
    <w:lvl w:ilvl="5" w:tplc="FA46F0F4" w:tentative="1">
      <w:start w:val="1"/>
      <w:numFmt w:val="lowerRoman"/>
      <w:lvlText w:val="%6."/>
      <w:lvlJc w:val="right"/>
      <w:pPr>
        <w:ind w:left="4320" w:hanging="180"/>
      </w:pPr>
    </w:lvl>
    <w:lvl w:ilvl="6" w:tplc="84CCF45A" w:tentative="1">
      <w:start w:val="1"/>
      <w:numFmt w:val="decimal"/>
      <w:lvlText w:val="%7."/>
      <w:lvlJc w:val="left"/>
      <w:pPr>
        <w:ind w:left="5040" w:hanging="360"/>
      </w:pPr>
    </w:lvl>
    <w:lvl w:ilvl="7" w:tplc="E2FA2386" w:tentative="1">
      <w:start w:val="1"/>
      <w:numFmt w:val="lowerLetter"/>
      <w:lvlText w:val="%8."/>
      <w:lvlJc w:val="left"/>
      <w:pPr>
        <w:ind w:left="5760" w:hanging="360"/>
      </w:pPr>
    </w:lvl>
    <w:lvl w:ilvl="8" w:tplc="1E3AE066" w:tentative="1">
      <w:start w:val="1"/>
      <w:numFmt w:val="lowerRoman"/>
      <w:lvlText w:val="%9."/>
      <w:lvlJc w:val="right"/>
      <w:pPr>
        <w:ind w:left="6480" w:hanging="180"/>
      </w:pPr>
    </w:lvl>
  </w:abstractNum>
  <w:abstractNum w:abstractNumId="18">
    <w:nsid w:val="692F0EC0"/>
    <w:multiLevelType w:val="multilevel"/>
    <w:tmpl w:val="51EEA844"/>
    <w:styleLink w:val="Formatvorlage1"/>
    <w:lvl w:ilvl="0">
      <w:start w:val="1"/>
      <w:numFmt w:val="bullet"/>
      <w:lvlText w:val=""/>
      <w:lvlJc w:val="left"/>
      <w:pPr>
        <w:tabs>
          <w:tab w:val="num" w:pos="360"/>
        </w:tabs>
        <w:ind w:left="360" w:hanging="360"/>
      </w:pPr>
      <w:rPr>
        <w:rFonts w:ascii="Symbol" w:hAnsi="Symbol" w:hint="default"/>
        <w:sz w:val="28"/>
        <w:szCs w:val="28"/>
      </w:rPr>
    </w:lvl>
    <w:lvl w:ilvl="1">
      <w:start w:val="1"/>
      <w:numFmt w:val="bullet"/>
      <w:lvlText w:val=""/>
      <w:lvlJc w:val="left"/>
      <w:pPr>
        <w:tabs>
          <w:tab w:val="num" w:pos="720"/>
        </w:tabs>
        <w:ind w:left="720" w:hanging="360"/>
      </w:pPr>
      <w:rPr>
        <w:rFonts w:ascii="Symbol" w:hAnsi="Symbol" w:hint="default"/>
        <w:sz w:val="28"/>
        <w:szCs w:val="24"/>
      </w:rPr>
    </w:lvl>
    <w:lvl w:ilvl="2">
      <w:start w:val="1"/>
      <w:numFmt w:val="bullet"/>
      <w:lvlText w:val=""/>
      <w:lvlJc w:val="left"/>
      <w:pPr>
        <w:tabs>
          <w:tab w:val="num" w:pos="1072"/>
        </w:tabs>
        <w:ind w:left="1072" w:hanging="358"/>
      </w:pPr>
      <w:rPr>
        <w:rFonts w:ascii="Symbol" w:hAnsi="Symbol" w:hint="default"/>
        <w:sz w:val="28"/>
        <w:szCs w:val="22"/>
      </w:rPr>
    </w:lvl>
    <w:lvl w:ilvl="3">
      <w:start w:val="1"/>
      <w:numFmt w:val="bullet"/>
      <w:lvlText w:val=""/>
      <w:lvlJc w:val="left"/>
      <w:pPr>
        <w:tabs>
          <w:tab w:val="num" w:pos="1429"/>
        </w:tabs>
        <w:ind w:left="1429" w:hanging="357"/>
      </w:pPr>
      <w:rPr>
        <w:rFonts w:ascii="Symbol" w:hAnsi="Symbol" w:hint="default"/>
        <w:sz w:val="28"/>
      </w:rPr>
    </w:lvl>
    <w:lvl w:ilvl="4">
      <w:start w:val="1"/>
      <w:numFmt w:val="bullet"/>
      <w:lvlText w:val=""/>
      <w:lvlJc w:val="left"/>
      <w:pPr>
        <w:tabs>
          <w:tab w:val="num" w:pos="1786"/>
        </w:tabs>
        <w:ind w:left="1786" w:hanging="357"/>
      </w:pPr>
      <w:rPr>
        <w:rFonts w:ascii="Symbol" w:hAnsi="Symbol" w:hint="default"/>
        <w:sz w:val="28"/>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9">
    <w:nsid w:val="69FA5EA3"/>
    <w:multiLevelType w:val="multilevel"/>
    <w:tmpl w:val="D29C4EFC"/>
    <w:styleLink w:val="Formatvorlage4"/>
    <w:lvl w:ilvl="0">
      <w:start w:val="1"/>
      <w:numFmt w:val="decimal"/>
      <w:lvlText w:val="%1."/>
      <w:lvlJc w:val="left"/>
      <w:pPr>
        <w:ind w:left="357" w:hanging="357"/>
      </w:pPr>
      <w:rPr>
        <w:rFonts w:hint="default"/>
        <w:u w:val="single"/>
      </w:rPr>
    </w:lvl>
    <w:lvl w:ilvl="1">
      <w:start w:val="1"/>
      <w:numFmt w:val="decimal"/>
      <w:lvlText w:val="%1.%2."/>
      <w:lvlJc w:val="left"/>
      <w:pPr>
        <w:ind w:left="357" w:hanging="357"/>
      </w:pPr>
      <w:rPr>
        <w:rFonts w:hint="default"/>
      </w:rPr>
    </w:lvl>
    <w:lvl w:ilvl="2">
      <w:start w:val="1"/>
      <w:numFmt w:val="decimal"/>
      <w:lvlText w:val="%1.%2.%3."/>
      <w:lvlJc w:val="left"/>
      <w:pPr>
        <w:ind w:left="357" w:hanging="357"/>
      </w:pPr>
      <w:rPr>
        <w:rFonts w:hint="default"/>
      </w:rPr>
    </w:lvl>
    <w:lvl w:ilvl="3">
      <w:start w:val="1"/>
      <w:numFmt w:val="decimal"/>
      <w:lvlText w:val="%1.%2.%3.%4."/>
      <w:lvlJc w:val="left"/>
      <w:pPr>
        <w:ind w:left="357" w:hanging="357"/>
      </w:pPr>
      <w:rPr>
        <w:rFonts w:hint="default"/>
      </w:rPr>
    </w:lvl>
    <w:lvl w:ilvl="4">
      <w:start w:val="1"/>
      <w:numFmt w:val="decimal"/>
      <w:lvlText w:val="%1.%2.%3.%4.%5."/>
      <w:lvlJc w:val="left"/>
      <w:pPr>
        <w:ind w:left="357" w:hanging="357"/>
      </w:pPr>
      <w:rPr>
        <w:rFonts w:hint="default"/>
      </w:rPr>
    </w:lvl>
    <w:lvl w:ilvl="5">
      <w:start w:val="1"/>
      <w:numFmt w:val="decimal"/>
      <w:lvlText w:val="%1.%2.%3.%4.%5.%6."/>
      <w:lvlJc w:val="left"/>
      <w:pPr>
        <w:ind w:left="357" w:hanging="357"/>
      </w:pPr>
      <w:rPr>
        <w:rFonts w:hint="default"/>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abstractNum w:abstractNumId="20">
    <w:nsid w:val="6C1A6AB9"/>
    <w:multiLevelType w:val="multilevel"/>
    <w:tmpl w:val="B4A6BEF8"/>
    <w:lvl w:ilvl="0">
      <w:start w:val="1"/>
      <w:numFmt w:val="decimal"/>
      <w:lvlText w:val="%1."/>
      <w:lvlJc w:val="left"/>
      <w:pPr>
        <w:ind w:left="714" w:hanging="357"/>
      </w:pPr>
      <w:rPr>
        <w:rFonts w:hint="default"/>
      </w:rPr>
    </w:lvl>
    <w:lvl w:ilvl="1">
      <w:start w:val="1"/>
      <w:numFmt w:val="bullet"/>
      <w:lvlText w:val=""/>
      <w:lvlJc w:val="left"/>
      <w:pPr>
        <w:ind w:left="714" w:hanging="357"/>
      </w:pPr>
      <w:rPr>
        <w:rFonts w:ascii="Symbol" w:hAnsi="Symbol" w:hint="default"/>
      </w:rPr>
    </w:lvl>
    <w:lvl w:ilvl="2">
      <w:start w:val="1"/>
      <w:numFmt w:val="decimal"/>
      <w:lvlText w:val="%1.%2.%3."/>
      <w:lvlJc w:val="left"/>
      <w:pPr>
        <w:ind w:left="714" w:hanging="357"/>
      </w:pPr>
      <w:rPr>
        <w:rFonts w:hint="default"/>
      </w:rPr>
    </w:lvl>
    <w:lvl w:ilvl="3">
      <w:start w:val="1"/>
      <w:numFmt w:val="decimal"/>
      <w:lvlText w:val="%1.%2.%3.%4."/>
      <w:lvlJc w:val="left"/>
      <w:pPr>
        <w:ind w:left="714" w:hanging="357"/>
      </w:pPr>
      <w:rPr>
        <w:rFonts w:hint="default"/>
      </w:rPr>
    </w:lvl>
    <w:lvl w:ilvl="4">
      <w:start w:val="1"/>
      <w:numFmt w:val="decimal"/>
      <w:lvlText w:val="%1.%2.%3.%4.%5."/>
      <w:lvlJc w:val="left"/>
      <w:pPr>
        <w:ind w:left="714" w:hanging="357"/>
      </w:pPr>
      <w:rPr>
        <w:rFonts w:hint="default"/>
      </w:rPr>
    </w:lvl>
    <w:lvl w:ilvl="5">
      <w:start w:val="1"/>
      <w:numFmt w:val="decimal"/>
      <w:lvlText w:val="%1.%2.%3.%4.%5.%6."/>
      <w:lvlJc w:val="left"/>
      <w:pPr>
        <w:ind w:left="714" w:hanging="357"/>
      </w:pPr>
      <w:rPr>
        <w:rFonts w:hint="default"/>
      </w:rPr>
    </w:lvl>
    <w:lvl w:ilvl="6">
      <w:start w:val="1"/>
      <w:numFmt w:val="decimal"/>
      <w:lvlText w:val="%1.%2.%3.%4.%5.%6.%7."/>
      <w:lvlJc w:val="left"/>
      <w:pPr>
        <w:ind w:left="714" w:hanging="357"/>
      </w:pPr>
      <w:rPr>
        <w:rFonts w:hint="default"/>
      </w:rPr>
    </w:lvl>
    <w:lvl w:ilvl="7">
      <w:start w:val="1"/>
      <w:numFmt w:val="decimal"/>
      <w:lvlText w:val="%1.%2.%3.%4.%5.%6.%7.%8."/>
      <w:lvlJc w:val="left"/>
      <w:pPr>
        <w:ind w:left="714" w:hanging="357"/>
      </w:pPr>
      <w:rPr>
        <w:rFonts w:hint="default"/>
      </w:rPr>
    </w:lvl>
    <w:lvl w:ilvl="8">
      <w:start w:val="1"/>
      <w:numFmt w:val="decimal"/>
      <w:lvlText w:val="%1.%2.%3.%4.%5.%6.%7.%8.%9."/>
      <w:lvlJc w:val="left"/>
      <w:pPr>
        <w:ind w:left="714" w:hanging="357"/>
      </w:pPr>
      <w:rPr>
        <w:rFonts w:hint="default"/>
      </w:rPr>
    </w:lvl>
  </w:abstractNum>
  <w:abstractNum w:abstractNumId="21">
    <w:nsid w:val="72242E3E"/>
    <w:multiLevelType w:val="multilevel"/>
    <w:tmpl w:val="51EEA844"/>
    <w:lvl w:ilvl="0">
      <w:start w:val="1"/>
      <w:numFmt w:val="bullet"/>
      <w:pStyle w:val="GliederungmitAufzhlung"/>
      <w:lvlText w:val=""/>
      <w:lvlJc w:val="left"/>
      <w:pPr>
        <w:tabs>
          <w:tab w:val="num" w:pos="360"/>
        </w:tabs>
        <w:ind w:left="360" w:hanging="360"/>
      </w:pPr>
      <w:rPr>
        <w:rFonts w:ascii="Symbol" w:hAnsi="Symbol" w:hint="default"/>
        <w:sz w:val="28"/>
        <w:szCs w:val="28"/>
      </w:rPr>
    </w:lvl>
    <w:lvl w:ilvl="1">
      <w:start w:val="1"/>
      <w:numFmt w:val="bullet"/>
      <w:lvlText w:val=""/>
      <w:lvlJc w:val="left"/>
      <w:pPr>
        <w:tabs>
          <w:tab w:val="num" w:pos="720"/>
        </w:tabs>
        <w:ind w:left="720" w:hanging="360"/>
      </w:pPr>
      <w:rPr>
        <w:rFonts w:ascii="Symbol" w:hAnsi="Symbol" w:hint="default"/>
        <w:sz w:val="24"/>
        <w:szCs w:val="24"/>
      </w:rPr>
    </w:lvl>
    <w:lvl w:ilvl="2">
      <w:start w:val="1"/>
      <w:numFmt w:val="bullet"/>
      <w:lvlText w:val=""/>
      <w:lvlJc w:val="left"/>
      <w:pPr>
        <w:tabs>
          <w:tab w:val="num" w:pos="1072"/>
        </w:tabs>
        <w:ind w:left="1072" w:hanging="358"/>
      </w:pPr>
      <w:rPr>
        <w:rFonts w:ascii="Symbol" w:hAnsi="Symbol" w:hint="default"/>
        <w:sz w:val="22"/>
        <w:szCs w:val="22"/>
      </w:rPr>
    </w:lvl>
    <w:lvl w:ilvl="3">
      <w:start w:val="1"/>
      <w:numFmt w:val="bullet"/>
      <w:lvlText w:val=""/>
      <w:lvlJc w:val="left"/>
      <w:pPr>
        <w:tabs>
          <w:tab w:val="num" w:pos="1429"/>
        </w:tabs>
        <w:ind w:left="1429" w:hanging="357"/>
      </w:pPr>
      <w:rPr>
        <w:rFonts w:ascii="Symbol" w:hAnsi="Symbol" w:hint="default"/>
        <w:sz w:val="18"/>
      </w:rPr>
    </w:lvl>
    <w:lvl w:ilvl="4">
      <w:start w:val="1"/>
      <w:numFmt w:val="bullet"/>
      <w:lvlText w:val=""/>
      <w:lvlJc w:val="left"/>
      <w:pPr>
        <w:tabs>
          <w:tab w:val="num" w:pos="1786"/>
        </w:tabs>
        <w:ind w:left="1786" w:hanging="357"/>
      </w:pPr>
      <w:rPr>
        <w:rFonts w:ascii="Symbol" w:hAnsi="Symbol" w:hint="default"/>
        <w:sz w:val="16"/>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2">
    <w:nsid w:val="72377034"/>
    <w:multiLevelType w:val="hybridMultilevel"/>
    <w:tmpl w:val="D348E89A"/>
    <w:lvl w:ilvl="0" w:tplc="F42CC6B2">
      <w:start w:val="1"/>
      <w:numFmt w:val="bullet"/>
      <w:pStyle w:val="Aufzhlungszeichen3"/>
      <w:lvlText w:val=""/>
      <w:lvlJc w:val="left"/>
      <w:pPr>
        <w:tabs>
          <w:tab w:val="num" w:pos="357"/>
        </w:tabs>
        <w:ind w:left="357" w:hanging="357"/>
      </w:pPr>
      <w:rPr>
        <w:rFonts w:ascii="Wingdings" w:hAnsi="Wingdings" w:hint="default"/>
        <w:sz w:val="22"/>
        <w:szCs w:val="22"/>
      </w:rPr>
    </w:lvl>
    <w:lvl w:ilvl="1" w:tplc="3FFC2FA6" w:tentative="1">
      <w:start w:val="1"/>
      <w:numFmt w:val="bullet"/>
      <w:lvlText w:val="o"/>
      <w:lvlJc w:val="left"/>
      <w:pPr>
        <w:tabs>
          <w:tab w:val="num" w:pos="1440"/>
        </w:tabs>
        <w:ind w:left="1440" w:hanging="360"/>
      </w:pPr>
      <w:rPr>
        <w:rFonts w:ascii="Courier New" w:hAnsi="Courier New" w:cs="Courier New" w:hint="default"/>
      </w:rPr>
    </w:lvl>
    <w:lvl w:ilvl="2" w:tplc="4DF4E19A" w:tentative="1">
      <w:start w:val="1"/>
      <w:numFmt w:val="bullet"/>
      <w:lvlText w:val=""/>
      <w:lvlJc w:val="left"/>
      <w:pPr>
        <w:tabs>
          <w:tab w:val="num" w:pos="2160"/>
        </w:tabs>
        <w:ind w:left="2160" w:hanging="360"/>
      </w:pPr>
      <w:rPr>
        <w:rFonts w:ascii="Wingdings" w:hAnsi="Wingdings" w:hint="default"/>
      </w:rPr>
    </w:lvl>
    <w:lvl w:ilvl="3" w:tplc="72105B96" w:tentative="1">
      <w:start w:val="1"/>
      <w:numFmt w:val="bullet"/>
      <w:lvlText w:val=""/>
      <w:lvlJc w:val="left"/>
      <w:pPr>
        <w:tabs>
          <w:tab w:val="num" w:pos="2880"/>
        </w:tabs>
        <w:ind w:left="2880" w:hanging="360"/>
      </w:pPr>
      <w:rPr>
        <w:rFonts w:ascii="Symbol" w:hAnsi="Symbol" w:hint="default"/>
      </w:rPr>
    </w:lvl>
    <w:lvl w:ilvl="4" w:tplc="E61A1B3C" w:tentative="1">
      <w:start w:val="1"/>
      <w:numFmt w:val="bullet"/>
      <w:lvlText w:val="o"/>
      <w:lvlJc w:val="left"/>
      <w:pPr>
        <w:tabs>
          <w:tab w:val="num" w:pos="3600"/>
        </w:tabs>
        <w:ind w:left="3600" w:hanging="360"/>
      </w:pPr>
      <w:rPr>
        <w:rFonts w:ascii="Courier New" w:hAnsi="Courier New" w:cs="Courier New" w:hint="default"/>
      </w:rPr>
    </w:lvl>
    <w:lvl w:ilvl="5" w:tplc="160AC6CE" w:tentative="1">
      <w:start w:val="1"/>
      <w:numFmt w:val="bullet"/>
      <w:lvlText w:val=""/>
      <w:lvlJc w:val="left"/>
      <w:pPr>
        <w:tabs>
          <w:tab w:val="num" w:pos="4320"/>
        </w:tabs>
        <w:ind w:left="4320" w:hanging="360"/>
      </w:pPr>
      <w:rPr>
        <w:rFonts w:ascii="Wingdings" w:hAnsi="Wingdings" w:hint="default"/>
      </w:rPr>
    </w:lvl>
    <w:lvl w:ilvl="6" w:tplc="88D27BC4" w:tentative="1">
      <w:start w:val="1"/>
      <w:numFmt w:val="bullet"/>
      <w:lvlText w:val=""/>
      <w:lvlJc w:val="left"/>
      <w:pPr>
        <w:tabs>
          <w:tab w:val="num" w:pos="5040"/>
        </w:tabs>
        <w:ind w:left="5040" w:hanging="360"/>
      </w:pPr>
      <w:rPr>
        <w:rFonts w:ascii="Symbol" w:hAnsi="Symbol" w:hint="default"/>
      </w:rPr>
    </w:lvl>
    <w:lvl w:ilvl="7" w:tplc="8D3A7330" w:tentative="1">
      <w:start w:val="1"/>
      <w:numFmt w:val="bullet"/>
      <w:lvlText w:val="o"/>
      <w:lvlJc w:val="left"/>
      <w:pPr>
        <w:tabs>
          <w:tab w:val="num" w:pos="5760"/>
        </w:tabs>
        <w:ind w:left="5760" w:hanging="360"/>
      </w:pPr>
      <w:rPr>
        <w:rFonts w:ascii="Courier New" w:hAnsi="Courier New" w:cs="Courier New" w:hint="default"/>
      </w:rPr>
    </w:lvl>
    <w:lvl w:ilvl="8" w:tplc="7F7ADA40"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15"/>
  </w:num>
  <w:num w:numId="3">
    <w:abstractNumId w:val="22"/>
  </w:num>
  <w:num w:numId="4">
    <w:abstractNumId w:val="11"/>
  </w:num>
  <w:num w:numId="5">
    <w:abstractNumId w:val="18"/>
  </w:num>
  <w:num w:numId="6">
    <w:abstractNumId w:val="10"/>
  </w:num>
  <w:num w:numId="7">
    <w:abstractNumId w:val="21"/>
  </w:num>
  <w:num w:numId="8">
    <w:abstractNumId w:val="3"/>
  </w:num>
  <w:num w:numId="9">
    <w:abstractNumId w:val="16"/>
  </w:num>
  <w:num w:numId="10">
    <w:abstractNumId w:val="8"/>
  </w:num>
  <w:num w:numId="11">
    <w:abstractNumId w:val="13"/>
  </w:num>
  <w:num w:numId="12">
    <w:abstractNumId w:val="5"/>
  </w:num>
  <w:num w:numId="13">
    <w:abstractNumId w:val="17"/>
  </w:num>
  <w:num w:numId="14">
    <w:abstractNumId w:val="14"/>
  </w:num>
  <w:num w:numId="15">
    <w:abstractNumId w:val="20"/>
  </w:num>
  <w:num w:numId="16">
    <w:abstractNumId w:val="7"/>
  </w:num>
  <w:num w:numId="17">
    <w:abstractNumId w:val="12"/>
  </w:num>
  <w:num w:numId="18">
    <w:abstractNumId w:val="6"/>
  </w:num>
  <w:num w:numId="19">
    <w:abstractNumId w:val="19"/>
  </w:num>
  <w:num w:numId="20">
    <w:abstractNumId w:val="1"/>
  </w:num>
  <w:num w:numId="21">
    <w:abstractNumId w:val="4"/>
  </w:num>
  <w:num w:numId="22">
    <w:abstractNumId w:val="2"/>
  </w:num>
  <w:num w:numId="23">
    <w:abstractNumId w:val="9"/>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708"/>
  <w:autoHyphenation/>
  <w:hyphenationZone w:val="170"/>
  <w:characterSpacingControl w:val="doNotCompress"/>
  <w:footnotePr>
    <w:footnote w:id="-1"/>
    <w:footnote w:id="0"/>
  </w:footnotePr>
  <w:endnotePr>
    <w:numFmt w:val="decimal"/>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LW_DocType" w:val="NORMAL"/>
  </w:docVars>
  <w:rsids>
    <w:rsidRoot w:val="00884FEB"/>
    <w:rsid w:val="000020E5"/>
    <w:rsid w:val="00004FE8"/>
    <w:rsid w:val="00005765"/>
    <w:rsid w:val="00005FFC"/>
    <w:rsid w:val="000078BB"/>
    <w:rsid w:val="00007D0D"/>
    <w:rsid w:val="00011BD0"/>
    <w:rsid w:val="00013EF3"/>
    <w:rsid w:val="00014890"/>
    <w:rsid w:val="00020A6B"/>
    <w:rsid w:val="000232E2"/>
    <w:rsid w:val="000243CE"/>
    <w:rsid w:val="0002657F"/>
    <w:rsid w:val="000326C1"/>
    <w:rsid w:val="00037093"/>
    <w:rsid w:val="000471B0"/>
    <w:rsid w:val="0005400A"/>
    <w:rsid w:val="0005609F"/>
    <w:rsid w:val="00057362"/>
    <w:rsid w:val="00061E48"/>
    <w:rsid w:val="00063085"/>
    <w:rsid w:val="00072201"/>
    <w:rsid w:val="00076091"/>
    <w:rsid w:val="00076880"/>
    <w:rsid w:val="000828C6"/>
    <w:rsid w:val="000858A9"/>
    <w:rsid w:val="00097D02"/>
    <w:rsid w:val="000A1640"/>
    <w:rsid w:val="000B0613"/>
    <w:rsid w:val="000B0EBE"/>
    <w:rsid w:val="000C03AE"/>
    <w:rsid w:val="000C4999"/>
    <w:rsid w:val="000D220D"/>
    <w:rsid w:val="000E13C0"/>
    <w:rsid w:val="000E1572"/>
    <w:rsid w:val="000E20F0"/>
    <w:rsid w:val="000E29C9"/>
    <w:rsid w:val="000E7BA8"/>
    <w:rsid w:val="000F2F09"/>
    <w:rsid w:val="000F4183"/>
    <w:rsid w:val="000F4702"/>
    <w:rsid w:val="000F6A80"/>
    <w:rsid w:val="000F6B25"/>
    <w:rsid w:val="00102A42"/>
    <w:rsid w:val="0012049B"/>
    <w:rsid w:val="00124B85"/>
    <w:rsid w:val="001273B5"/>
    <w:rsid w:val="00133AC1"/>
    <w:rsid w:val="00136316"/>
    <w:rsid w:val="001402DB"/>
    <w:rsid w:val="001432EE"/>
    <w:rsid w:val="00153D11"/>
    <w:rsid w:val="001570C4"/>
    <w:rsid w:val="00163DBA"/>
    <w:rsid w:val="00165232"/>
    <w:rsid w:val="001721BD"/>
    <w:rsid w:val="00175957"/>
    <w:rsid w:val="00183B7A"/>
    <w:rsid w:val="00184E8A"/>
    <w:rsid w:val="001854F6"/>
    <w:rsid w:val="00185877"/>
    <w:rsid w:val="001919E9"/>
    <w:rsid w:val="001A44B3"/>
    <w:rsid w:val="001B416C"/>
    <w:rsid w:val="001B4EA5"/>
    <w:rsid w:val="001C05DD"/>
    <w:rsid w:val="001C1392"/>
    <w:rsid w:val="001E01BA"/>
    <w:rsid w:val="001E0746"/>
    <w:rsid w:val="001E0A00"/>
    <w:rsid w:val="001E1770"/>
    <w:rsid w:val="001E5A75"/>
    <w:rsid w:val="001E6B9D"/>
    <w:rsid w:val="001E7A23"/>
    <w:rsid w:val="001F2920"/>
    <w:rsid w:val="001F5AC3"/>
    <w:rsid w:val="0021389C"/>
    <w:rsid w:val="00213DC3"/>
    <w:rsid w:val="0021767A"/>
    <w:rsid w:val="002201EA"/>
    <w:rsid w:val="00221103"/>
    <w:rsid w:val="00221BC8"/>
    <w:rsid w:val="00222AC6"/>
    <w:rsid w:val="00225D42"/>
    <w:rsid w:val="0023488F"/>
    <w:rsid w:val="002357EA"/>
    <w:rsid w:val="00245325"/>
    <w:rsid w:val="00250176"/>
    <w:rsid w:val="002506A3"/>
    <w:rsid w:val="00253022"/>
    <w:rsid w:val="00254DF6"/>
    <w:rsid w:val="00262C1B"/>
    <w:rsid w:val="002664C7"/>
    <w:rsid w:val="00271C8B"/>
    <w:rsid w:val="002779CE"/>
    <w:rsid w:val="00285E2F"/>
    <w:rsid w:val="00291779"/>
    <w:rsid w:val="002920FF"/>
    <w:rsid w:val="002A04D3"/>
    <w:rsid w:val="002A7FF5"/>
    <w:rsid w:val="002B264F"/>
    <w:rsid w:val="002C41F1"/>
    <w:rsid w:val="002C6263"/>
    <w:rsid w:val="002D4E10"/>
    <w:rsid w:val="002D6B9E"/>
    <w:rsid w:val="002E053A"/>
    <w:rsid w:val="002E2061"/>
    <w:rsid w:val="002E3720"/>
    <w:rsid w:val="002E4EB7"/>
    <w:rsid w:val="002E587F"/>
    <w:rsid w:val="002F170E"/>
    <w:rsid w:val="00300224"/>
    <w:rsid w:val="00302E9C"/>
    <w:rsid w:val="00306AD1"/>
    <w:rsid w:val="00306F71"/>
    <w:rsid w:val="00310F05"/>
    <w:rsid w:val="00311B2D"/>
    <w:rsid w:val="003137B9"/>
    <w:rsid w:val="00325A59"/>
    <w:rsid w:val="003261B0"/>
    <w:rsid w:val="00331FE6"/>
    <w:rsid w:val="00333A44"/>
    <w:rsid w:val="00345E53"/>
    <w:rsid w:val="00347FF9"/>
    <w:rsid w:val="00357F63"/>
    <w:rsid w:val="003616A1"/>
    <w:rsid w:val="00363FCE"/>
    <w:rsid w:val="00371593"/>
    <w:rsid w:val="00373A71"/>
    <w:rsid w:val="00387E40"/>
    <w:rsid w:val="00390DDA"/>
    <w:rsid w:val="00393539"/>
    <w:rsid w:val="003A0C05"/>
    <w:rsid w:val="003A200A"/>
    <w:rsid w:val="003A3C8E"/>
    <w:rsid w:val="003A449C"/>
    <w:rsid w:val="003B3DBB"/>
    <w:rsid w:val="003C2566"/>
    <w:rsid w:val="003C60B9"/>
    <w:rsid w:val="003D10E9"/>
    <w:rsid w:val="003D431C"/>
    <w:rsid w:val="003D56DE"/>
    <w:rsid w:val="003E0595"/>
    <w:rsid w:val="003E2A3B"/>
    <w:rsid w:val="003F15BB"/>
    <w:rsid w:val="003F4BA1"/>
    <w:rsid w:val="00401111"/>
    <w:rsid w:val="00412D44"/>
    <w:rsid w:val="00415627"/>
    <w:rsid w:val="00415A1B"/>
    <w:rsid w:val="00417752"/>
    <w:rsid w:val="00422064"/>
    <w:rsid w:val="0043001B"/>
    <w:rsid w:val="004345C2"/>
    <w:rsid w:val="00435F58"/>
    <w:rsid w:val="004377DA"/>
    <w:rsid w:val="004377E2"/>
    <w:rsid w:val="00443003"/>
    <w:rsid w:val="00445E06"/>
    <w:rsid w:val="00446C32"/>
    <w:rsid w:val="00452FEF"/>
    <w:rsid w:val="00455364"/>
    <w:rsid w:val="0046092C"/>
    <w:rsid w:val="00461A5A"/>
    <w:rsid w:val="0047503C"/>
    <w:rsid w:val="0048116C"/>
    <w:rsid w:val="00484DDA"/>
    <w:rsid w:val="004901BE"/>
    <w:rsid w:val="004965AF"/>
    <w:rsid w:val="00496F5D"/>
    <w:rsid w:val="004A23BC"/>
    <w:rsid w:val="004A5880"/>
    <w:rsid w:val="004A6C52"/>
    <w:rsid w:val="004B18DC"/>
    <w:rsid w:val="004B2302"/>
    <w:rsid w:val="004B2A17"/>
    <w:rsid w:val="004B3DB3"/>
    <w:rsid w:val="004B5E54"/>
    <w:rsid w:val="004E04BF"/>
    <w:rsid w:val="00502390"/>
    <w:rsid w:val="00502FC6"/>
    <w:rsid w:val="00503445"/>
    <w:rsid w:val="0050399F"/>
    <w:rsid w:val="005067A1"/>
    <w:rsid w:val="005135D6"/>
    <w:rsid w:val="00530FC7"/>
    <w:rsid w:val="005324B7"/>
    <w:rsid w:val="0053327A"/>
    <w:rsid w:val="00533D6A"/>
    <w:rsid w:val="00536020"/>
    <w:rsid w:val="00541F3E"/>
    <w:rsid w:val="005429A0"/>
    <w:rsid w:val="00543CDC"/>
    <w:rsid w:val="005511AD"/>
    <w:rsid w:val="00552E3E"/>
    <w:rsid w:val="0055791B"/>
    <w:rsid w:val="00563313"/>
    <w:rsid w:val="00563728"/>
    <w:rsid w:val="00564A89"/>
    <w:rsid w:val="00565031"/>
    <w:rsid w:val="0057435E"/>
    <w:rsid w:val="00585466"/>
    <w:rsid w:val="005911AC"/>
    <w:rsid w:val="00593E1F"/>
    <w:rsid w:val="00594630"/>
    <w:rsid w:val="005A18FB"/>
    <w:rsid w:val="005A2363"/>
    <w:rsid w:val="005A6305"/>
    <w:rsid w:val="005B02DE"/>
    <w:rsid w:val="005B0C8D"/>
    <w:rsid w:val="005B13A0"/>
    <w:rsid w:val="005B1BC6"/>
    <w:rsid w:val="005B1CE2"/>
    <w:rsid w:val="005B6F8B"/>
    <w:rsid w:val="005C1BC9"/>
    <w:rsid w:val="005C287F"/>
    <w:rsid w:val="005C453E"/>
    <w:rsid w:val="005C7A91"/>
    <w:rsid w:val="005D254B"/>
    <w:rsid w:val="005F5B6B"/>
    <w:rsid w:val="005F6FDF"/>
    <w:rsid w:val="00601450"/>
    <w:rsid w:val="006108B8"/>
    <w:rsid w:val="00611073"/>
    <w:rsid w:val="006128D7"/>
    <w:rsid w:val="006145C7"/>
    <w:rsid w:val="0061482E"/>
    <w:rsid w:val="0061552A"/>
    <w:rsid w:val="00616264"/>
    <w:rsid w:val="00616690"/>
    <w:rsid w:val="006167E0"/>
    <w:rsid w:val="00616E90"/>
    <w:rsid w:val="006177FE"/>
    <w:rsid w:val="00627143"/>
    <w:rsid w:val="006317A9"/>
    <w:rsid w:val="00643011"/>
    <w:rsid w:val="00646CBA"/>
    <w:rsid w:val="00650DB8"/>
    <w:rsid w:val="00651C18"/>
    <w:rsid w:val="00652DF7"/>
    <w:rsid w:val="00652F11"/>
    <w:rsid w:val="0066173C"/>
    <w:rsid w:val="006746DB"/>
    <w:rsid w:val="006771CE"/>
    <w:rsid w:val="006778A2"/>
    <w:rsid w:val="006916DC"/>
    <w:rsid w:val="00696F12"/>
    <w:rsid w:val="006A01F5"/>
    <w:rsid w:val="006A5CCF"/>
    <w:rsid w:val="006B19A0"/>
    <w:rsid w:val="006B2A31"/>
    <w:rsid w:val="006B55D6"/>
    <w:rsid w:val="006B5BA8"/>
    <w:rsid w:val="006B7228"/>
    <w:rsid w:val="006C0915"/>
    <w:rsid w:val="006C11BB"/>
    <w:rsid w:val="006C22E7"/>
    <w:rsid w:val="006C3FF9"/>
    <w:rsid w:val="006C4174"/>
    <w:rsid w:val="006C45C6"/>
    <w:rsid w:val="006D49F3"/>
    <w:rsid w:val="006E52E7"/>
    <w:rsid w:val="006F11C3"/>
    <w:rsid w:val="00704711"/>
    <w:rsid w:val="007111EB"/>
    <w:rsid w:val="00711F3A"/>
    <w:rsid w:val="00712B6C"/>
    <w:rsid w:val="00713F52"/>
    <w:rsid w:val="00721A22"/>
    <w:rsid w:val="00721CEA"/>
    <w:rsid w:val="007247ED"/>
    <w:rsid w:val="007260B2"/>
    <w:rsid w:val="0073581C"/>
    <w:rsid w:val="00736AD5"/>
    <w:rsid w:val="00736D27"/>
    <w:rsid w:val="007420C6"/>
    <w:rsid w:val="007434D0"/>
    <w:rsid w:val="007503D4"/>
    <w:rsid w:val="0075517F"/>
    <w:rsid w:val="0076257F"/>
    <w:rsid w:val="00763A4B"/>
    <w:rsid w:val="00764E61"/>
    <w:rsid w:val="00766432"/>
    <w:rsid w:val="0076755A"/>
    <w:rsid w:val="00770527"/>
    <w:rsid w:val="0078015D"/>
    <w:rsid w:val="00781160"/>
    <w:rsid w:val="007827A3"/>
    <w:rsid w:val="00785E60"/>
    <w:rsid w:val="007864CA"/>
    <w:rsid w:val="00787CDE"/>
    <w:rsid w:val="007A1D61"/>
    <w:rsid w:val="007B0068"/>
    <w:rsid w:val="007B0AC3"/>
    <w:rsid w:val="007B5523"/>
    <w:rsid w:val="007C4C33"/>
    <w:rsid w:val="007D2AEF"/>
    <w:rsid w:val="007D7518"/>
    <w:rsid w:val="007E18BB"/>
    <w:rsid w:val="007E33D4"/>
    <w:rsid w:val="007E475F"/>
    <w:rsid w:val="007F0442"/>
    <w:rsid w:val="007F6890"/>
    <w:rsid w:val="007F7A60"/>
    <w:rsid w:val="008024B2"/>
    <w:rsid w:val="00815352"/>
    <w:rsid w:val="00816B32"/>
    <w:rsid w:val="00820E23"/>
    <w:rsid w:val="0083444D"/>
    <w:rsid w:val="00835434"/>
    <w:rsid w:val="00840FC0"/>
    <w:rsid w:val="008420D9"/>
    <w:rsid w:val="008427C5"/>
    <w:rsid w:val="00845545"/>
    <w:rsid w:val="00856854"/>
    <w:rsid w:val="00861241"/>
    <w:rsid w:val="0087489F"/>
    <w:rsid w:val="00875044"/>
    <w:rsid w:val="008774F3"/>
    <w:rsid w:val="008815DE"/>
    <w:rsid w:val="0088172D"/>
    <w:rsid w:val="00884FEB"/>
    <w:rsid w:val="0088630E"/>
    <w:rsid w:val="008A7A5D"/>
    <w:rsid w:val="008B2F5E"/>
    <w:rsid w:val="008B6066"/>
    <w:rsid w:val="008B622E"/>
    <w:rsid w:val="008B7267"/>
    <w:rsid w:val="008C122C"/>
    <w:rsid w:val="008C6E0B"/>
    <w:rsid w:val="008D2210"/>
    <w:rsid w:val="008D7ACC"/>
    <w:rsid w:val="008E0E86"/>
    <w:rsid w:val="008E0F08"/>
    <w:rsid w:val="008E3CA9"/>
    <w:rsid w:val="008E47D2"/>
    <w:rsid w:val="008F1D51"/>
    <w:rsid w:val="00900C1D"/>
    <w:rsid w:val="00906126"/>
    <w:rsid w:val="00920D63"/>
    <w:rsid w:val="00924EEF"/>
    <w:rsid w:val="00942368"/>
    <w:rsid w:val="00943222"/>
    <w:rsid w:val="00950950"/>
    <w:rsid w:val="00955F25"/>
    <w:rsid w:val="00965272"/>
    <w:rsid w:val="00971A2C"/>
    <w:rsid w:val="0098245F"/>
    <w:rsid w:val="00985397"/>
    <w:rsid w:val="0098778D"/>
    <w:rsid w:val="00991C37"/>
    <w:rsid w:val="0099694B"/>
    <w:rsid w:val="009A1317"/>
    <w:rsid w:val="009A2E43"/>
    <w:rsid w:val="009A4B3E"/>
    <w:rsid w:val="009A6E08"/>
    <w:rsid w:val="009B389F"/>
    <w:rsid w:val="009B5A09"/>
    <w:rsid w:val="009C001E"/>
    <w:rsid w:val="009C2C58"/>
    <w:rsid w:val="009C3801"/>
    <w:rsid w:val="009C4291"/>
    <w:rsid w:val="009C7D6A"/>
    <w:rsid w:val="009D3244"/>
    <w:rsid w:val="009F0F81"/>
    <w:rsid w:val="009F3AD0"/>
    <w:rsid w:val="009F4E0B"/>
    <w:rsid w:val="00A01C72"/>
    <w:rsid w:val="00A02850"/>
    <w:rsid w:val="00A03C89"/>
    <w:rsid w:val="00A03DC9"/>
    <w:rsid w:val="00A047BA"/>
    <w:rsid w:val="00A0483F"/>
    <w:rsid w:val="00A1207F"/>
    <w:rsid w:val="00A122F8"/>
    <w:rsid w:val="00A136CD"/>
    <w:rsid w:val="00A24751"/>
    <w:rsid w:val="00A320B1"/>
    <w:rsid w:val="00A35584"/>
    <w:rsid w:val="00A4309F"/>
    <w:rsid w:val="00A6020A"/>
    <w:rsid w:val="00A64421"/>
    <w:rsid w:val="00A64C0C"/>
    <w:rsid w:val="00A72DF3"/>
    <w:rsid w:val="00A801A9"/>
    <w:rsid w:val="00A80A02"/>
    <w:rsid w:val="00A85CE0"/>
    <w:rsid w:val="00A90BDF"/>
    <w:rsid w:val="00AA38AA"/>
    <w:rsid w:val="00AB0383"/>
    <w:rsid w:val="00AB2F46"/>
    <w:rsid w:val="00AB4E51"/>
    <w:rsid w:val="00AC13D0"/>
    <w:rsid w:val="00AC14E2"/>
    <w:rsid w:val="00AC5975"/>
    <w:rsid w:val="00AC5F45"/>
    <w:rsid w:val="00AD061B"/>
    <w:rsid w:val="00AD3F2E"/>
    <w:rsid w:val="00AD4571"/>
    <w:rsid w:val="00AE1CD7"/>
    <w:rsid w:val="00AF13EE"/>
    <w:rsid w:val="00AF51F7"/>
    <w:rsid w:val="00AF62BC"/>
    <w:rsid w:val="00AF672F"/>
    <w:rsid w:val="00B00AEB"/>
    <w:rsid w:val="00B01163"/>
    <w:rsid w:val="00B057CA"/>
    <w:rsid w:val="00B12EA6"/>
    <w:rsid w:val="00B15280"/>
    <w:rsid w:val="00B17100"/>
    <w:rsid w:val="00B31A22"/>
    <w:rsid w:val="00B36BA6"/>
    <w:rsid w:val="00B439B1"/>
    <w:rsid w:val="00B5171B"/>
    <w:rsid w:val="00B51F42"/>
    <w:rsid w:val="00B53022"/>
    <w:rsid w:val="00B822A4"/>
    <w:rsid w:val="00BA6E03"/>
    <w:rsid w:val="00BB50BB"/>
    <w:rsid w:val="00BC068F"/>
    <w:rsid w:val="00BD0C03"/>
    <w:rsid w:val="00BE1311"/>
    <w:rsid w:val="00BE16D7"/>
    <w:rsid w:val="00BE358B"/>
    <w:rsid w:val="00BF34CE"/>
    <w:rsid w:val="00C029A7"/>
    <w:rsid w:val="00C029BC"/>
    <w:rsid w:val="00C04D37"/>
    <w:rsid w:val="00C074C4"/>
    <w:rsid w:val="00C12FEB"/>
    <w:rsid w:val="00C25670"/>
    <w:rsid w:val="00C2636B"/>
    <w:rsid w:val="00C2758E"/>
    <w:rsid w:val="00C277FB"/>
    <w:rsid w:val="00C3194E"/>
    <w:rsid w:val="00C356C8"/>
    <w:rsid w:val="00C367B4"/>
    <w:rsid w:val="00C36B2D"/>
    <w:rsid w:val="00C40D60"/>
    <w:rsid w:val="00C43A7D"/>
    <w:rsid w:val="00C46DB1"/>
    <w:rsid w:val="00C47BD3"/>
    <w:rsid w:val="00C54763"/>
    <w:rsid w:val="00C563A1"/>
    <w:rsid w:val="00C62E09"/>
    <w:rsid w:val="00C635CF"/>
    <w:rsid w:val="00C707EE"/>
    <w:rsid w:val="00C84817"/>
    <w:rsid w:val="00C84BAF"/>
    <w:rsid w:val="00C87CEE"/>
    <w:rsid w:val="00C941FF"/>
    <w:rsid w:val="00C960CE"/>
    <w:rsid w:val="00C973FB"/>
    <w:rsid w:val="00CB484B"/>
    <w:rsid w:val="00CB70A8"/>
    <w:rsid w:val="00CC6811"/>
    <w:rsid w:val="00CD7ED8"/>
    <w:rsid w:val="00CE5ACF"/>
    <w:rsid w:val="00D02770"/>
    <w:rsid w:val="00D02EE5"/>
    <w:rsid w:val="00D054C0"/>
    <w:rsid w:val="00D06F70"/>
    <w:rsid w:val="00D14A32"/>
    <w:rsid w:val="00D2018B"/>
    <w:rsid w:val="00D20C67"/>
    <w:rsid w:val="00D2506C"/>
    <w:rsid w:val="00D25D7E"/>
    <w:rsid w:val="00D27CDE"/>
    <w:rsid w:val="00D27F99"/>
    <w:rsid w:val="00D30BE6"/>
    <w:rsid w:val="00D31C7A"/>
    <w:rsid w:val="00D35C30"/>
    <w:rsid w:val="00D36501"/>
    <w:rsid w:val="00D452AA"/>
    <w:rsid w:val="00D52FEA"/>
    <w:rsid w:val="00D56AF5"/>
    <w:rsid w:val="00D60795"/>
    <w:rsid w:val="00D60F96"/>
    <w:rsid w:val="00D6494A"/>
    <w:rsid w:val="00D64B66"/>
    <w:rsid w:val="00D70C93"/>
    <w:rsid w:val="00D8369E"/>
    <w:rsid w:val="00D84EB7"/>
    <w:rsid w:val="00D87924"/>
    <w:rsid w:val="00D87BAB"/>
    <w:rsid w:val="00D92396"/>
    <w:rsid w:val="00D938B7"/>
    <w:rsid w:val="00D946DB"/>
    <w:rsid w:val="00DA3B36"/>
    <w:rsid w:val="00DA77E1"/>
    <w:rsid w:val="00DB0F07"/>
    <w:rsid w:val="00DC2D05"/>
    <w:rsid w:val="00DC40DA"/>
    <w:rsid w:val="00DD2656"/>
    <w:rsid w:val="00DD5371"/>
    <w:rsid w:val="00DD72AA"/>
    <w:rsid w:val="00DE0962"/>
    <w:rsid w:val="00DE2DDE"/>
    <w:rsid w:val="00DE4EF2"/>
    <w:rsid w:val="00E019D7"/>
    <w:rsid w:val="00E02641"/>
    <w:rsid w:val="00E048CD"/>
    <w:rsid w:val="00E052A9"/>
    <w:rsid w:val="00E07C8E"/>
    <w:rsid w:val="00E11F7B"/>
    <w:rsid w:val="00E133A7"/>
    <w:rsid w:val="00E1378D"/>
    <w:rsid w:val="00E143FD"/>
    <w:rsid w:val="00E1696D"/>
    <w:rsid w:val="00E1750A"/>
    <w:rsid w:val="00E17F31"/>
    <w:rsid w:val="00E27969"/>
    <w:rsid w:val="00E32DA2"/>
    <w:rsid w:val="00E33161"/>
    <w:rsid w:val="00E41A58"/>
    <w:rsid w:val="00E46936"/>
    <w:rsid w:val="00E47CCD"/>
    <w:rsid w:val="00E54B05"/>
    <w:rsid w:val="00E577B1"/>
    <w:rsid w:val="00E66FEA"/>
    <w:rsid w:val="00E75993"/>
    <w:rsid w:val="00E804CC"/>
    <w:rsid w:val="00E82ECC"/>
    <w:rsid w:val="00EA3FEF"/>
    <w:rsid w:val="00EA419C"/>
    <w:rsid w:val="00EB154B"/>
    <w:rsid w:val="00EB5804"/>
    <w:rsid w:val="00EB6F18"/>
    <w:rsid w:val="00EC35BA"/>
    <w:rsid w:val="00EC5046"/>
    <w:rsid w:val="00ED55F7"/>
    <w:rsid w:val="00ED7C8E"/>
    <w:rsid w:val="00EE2205"/>
    <w:rsid w:val="00EF0DA4"/>
    <w:rsid w:val="00EF68B1"/>
    <w:rsid w:val="00F015E6"/>
    <w:rsid w:val="00F0322C"/>
    <w:rsid w:val="00F12EA3"/>
    <w:rsid w:val="00F1455C"/>
    <w:rsid w:val="00F16ACE"/>
    <w:rsid w:val="00F30076"/>
    <w:rsid w:val="00F325B9"/>
    <w:rsid w:val="00F356CE"/>
    <w:rsid w:val="00F423F0"/>
    <w:rsid w:val="00F463F5"/>
    <w:rsid w:val="00F5381F"/>
    <w:rsid w:val="00F5524C"/>
    <w:rsid w:val="00F60EC7"/>
    <w:rsid w:val="00F60F37"/>
    <w:rsid w:val="00F61095"/>
    <w:rsid w:val="00F620A2"/>
    <w:rsid w:val="00F63BA7"/>
    <w:rsid w:val="00F7072C"/>
    <w:rsid w:val="00F76469"/>
    <w:rsid w:val="00F777C7"/>
    <w:rsid w:val="00F875F5"/>
    <w:rsid w:val="00F93B5F"/>
    <w:rsid w:val="00FA1268"/>
    <w:rsid w:val="00FA5CA1"/>
    <w:rsid w:val="00FB175F"/>
    <w:rsid w:val="00FB199D"/>
    <w:rsid w:val="00FB1C26"/>
    <w:rsid w:val="00FB1D44"/>
    <w:rsid w:val="00FB2B2F"/>
    <w:rsid w:val="00FB4960"/>
    <w:rsid w:val="00FB5258"/>
    <w:rsid w:val="00FC371D"/>
    <w:rsid w:val="00FC4D06"/>
    <w:rsid w:val="00FD7524"/>
    <w:rsid w:val="00FE4AE0"/>
    <w:rsid w:val="00FE4D2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Times New Roman"/>
        <w:lang w:val="fr-FR" w:eastAsia="fr-FR" w:bidi="fr-FR"/>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qFormat="1"/>
    <w:lsdException w:name="heading 3" w:qFormat="1"/>
    <w:lsdException w:name="heading 4" w:qFormat="1"/>
    <w:lsdException w:name="heading 5" w:uiPriority="1" w:qFormat="1"/>
    <w:lsdException w:name="heading 6" w:uiPriority="0"/>
    <w:lsdException w:name="heading 7" w:uiPriority="0"/>
    <w:lsdException w:name="heading 8" w:uiPriority="0"/>
    <w:lsdException w:name="heading 9" w:uiPriority="0"/>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0"/>
    <w:lsdException w:name="table of figures" w:uiPriority="0"/>
    <w:lsdException w:name="footnote reference" w:uiPriority="0"/>
    <w:lsdException w:name="endnote reference" w:semiHidden="0" w:uiPriority="1" w:unhideWhenUsed="0"/>
    <w:lsdException w:name="endnote text" w:semiHidden="0" w:uiPriority="1" w:unhideWhenUsed="0"/>
    <w:lsdException w:name="Title" w:uiPriority="10" w:unhideWhenUsed="0"/>
    <w:lsdException w:name="Default Paragraph Font" w:uiPriority="1"/>
    <w:lsdException w:name="Subtitle" w:uiPriority="11" w:unhideWhenUsed="0"/>
    <w:lsdException w:name="Strong" w:uiPriority="22" w:unhideWhenUsed="0"/>
    <w:lsdException w:name="Emphasis" w:uiPriority="20" w:unhideWhenUsed="0"/>
    <w:lsdException w:name="Table Grid" w:semiHidden="0" w:uiPriority="59" w:unhideWhenUsed="0"/>
    <w:lsdException w:name="Placeholder Text" w:unhideWhenUsed="0"/>
    <w:lsdException w:name="No Spacing"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nhideWhenUsed="0" w:qFormat="1"/>
    <w:lsdException w:name="Quote" w:semiHidden="0" w:uiPriority="29" w:unhideWhenUsed="0"/>
    <w:lsdException w:name="Intense Quote"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unhideWhenUsed="0"/>
    <w:lsdException w:name="Intense Emphasis" w:uiPriority="21" w:unhideWhenUsed="0"/>
    <w:lsdException w:name="Subtle Reference" w:uiPriority="31" w:unhideWhenUsed="0"/>
    <w:lsdException w:name="Intense Reference" w:uiPriority="32" w:unhideWhenUsed="0"/>
    <w:lsdException w:name="Book Title" w:uiPriority="33" w:unhideWhenUsed="0"/>
    <w:lsdException w:name="Bibliography" w:uiPriority="37"/>
    <w:lsdException w:name="TOC Heading" w:uiPriority="39" w:qFormat="1"/>
  </w:latentStyles>
  <w:style w:type="paragraph" w:default="1" w:styleId="Normal">
    <w:name w:val="Normal"/>
    <w:qFormat/>
    <w:rsid w:val="00884FEB"/>
    <w:pPr>
      <w:spacing w:before="120" w:after="120"/>
      <w:jc w:val="both"/>
    </w:pPr>
    <w:rPr>
      <w:rFonts w:ascii="Verdana" w:eastAsia="Times New Roman" w:hAnsi="Verdana"/>
      <w:szCs w:val="24"/>
    </w:rPr>
  </w:style>
  <w:style w:type="paragraph" w:styleId="Heading1">
    <w:name w:val="heading 1"/>
    <w:basedOn w:val="Normal"/>
    <w:next w:val="Normal"/>
    <w:link w:val="Heading1Char"/>
    <w:autoRedefine/>
    <w:qFormat/>
    <w:rsid w:val="005A6305"/>
    <w:pPr>
      <w:keepNext/>
      <w:autoSpaceDE w:val="0"/>
      <w:autoSpaceDN w:val="0"/>
      <w:adjustRightInd w:val="0"/>
      <w:spacing w:before="0" w:after="0"/>
      <w:jc w:val="left"/>
      <w:outlineLvl w:val="0"/>
    </w:pPr>
    <w:rPr>
      <w:b/>
      <w:szCs w:val="20"/>
      <w:u w:val="single"/>
    </w:rPr>
  </w:style>
  <w:style w:type="paragraph" w:styleId="Heading2">
    <w:name w:val="heading 2"/>
    <w:basedOn w:val="Normal"/>
    <w:next w:val="Normal"/>
    <w:link w:val="Heading2Char"/>
    <w:autoRedefine/>
    <w:uiPriority w:val="99"/>
    <w:qFormat/>
    <w:rsid w:val="001E5A75"/>
    <w:pPr>
      <w:keepNext/>
      <w:spacing w:before="240"/>
      <w:outlineLvl w:val="1"/>
    </w:pPr>
    <w:rPr>
      <w:b/>
      <w:u w:val="single"/>
    </w:rPr>
  </w:style>
  <w:style w:type="paragraph" w:styleId="Heading3">
    <w:name w:val="heading 3"/>
    <w:basedOn w:val="Normal"/>
    <w:next w:val="Normal"/>
    <w:link w:val="Heading3Char1"/>
    <w:autoRedefine/>
    <w:uiPriority w:val="99"/>
    <w:qFormat/>
    <w:rsid w:val="001E5A75"/>
    <w:pPr>
      <w:keepNext/>
      <w:spacing w:before="180"/>
      <w:outlineLvl w:val="2"/>
    </w:pPr>
    <w:rPr>
      <w:rFonts w:ascii="Arial" w:eastAsia="Arial" w:hAnsi="Arial"/>
      <w:b/>
      <w:szCs w:val="20"/>
    </w:rPr>
  </w:style>
  <w:style w:type="paragraph" w:styleId="Heading4">
    <w:name w:val="heading 4"/>
    <w:basedOn w:val="Normal"/>
    <w:next w:val="Normal"/>
    <w:link w:val="Heading4Char"/>
    <w:autoRedefine/>
    <w:uiPriority w:val="99"/>
    <w:qFormat/>
    <w:rsid w:val="00DE0962"/>
    <w:pPr>
      <w:keepNext/>
      <w:numPr>
        <w:numId w:val="18"/>
      </w:numPr>
      <w:spacing w:before="160"/>
      <w:outlineLvl w:val="3"/>
    </w:pPr>
    <w:rPr>
      <w:b/>
      <w:u w:val="single"/>
    </w:rPr>
  </w:style>
  <w:style w:type="paragraph" w:styleId="Heading5">
    <w:name w:val="heading 5"/>
    <w:basedOn w:val="Normal"/>
    <w:next w:val="Normal"/>
    <w:link w:val="Heading5Char"/>
    <w:autoRedefine/>
    <w:uiPriority w:val="1"/>
    <w:qFormat/>
    <w:rsid w:val="001E5A75"/>
    <w:pPr>
      <w:keepNext/>
      <w:spacing w:before="140"/>
      <w:outlineLvl w:val="4"/>
    </w:pPr>
    <w:rPr>
      <w:rFonts w:ascii="Arial" w:eastAsia="Arial" w:hAnsi="Arial"/>
      <w:b/>
      <w:i/>
      <w:szCs w:val="20"/>
    </w:rPr>
  </w:style>
  <w:style w:type="paragraph" w:styleId="Heading6">
    <w:name w:val="heading 6"/>
    <w:basedOn w:val="Normal"/>
    <w:next w:val="Normal"/>
    <w:link w:val="Heading6Char"/>
    <w:semiHidden/>
    <w:unhideWhenUsed/>
    <w:rsid w:val="001E5A75"/>
    <w:pPr>
      <w:spacing w:before="240" w:after="60"/>
      <w:outlineLvl w:val="5"/>
    </w:pPr>
    <w:rPr>
      <w:rFonts w:ascii="Times New Roman" w:eastAsia="Arial" w:hAnsi="Times New Roman"/>
      <w:b/>
      <w:bCs/>
      <w:szCs w:val="20"/>
    </w:rPr>
  </w:style>
  <w:style w:type="paragraph" w:styleId="Heading7">
    <w:name w:val="heading 7"/>
    <w:basedOn w:val="Normal"/>
    <w:next w:val="Normal"/>
    <w:link w:val="Heading7Char"/>
    <w:semiHidden/>
    <w:unhideWhenUsed/>
    <w:rsid w:val="001E5A75"/>
    <w:pPr>
      <w:spacing w:before="240" w:after="60"/>
      <w:outlineLvl w:val="6"/>
    </w:pPr>
    <w:rPr>
      <w:rFonts w:ascii="Times New Roman" w:eastAsia="Arial" w:hAnsi="Times New Roman"/>
      <w:sz w:val="24"/>
      <w:szCs w:val="20"/>
    </w:rPr>
  </w:style>
  <w:style w:type="paragraph" w:styleId="Heading8">
    <w:name w:val="heading 8"/>
    <w:basedOn w:val="Normal"/>
    <w:next w:val="Normal"/>
    <w:link w:val="Heading8Char"/>
    <w:semiHidden/>
    <w:unhideWhenUsed/>
    <w:rsid w:val="001E5A75"/>
    <w:pPr>
      <w:spacing w:before="240" w:after="60"/>
      <w:outlineLvl w:val="7"/>
    </w:pPr>
    <w:rPr>
      <w:rFonts w:ascii="Times New Roman" w:eastAsia="Arial" w:hAnsi="Times New Roman"/>
      <w:i/>
      <w:iCs/>
      <w:sz w:val="24"/>
      <w:szCs w:val="20"/>
    </w:rPr>
  </w:style>
  <w:style w:type="paragraph" w:styleId="Heading9">
    <w:name w:val="heading 9"/>
    <w:basedOn w:val="Normal"/>
    <w:next w:val="Normal"/>
    <w:link w:val="Heading9Char"/>
    <w:semiHidden/>
    <w:unhideWhenUsed/>
    <w:rsid w:val="001E5A75"/>
    <w:pPr>
      <w:spacing w:before="240" w:after="60"/>
      <w:outlineLvl w:val="8"/>
    </w:pPr>
    <w:rPr>
      <w:rFonts w:ascii="Arial" w:eastAsia="Arial" w:hAnsi="Arial"/>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5A6305"/>
    <w:rPr>
      <w:rFonts w:ascii="Verdana" w:eastAsia="Times New Roman" w:hAnsi="Verdana" w:cs="Times New Roman"/>
      <w:b/>
      <w:sz w:val="20"/>
      <w:szCs w:val="20"/>
      <w:u w:val="single"/>
      <w:lang w:val="fr-FR"/>
    </w:rPr>
  </w:style>
  <w:style w:type="paragraph" w:styleId="TableofFigures">
    <w:name w:val="table of figures"/>
    <w:basedOn w:val="Normal"/>
    <w:next w:val="Normal"/>
    <w:semiHidden/>
    <w:rsid w:val="001E5A75"/>
    <w:pPr>
      <w:ind w:left="440" w:hanging="440"/>
    </w:pPr>
  </w:style>
  <w:style w:type="paragraph" w:customStyle="1" w:styleId="Aufzhlungszeichen1">
    <w:name w:val="Aufzählungszeichen1"/>
    <w:basedOn w:val="Normal"/>
    <w:uiPriority w:val="1"/>
    <w:qFormat/>
    <w:rsid w:val="001E5A75"/>
    <w:pPr>
      <w:numPr>
        <w:numId w:val="1"/>
      </w:numPr>
      <w:spacing w:line="240" w:lineRule="exact"/>
    </w:pPr>
  </w:style>
  <w:style w:type="paragraph" w:customStyle="1" w:styleId="Aufzhlungszeichen2">
    <w:name w:val="Aufzählungszeichen2"/>
    <w:basedOn w:val="Normal"/>
    <w:uiPriority w:val="1"/>
    <w:qFormat/>
    <w:rsid w:val="001E5A75"/>
    <w:pPr>
      <w:numPr>
        <w:numId w:val="2"/>
      </w:numPr>
      <w:spacing w:line="240" w:lineRule="exact"/>
    </w:pPr>
  </w:style>
  <w:style w:type="paragraph" w:customStyle="1" w:styleId="Aufzhlungszeichen3">
    <w:name w:val="Aufzählungszeichen3"/>
    <w:basedOn w:val="Normal"/>
    <w:uiPriority w:val="1"/>
    <w:qFormat/>
    <w:rsid w:val="001E5A75"/>
    <w:pPr>
      <w:numPr>
        <w:numId w:val="3"/>
      </w:numPr>
      <w:spacing w:line="240" w:lineRule="exact"/>
    </w:pPr>
  </w:style>
  <w:style w:type="paragraph" w:customStyle="1" w:styleId="Aufzhlungszeichen4">
    <w:name w:val="Aufzählungszeichen4"/>
    <w:basedOn w:val="Normal"/>
    <w:uiPriority w:val="1"/>
    <w:qFormat/>
    <w:rsid w:val="001E5A75"/>
    <w:pPr>
      <w:numPr>
        <w:numId w:val="4"/>
      </w:numPr>
      <w:spacing w:line="240" w:lineRule="exact"/>
    </w:pPr>
  </w:style>
  <w:style w:type="numbering" w:customStyle="1" w:styleId="Formatvorlage1">
    <w:name w:val="Formatvorlage1"/>
    <w:uiPriority w:val="99"/>
    <w:rsid w:val="001E5A75"/>
    <w:pPr>
      <w:numPr>
        <w:numId w:val="5"/>
      </w:numPr>
    </w:pPr>
  </w:style>
  <w:style w:type="numbering" w:customStyle="1" w:styleId="Formatvorlage2">
    <w:name w:val="Formatvorlage2"/>
    <w:uiPriority w:val="99"/>
    <w:rsid w:val="001E5A75"/>
    <w:pPr>
      <w:numPr>
        <w:numId w:val="6"/>
      </w:numPr>
    </w:pPr>
  </w:style>
  <w:style w:type="paragraph" w:styleId="FootnoteText">
    <w:name w:val="footnote text"/>
    <w:basedOn w:val="Normal"/>
    <w:link w:val="FootnoteTextChar"/>
    <w:rsid w:val="00C2636B"/>
    <w:pPr>
      <w:spacing w:line="180" w:lineRule="exact"/>
      <w:ind w:left="142" w:hanging="142"/>
    </w:pPr>
    <w:rPr>
      <w:rFonts w:ascii="Arial" w:eastAsia="Arial" w:hAnsi="Arial"/>
      <w:sz w:val="16"/>
      <w:szCs w:val="16"/>
    </w:rPr>
  </w:style>
  <w:style w:type="character" w:customStyle="1" w:styleId="FootnoteTextChar">
    <w:name w:val="Footnote Text Char"/>
    <w:link w:val="FootnoteText"/>
    <w:rsid w:val="00C2636B"/>
    <w:rPr>
      <w:rFonts w:ascii="Arial" w:hAnsi="Arial"/>
      <w:sz w:val="16"/>
      <w:szCs w:val="16"/>
      <w:lang w:eastAsia="fr-FR"/>
    </w:rPr>
  </w:style>
  <w:style w:type="character" w:styleId="FootnoteReference">
    <w:name w:val="footnote reference"/>
    <w:rsid w:val="001E5A75"/>
    <w:rPr>
      <w:rFonts w:ascii="Arial" w:hAnsi="Arial"/>
      <w:dstrike w:val="0"/>
      <w:kern w:val="0"/>
      <w:position w:val="4"/>
      <w:sz w:val="12"/>
      <w:szCs w:val="12"/>
      <w:vertAlign w:val="baseline"/>
    </w:rPr>
  </w:style>
  <w:style w:type="paragraph" w:styleId="Footer">
    <w:name w:val="footer"/>
    <w:basedOn w:val="Normal"/>
    <w:link w:val="FooterChar"/>
    <w:uiPriority w:val="99"/>
    <w:rsid w:val="001E5A75"/>
    <w:pPr>
      <w:tabs>
        <w:tab w:val="center" w:pos="4536"/>
        <w:tab w:val="right" w:pos="9072"/>
      </w:tabs>
    </w:pPr>
    <w:rPr>
      <w:rFonts w:ascii="Arial" w:eastAsia="Arial" w:hAnsi="Arial"/>
      <w:szCs w:val="14"/>
    </w:rPr>
  </w:style>
  <w:style w:type="character" w:customStyle="1" w:styleId="FooterChar">
    <w:name w:val="Footer Char"/>
    <w:link w:val="Footer"/>
    <w:uiPriority w:val="99"/>
    <w:rsid w:val="001E5A75"/>
    <w:rPr>
      <w:rFonts w:ascii="Arial" w:hAnsi="Arial"/>
      <w:szCs w:val="14"/>
      <w:lang w:eastAsia="fr-FR"/>
    </w:rPr>
  </w:style>
  <w:style w:type="paragraph" w:customStyle="1" w:styleId="GliederungmitAufzhlung">
    <w:name w:val="Gliederung mit Aufzählung"/>
    <w:basedOn w:val="Normal"/>
    <w:uiPriority w:val="1"/>
    <w:qFormat/>
    <w:rsid w:val="001E5A75"/>
    <w:pPr>
      <w:numPr>
        <w:numId w:val="7"/>
      </w:numPr>
      <w:spacing w:line="312" w:lineRule="auto"/>
    </w:pPr>
  </w:style>
  <w:style w:type="paragraph" w:customStyle="1" w:styleId="GliederungmitNummerierung">
    <w:name w:val="Gliederung mit Nummerierung"/>
    <w:basedOn w:val="Normal"/>
    <w:uiPriority w:val="1"/>
    <w:qFormat/>
    <w:rsid w:val="001E5A75"/>
    <w:pPr>
      <w:numPr>
        <w:numId w:val="8"/>
      </w:numPr>
      <w:spacing w:line="312" w:lineRule="auto"/>
    </w:pPr>
  </w:style>
  <w:style w:type="paragraph" w:customStyle="1" w:styleId="HngEinrckung1">
    <w:name w:val="Häng. Einrückung1"/>
    <w:basedOn w:val="Normal"/>
    <w:uiPriority w:val="1"/>
    <w:qFormat/>
    <w:rsid w:val="001E5A75"/>
    <w:pPr>
      <w:spacing w:line="312" w:lineRule="auto"/>
      <w:ind w:left="567" w:hanging="567"/>
    </w:pPr>
  </w:style>
  <w:style w:type="paragraph" w:customStyle="1" w:styleId="HngEinrckung2">
    <w:name w:val="Häng. Einrückung2"/>
    <w:basedOn w:val="Normal"/>
    <w:uiPriority w:val="1"/>
    <w:qFormat/>
    <w:rsid w:val="001E5A75"/>
    <w:pPr>
      <w:spacing w:line="312" w:lineRule="auto"/>
      <w:ind w:left="1134" w:hanging="567"/>
    </w:pPr>
  </w:style>
  <w:style w:type="paragraph" w:customStyle="1" w:styleId="HngEinrckung3">
    <w:name w:val="Häng. Einrückung3"/>
    <w:basedOn w:val="Normal"/>
    <w:uiPriority w:val="1"/>
    <w:qFormat/>
    <w:rsid w:val="001E5A75"/>
    <w:pPr>
      <w:spacing w:line="312" w:lineRule="auto"/>
      <w:ind w:left="1701" w:hanging="567"/>
    </w:pPr>
  </w:style>
  <w:style w:type="character" w:styleId="Hyperlink">
    <w:name w:val="Hyperlink"/>
    <w:uiPriority w:val="99"/>
    <w:rsid w:val="001E5A75"/>
    <w:rPr>
      <w:color w:val="0000FF"/>
      <w:u w:val="single"/>
    </w:rPr>
  </w:style>
  <w:style w:type="paragraph" w:styleId="Header">
    <w:name w:val="header"/>
    <w:basedOn w:val="Normal"/>
    <w:link w:val="HeaderChar"/>
    <w:uiPriority w:val="99"/>
    <w:rsid w:val="001E5A75"/>
    <w:pPr>
      <w:tabs>
        <w:tab w:val="center" w:pos="4536"/>
        <w:tab w:val="right" w:pos="9072"/>
      </w:tabs>
    </w:pPr>
    <w:rPr>
      <w:rFonts w:ascii="Arial" w:eastAsia="Arial" w:hAnsi="Arial"/>
      <w:szCs w:val="20"/>
    </w:rPr>
  </w:style>
  <w:style w:type="character" w:customStyle="1" w:styleId="HeaderChar">
    <w:name w:val="Header Char"/>
    <w:link w:val="Header"/>
    <w:uiPriority w:val="99"/>
    <w:rsid w:val="001E5A75"/>
    <w:rPr>
      <w:rFonts w:ascii="Arial" w:hAnsi="Arial"/>
      <w:szCs w:val="20"/>
      <w:lang w:eastAsia="fr-FR"/>
    </w:rPr>
  </w:style>
  <w:style w:type="paragraph" w:customStyle="1" w:styleId="Marginalspalte">
    <w:name w:val="Marginalspalte"/>
    <w:basedOn w:val="Normal"/>
    <w:uiPriority w:val="1"/>
    <w:qFormat/>
    <w:rsid w:val="001E5A75"/>
    <w:pPr>
      <w:framePr w:w="851" w:h="851" w:hSpace="284" w:wrap="around" w:vAnchor="text" w:hAnchor="page" w:y="1"/>
    </w:pPr>
    <w:rPr>
      <w:i/>
      <w:szCs w:val="22"/>
    </w:rPr>
  </w:style>
  <w:style w:type="paragraph" w:customStyle="1" w:styleId="Nummerierungsart1">
    <w:name w:val="Nummerierungsart1"/>
    <w:basedOn w:val="Normal"/>
    <w:uiPriority w:val="1"/>
    <w:qFormat/>
    <w:rsid w:val="001E5A75"/>
    <w:pPr>
      <w:numPr>
        <w:numId w:val="9"/>
      </w:numPr>
    </w:pPr>
  </w:style>
  <w:style w:type="paragraph" w:customStyle="1" w:styleId="Nummerierungsart2">
    <w:name w:val="Nummerierungsart2"/>
    <w:basedOn w:val="Normal"/>
    <w:uiPriority w:val="1"/>
    <w:qFormat/>
    <w:rsid w:val="001E5A75"/>
    <w:pPr>
      <w:numPr>
        <w:numId w:val="10"/>
      </w:numPr>
    </w:pPr>
  </w:style>
  <w:style w:type="paragraph" w:customStyle="1" w:styleId="Nummerierungsart3">
    <w:name w:val="Nummerierungsart3"/>
    <w:basedOn w:val="Normal"/>
    <w:uiPriority w:val="1"/>
    <w:qFormat/>
    <w:rsid w:val="001E5A75"/>
    <w:pPr>
      <w:numPr>
        <w:numId w:val="11"/>
      </w:numPr>
    </w:pPr>
  </w:style>
  <w:style w:type="paragraph" w:customStyle="1" w:styleId="Nummerierungsart4">
    <w:name w:val="Nummerierungsart4"/>
    <w:basedOn w:val="Normal"/>
    <w:uiPriority w:val="1"/>
    <w:qFormat/>
    <w:rsid w:val="001E5A75"/>
    <w:pPr>
      <w:numPr>
        <w:numId w:val="12"/>
      </w:numPr>
    </w:pPr>
  </w:style>
  <w:style w:type="character" w:styleId="PageNumber">
    <w:name w:val="page number"/>
    <w:uiPriority w:val="99"/>
    <w:rsid w:val="001E5A75"/>
    <w:rPr>
      <w:rFonts w:ascii="Arial" w:hAnsi="Arial"/>
      <w:sz w:val="22"/>
      <w:szCs w:val="22"/>
    </w:rPr>
  </w:style>
  <w:style w:type="character" w:customStyle="1" w:styleId="Heading2Char">
    <w:name w:val="Heading 2 Char"/>
    <w:link w:val="Heading2"/>
    <w:uiPriority w:val="99"/>
    <w:rsid w:val="00EC5046"/>
    <w:rPr>
      <w:rFonts w:ascii="Verdana" w:eastAsia="Times New Roman" w:hAnsi="Verdana" w:cs="Times New Roman"/>
      <w:b/>
      <w:szCs w:val="24"/>
      <w:u w:val="single"/>
      <w:lang w:val="fr-FR"/>
    </w:rPr>
  </w:style>
  <w:style w:type="character" w:customStyle="1" w:styleId="Heading3Char1">
    <w:name w:val="Heading 3 Char1"/>
    <w:link w:val="Heading3"/>
    <w:uiPriority w:val="99"/>
    <w:rsid w:val="001E5A75"/>
    <w:rPr>
      <w:rFonts w:ascii="Arial" w:hAnsi="Arial"/>
      <w:b/>
      <w:szCs w:val="20"/>
      <w:lang w:eastAsia="fr-FR"/>
    </w:rPr>
  </w:style>
  <w:style w:type="character" w:customStyle="1" w:styleId="Heading4Char">
    <w:name w:val="Heading 4 Char"/>
    <w:link w:val="Heading4"/>
    <w:uiPriority w:val="99"/>
    <w:rsid w:val="00DE0962"/>
    <w:rPr>
      <w:rFonts w:ascii="Verdana" w:eastAsia="Times New Roman" w:hAnsi="Verdana"/>
      <w:b/>
      <w:szCs w:val="24"/>
      <w:u w:val="single"/>
      <w:lang w:val="fr-FR" w:eastAsia="fr-FR"/>
    </w:rPr>
  </w:style>
  <w:style w:type="character" w:customStyle="1" w:styleId="Heading5Char">
    <w:name w:val="Heading 5 Char"/>
    <w:link w:val="Heading5"/>
    <w:uiPriority w:val="1"/>
    <w:rsid w:val="001E5A75"/>
    <w:rPr>
      <w:rFonts w:ascii="Arial" w:hAnsi="Arial"/>
      <w:b/>
      <w:i/>
      <w:szCs w:val="20"/>
      <w:lang w:eastAsia="fr-FR"/>
    </w:rPr>
  </w:style>
  <w:style w:type="character" w:customStyle="1" w:styleId="Heading6Char">
    <w:name w:val="Heading 6 Char"/>
    <w:link w:val="Heading6"/>
    <w:semiHidden/>
    <w:rsid w:val="001E5A75"/>
    <w:rPr>
      <w:rFonts w:ascii="Times New Roman" w:hAnsi="Times New Roman"/>
      <w:b/>
      <w:bCs/>
      <w:lang w:eastAsia="fr-FR"/>
    </w:rPr>
  </w:style>
  <w:style w:type="character" w:customStyle="1" w:styleId="Heading7Char">
    <w:name w:val="Heading 7 Char"/>
    <w:link w:val="Heading7"/>
    <w:semiHidden/>
    <w:rsid w:val="001E5A75"/>
    <w:rPr>
      <w:rFonts w:ascii="Times New Roman" w:hAnsi="Times New Roman"/>
      <w:sz w:val="24"/>
      <w:szCs w:val="20"/>
      <w:lang w:eastAsia="fr-FR"/>
    </w:rPr>
  </w:style>
  <w:style w:type="character" w:customStyle="1" w:styleId="Heading8Char">
    <w:name w:val="Heading 8 Char"/>
    <w:link w:val="Heading8"/>
    <w:semiHidden/>
    <w:rsid w:val="001E5A75"/>
    <w:rPr>
      <w:rFonts w:ascii="Times New Roman" w:hAnsi="Times New Roman"/>
      <w:i/>
      <w:iCs/>
      <w:sz w:val="24"/>
      <w:szCs w:val="20"/>
      <w:lang w:eastAsia="fr-FR"/>
    </w:rPr>
  </w:style>
  <w:style w:type="character" w:customStyle="1" w:styleId="Heading9Char">
    <w:name w:val="Heading 9 Char"/>
    <w:link w:val="Heading9"/>
    <w:semiHidden/>
    <w:rsid w:val="001E5A75"/>
    <w:rPr>
      <w:rFonts w:ascii="Arial" w:hAnsi="Arial" w:cs="Arial"/>
      <w:lang w:eastAsia="fr-FR"/>
    </w:rPr>
  </w:style>
  <w:style w:type="paragraph" w:styleId="TOC1">
    <w:name w:val="toc 1"/>
    <w:basedOn w:val="Normal"/>
    <w:next w:val="Normal"/>
    <w:autoRedefine/>
    <w:uiPriority w:val="39"/>
    <w:qFormat/>
    <w:rsid w:val="001E5A75"/>
    <w:pPr>
      <w:tabs>
        <w:tab w:val="left" w:pos="794"/>
        <w:tab w:val="right" w:leader="dot" w:pos="9071"/>
      </w:tabs>
      <w:ind w:left="794" w:hanging="794"/>
    </w:pPr>
    <w:rPr>
      <w:b/>
      <w:smallCaps/>
      <w:noProof/>
      <w:sz w:val="24"/>
    </w:rPr>
  </w:style>
  <w:style w:type="paragraph" w:styleId="TOC2">
    <w:name w:val="toc 2"/>
    <w:basedOn w:val="Normal"/>
    <w:next w:val="Normal"/>
    <w:autoRedefine/>
    <w:uiPriority w:val="39"/>
    <w:qFormat/>
    <w:rsid w:val="001E5A75"/>
    <w:pPr>
      <w:tabs>
        <w:tab w:val="left" w:pos="794"/>
        <w:tab w:val="right" w:leader="dot" w:pos="9071"/>
      </w:tabs>
      <w:spacing w:after="60"/>
      <w:ind w:left="794" w:hanging="794"/>
    </w:pPr>
    <w:rPr>
      <w:b/>
      <w:smallCaps/>
      <w:noProof/>
      <w:szCs w:val="22"/>
    </w:rPr>
  </w:style>
  <w:style w:type="paragraph" w:styleId="TOC3">
    <w:name w:val="toc 3"/>
    <w:basedOn w:val="Normal"/>
    <w:next w:val="Normal"/>
    <w:autoRedefine/>
    <w:uiPriority w:val="39"/>
    <w:qFormat/>
    <w:rsid w:val="001E5A75"/>
    <w:pPr>
      <w:tabs>
        <w:tab w:val="left" w:pos="794"/>
        <w:tab w:val="right" w:leader="dot" w:pos="9072"/>
      </w:tabs>
      <w:spacing w:after="60"/>
      <w:ind w:left="794" w:hanging="794"/>
    </w:pPr>
    <w:rPr>
      <w:smallCaps/>
      <w:noProof/>
    </w:rPr>
  </w:style>
  <w:style w:type="paragraph" w:styleId="TOC4">
    <w:name w:val="toc 4"/>
    <w:basedOn w:val="Normal"/>
    <w:next w:val="Normal"/>
    <w:autoRedefine/>
    <w:uiPriority w:val="39"/>
    <w:rsid w:val="001E5A75"/>
    <w:pPr>
      <w:tabs>
        <w:tab w:val="left" w:pos="794"/>
        <w:tab w:val="right" w:leader="dot" w:pos="9071"/>
      </w:tabs>
      <w:spacing w:after="40"/>
      <w:ind w:left="794" w:hanging="794"/>
    </w:pPr>
    <w:rPr>
      <w:smallCaps/>
      <w:noProof/>
      <w:snapToGrid w:val="0"/>
      <w:sz w:val="18"/>
      <w:szCs w:val="18"/>
    </w:rPr>
  </w:style>
  <w:style w:type="paragraph" w:styleId="TOC5">
    <w:name w:val="toc 5"/>
    <w:basedOn w:val="Normal"/>
    <w:next w:val="Normal"/>
    <w:autoRedefine/>
    <w:uiPriority w:val="39"/>
    <w:rsid w:val="001E5A75"/>
    <w:pPr>
      <w:tabs>
        <w:tab w:val="left" w:pos="794"/>
        <w:tab w:val="right" w:leader="dot" w:pos="9071"/>
      </w:tabs>
      <w:spacing w:after="40"/>
      <w:ind w:left="794" w:hanging="794"/>
    </w:pPr>
    <w:rPr>
      <w:smallCaps/>
      <w:noProof/>
      <w:sz w:val="18"/>
      <w:szCs w:val="18"/>
    </w:rPr>
  </w:style>
  <w:style w:type="paragraph" w:styleId="TOC6">
    <w:name w:val="toc 6"/>
    <w:basedOn w:val="Normal"/>
    <w:next w:val="Normal"/>
    <w:autoRedefine/>
    <w:uiPriority w:val="39"/>
    <w:rsid w:val="001E5A75"/>
    <w:pPr>
      <w:tabs>
        <w:tab w:val="left" w:pos="2058"/>
        <w:tab w:val="right" w:leader="dot" w:pos="9071"/>
      </w:tabs>
      <w:ind w:left="1134" w:hanging="1134"/>
    </w:pPr>
    <w:rPr>
      <w:noProof/>
      <w:sz w:val="16"/>
    </w:rPr>
  </w:style>
  <w:style w:type="paragraph" w:styleId="TOC7">
    <w:name w:val="toc 7"/>
    <w:basedOn w:val="Normal"/>
    <w:next w:val="Normal"/>
    <w:autoRedefine/>
    <w:uiPriority w:val="39"/>
    <w:rsid w:val="001E5A75"/>
    <w:pPr>
      <w:tabs>
        <w:tab w:val="right" w:leader="dot" w:pos="9071"/>
      </w:tabs>
      <w:ind w:left="1134" w:hanging="1134"/>
    </w:pPr>
    <w:rPr>
      <w:sz w:val="16"/>
    </w:rPr>
  </w:style>
  <w:style w:type="paragraph" w:styleId="TOC8">
    <w:name w:val="toc 8"/>
    <w:basedOn w:val="Normal"/>
    <w:next w:val="Normal"/>
    <w:autoRedefine/>
    <w:uiPriority w:val="39"/>
    <w:rsid w:val="001E5A75"/>
    <w:pPr>
      <w:tabs>
        <w:tab w:val="left" w:pos="2758"/>
        <w:tab w:val="right" w:leader="dot" w:pos="9071"/>
      </w:tabs>
      <w:ind w:left="1361" w:hanging="1361"/>
    </w:pPr>
    <w:rPr>
      <w:noProof/>
      <w:sz w:val="16"/>
    </w:rPr>
  </w:style>
  <w:style w:type="paragraph" w:styleId="TOC9">
    <w:name w:val="toc 9"/>
    <w:basedOn w:val="Normal"/>
    <w:next w:val="Normal"/>
    <w:autoRedefine/>
    <w:uiPriority w:val="39"/>
    <w:rsid w:val="001E5A75"/>
    <w:pPr>
      <w:tabs>
        <w:tab w:val="right" w:leader="dot" w:pos="9071"/>
      </w:tabs>
      <w:ind w:left="1361" w:hanging="1361"/>
    </w:pPr>
    <w:rPr>
      <w:sz w:val="16"/>
    </w:rPr>
  </w:style>
  <w:style w:type="paragraph" w:styleId="Quote">
    <w:name w:val="Quote"/>
    <w:basedOn w:val="Normal"/>
    <w:next w:val="Normal"/>
    <w:link w:val="QuoteChar"/>
    <w:uiPriority w:val="29"/>
    <w:semiHidden/>
    <w:rsid w:val="001E5A75"/>
    <w:rPr>
      <w:rFonts w:ascii="Arial" w:eastAsia="Arial" w:hAnsi="Arial"/>
      <w:i/>
      <w:iCs/>
      <w:color w:val="000000"/>
      <w:szCs w:val="20"/>
    </w:rPr>
  </w:style>
  <w:style w:type="character" w:customStyle="1" w:styleId="QuoteChar">
    <w:name w:val="Quote Char"/>
    <w:link w:val="Quote"/>
    <w:uiPriority w:val="29"/>
    <w:semiHidden/>
    <w:rsid w:val="001E5A75"/>
    <w:rPr>
      <w:rFonts w:ascii="Arial" w:hAnsi="Arial"/>
      <w:i/>
      <w:iCs/>
      <w:color w:val="000000"/>
      <w:szCs w:val="20"/>
      <w:lang w:eastAsia="fr-FR"/>
    </w:rPr>
  </w:style>
  <w:style w:type="paragraph" w:styleId="TOCHeading">
    <w:name w:val="TOC Heading"/>
    <w:basedOn w:val="Heading1"/>
    <w:next w:val="Normal"/>
    <w:uiPriority w:val="39"/>
    <w:semiHidden/>
    <w:unhideWhenUsed/>
    <w:qFormat/>
    <w:rsid w:val="001E5A75"/>
    <w:pPr>
      <w:keepLines/>
      <w:spacing w:before="480" w:line="311" w:lineRule="auto"/>
      <w:outlineLvl w:val="9"/>
    </w:pPr>
    <w:rPr>
      <w:rFonts w:ascii="Arial" w:hAnsi="Arial"/>
      <w:bCs/>
      <w:color w:val="4B67A3"/>
      <w:szCs w:val="28"/>
    </w:rPr>
  </w:style>
  <w:style w:type="paragraph" w:styleId="EndnoteText">
    <w:name w:val="endnote text"/>
    <w:basedOn w:val="Normal"/>
    <w:link w:val="EndnoteTextChar"/>
    <w:uiPriority w:val="1"/>
    <w:rsid w:val="001E5A75"/>
    <w:pPr>
      <w:spacing w:line="180" w:lineRule="exact"/>
      <w:ind w:left="142" w:hanging="142"/>
    </w:pPr>
    <w:rPr>
      <w:rFonts w:ascii="Arial" w:eastAsia="Arial" w:hAnsi="Arial"/>
      <w:sz w:val="16"/>
      <w:szCs w:val="20"/>
    </w:rPr>
  </w:style>
  <w:style w:type="character" w:customStyle="1" w:styleId="EndnoteTextChar">
    <w:name w:val="Endnote Text Char"/>
    <w:link w:val="EndnoteText"/>
    <w:uiPriority w:val="1"/>
    <w:rsid w:val="001E5A75"/>
    <w:rPr>
      <w:rFonts w:ascii="Arial" w:hAnsi="Arial"/>
      <w:sz w:val="16"/>
      <w:szCs w:val="20"/>
      <w:lang w:eastAsia="fr-FR"/>
    </w:rPr>
  </w:style>
  <w:style w:type="character" w:styleId="EndnoteReference">
    <w:name w:val="endnote reference"/>
    <w:uiPriority w:val="1"/>
    <w:rsid w:val="001E5A75"/>
    <w:rPr>
      <w:rFonts w:ascii="Arial" w:hAnsi="Arial"/>
      <w:color w:val="auto"/>
      <w:position w:val="4"/>
      <w:sz w:val="12"/>
      <w:vertAlign w:val="baseline"/>
    </w:rPr>
  </w:style>
  <w:style w:type="character" w:customStyle="1" w:styleId="Heading3Char">
    <w:name w:val="Heading 3 Char"/>
    <w:uiPriority w:val="99"/>
    <w:locked/>
    <w:rsid w:val="00884FEB"/>
    <w:rPr>
      <w:rFonts w:cs="Times New Roman"/>
      <w:sz w:val="24"/>
      <w:szCs w:val="24"/>
      <w:lang w:val="fr-FR" w:eastAsia="fr-FR"/>
    </w:rPr>
  </w:style>
  <w:style w:type="paragraph" w:customStyle="1" w:styleId="Ballontekst">
    <w:name w:val="Ballontekst"/>
    <w:basedOn w:val="Normal"/>
    <w:uiPriority w:val="99"/>
    <w:semiHidden/>
    <w:rsid w:val="00884FEB"/>
    <w:rPr>
      <w:rFonts w:ascii="Tahoma" w:hAnsi="Tahoma" w:cs="Tahoma"/>
      <w:sz w:val="16"/>
      <w:szCs w:val="16"/>
    </w:rPr>
  </w:style>
  <w:style w:type="character" w:styleId="CommentReference">
    <w:name w:val="annotation reference"/>
    <w:uiPriority w:val="99"/>
    <w:rsid w:val="00884FEB"/>
    <w:rPr>
      <w:rFonts w:cs="Times New Roman"/>
      <w:sz w:val="16"/>
      <w:szCs w:val="16"/>
    </w:rPr>
  </w:style>
  <w:style w:type="paragraph" w:styleId="CommentText">
    <w:name w:val="annotation text"/>
    <w:basedOn w:val="Normal"/>
    <w:link w:val="CommentTextChar"/>
    <w:uiPriority w:val="99"/>
    <w:rsid w:val="00884FEB"/>
    <w:rPr>
      <w:szCs w:val="20"/>
    </w:rPr>
  </w:style>
  <w:style w:type="character" w:customStyle="1" w:styleId="CommentTextChar">
    <w:name w:val="Comment Text Char"/>
    <w:link w:val="CommentText"/>
    <w:uiPriority w:val="99"/>
    <w:rsid w:val="00884FEB"/>
    <w:rPr>
      <w:rFonts w:ascii="Verdana" w:eastAsia="Times New Roman" w:hAnsi="Verdana" w:cs="Times New Roman"/>
      <w:sz w:val="20"/>
      <w:szCs w:val="20"/>
      <w:lang w:val="fr-FR"/>
    </w:rPr>
  </w:style>
  <w:style w:type="paragraph" w:customStyle="1" w:styleId="Onderwerpvanopmerking">
    <w:name w:val="Onderwerp van opmerking"/>
    <w:basedOn w:val="CommentText"/>
    <w:next w:val="CommentText"/>
    <w:uiPriority w:val="99"/>
    <w:semiHidden/>
    <w:rsid w:val="00884FEB"/>
    <w:rPr>
      <w:b/>
      <w:bCs/>
    </w:rPr>
  </w:style>
  <w:style w:type="character" w:styleId="FollowedHyperlink">
    <w:name w:val="FollowedHyperlink"/>
    <w:uiPriority w:val="99"/>
    <w:rsid w:val="00884FEB"/>
    <w:rPr>
      <w:rFonts w:cs="Times New Roman"/>
      <w:color w:val="606420"/>
      <w:u w:val="single"/>
    </w:rPr>
  </w:style>
  <w:style w:type="paragraph" w:styleId="BalloonText">
    <w:name w:val="Balloon Text"/>
    <w:basedOn w:val="Normal"/>
    <w:link w:val="BalloonTextChar"/>
    <w:uiPriority w:val="99"/>
    <w:rsid w:val="00884FEB"/>
    <w:rPr>
      <w:rFonts w:ascii="Tahoma" w:hAnsi="Tahoma"/>
      <w:sz w:val="16"/>
      <w:szCs w:val="16"/>
    </w:rPr>
  </w:style>
  <w:style w:type="character" w:customStyle="1" w:styleId="BalloonTextChar">
    <w:name w:val="Balloon Text Char"/>
    <w:link w:val="BalloonText"/>
    <w:uiPriority w:val="99"/>
    <w:rsid w:val="00884FEB"/>
    <w:rPr>
      <w:rFonts w:ascii="Tahoma" w:eastAsia="Times New Roman" w:hAnsi="Tahoma" w:cs="Tahoma"/>
      <w:sz w:val="16"/>
      <w:szCs w:val="16"/>
      <w:lang w:val="fr-FR"/>
    </w:rPr>
  </w:style>
  <w:style w:type="paragraph" w:styleId="CommentSubject">
    <w:name w:val="annotation subject"/>
    <w:basedOn w:val="CommentText"/>
    <w:next w:val="CommentText"/>
    <w:link w:val="CommentSubjectChar"/>
    <w:uiPriority w:val="99"/>
    <w:rsid w:val="00884FEB"/>
    <w:rPr>
      <w:b/>
      <w:bCs/>
    </w:rPr>
  </w:style>
  <w:style w:type="character" w:customStyle="1" w:styleId="CommentSubjectChar">
    <w:name w:val="Comment Subject Char"/>
    <w:link w:val="CommentSubject"/>
    <w:uiPriority w:val="99"/>
    <w:rsid w:val="00884FEB"/>
    <w:rPr>
      <w:rFonts w:ascii="Verdana" w:eastAsia="Times New Roman" w:hAnsi="Verdana" w:cs="Times New Roman"/>
      <w:b/>
      <w:bCs/>
      <w:sz w:val="20"/>
      <w:szCs w:val="20"/>
      <w:lang w:val="fr-FR"/>
    </w:rPr>
  </w:style>
  <w:style w:type="table" w:styleId="TableGrid">
    <w:name w:val="Table Grid"/>
    <w:aliases w:val="Tabla CUADROS"/>
    <w:basedOn w:val="TableNormal"/>
    <w:uiPriority w:val="59"/>
    <w:rsid w:val="00884FE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rmatvorlageberschrift4">
    <w:name w:val="Formatvorlage Überschrift 4"/>
    <w:basedOn w:val="Heading4"/>
    <w:link w:val="Formatvorlageberschrift4Char"/>
    <w:uiPriority w:val="99"/>
    <w:rsid w:val="00884FEB"/>
    <w:pPr>
      <w:spacing w:before="240" w:after="60"/>
    </w:pPr>
    <w:rPr>
      <w:iCs/>
      <w:szCs w:val="28"/>
    </w:rPr>
  </w:style>
  <w:style w:type="character" w:customStyle="1" w:styleId="Formatvorlageberschrift4Char">
    <w:name w:val="Formatvorlage Überschrift 4 Char"/>
    <w:link w:val="Formatvorlageberschrift4"/>
    <w:uiPriority w:val="99"/>
    <w:locked/>
    <w:rsid w:val="00884FEB"/>
    <w:rPr>
      <w:rFonts w:ascii="Verdana" w:eastAsia="Times New Roman" w:hAnsi="Verdana"/>
      <w:b/>
      <w:iCs/>
      <w:szCs w:val="28"/>
      <w:u w:val="single"/>
      <w:lang w:val="fr-FR" w:eastAsia="fr-FR"/>
    </w:rPr>
  </w:style>
  <w:style w:type="paragraph" w:customStyle="1" w:styleId="Instructionsberschrift1">
    <w:name w:val="Instructions Überschrift 1"/>
    <w:basedOn w:val="Heading1"/>
    <w:rsid w:val="00884FEB"/>
    <w:pPr>
      <w:tabs>
        <w:tab w:val="num" w:pos="540"/>
      </w:tabs>
      <w:spacing w:before="240"/>
      <w:ind w:left="540" w:hanging="540"/>
    </w:pPr>
    <w:rPr>
      <w:b w:val="0"/>
      <w:kern w:val="32"/>
    </w:rPr>
  </w:style>
  <w:style w:type="paragraph" w:customStyle="1" w:styleId="Instructionsberschrift2">
    <w:name w:val="Instructions Überschrift 2"/>
    <w:basedOn w:val="Heading2"/>
    <w:rsid w:val="008C122C"/>
    <w:pPr>
      <w:numPr>
        <w:numId w:val="13"/>
      </w:numPr>
      <w:spacing w:after="240"/>
    </w:pPr>
    <w:rPr>
      <w:rFonts w:cs="Arial"/>
      <w:b w:val="0"/>
    </w:rPr>
  </w:style>
  <w:style w:type="paragraph" w:customStyle="1" w:styleId="Instructionsberschrift3">
    <w:name w:val="Instructions Überschrift 3"/>
    <w:basedOn w:val="Heading3"/>
    <w:link w:val="Instructionsberschrift3Zchn"/>
    <w:rsid w:val="006746DB"/>
    <w:pPr>
      <w:numPr>
        <w:numId w:val="14"/>
      </w:numPr>
      <w:spacing w:before="240" w:after="60" w:line="360" w:lineRule="auto"/>
    </w:pPr>
    <w:rPr>
      <w:szCs w:val="26"/>
      <w:u w:val="single"/>
    </w:rPr>
  </w:style>
  <w:style w:type="character" w:customStyle="1" w:styleId="Instructionsberschrift3Zchn">
    <w:name w:val="Instructions Überschrift 3 Zchn"/>
    <w:link w:val="Instructionsberschrift3"/>
    <w:locked/>
    <w:rsid w:val="006746DB"/>
    <w:rPr>
      <w:rFonts w:ascii="Verdana" w:eastAsia="Times New Roman" w:hAnsi="Verdana" w:cs="Arial"/>
      <w:b/>
      <w:szCs w:val="26"/>
      <w:u w:val="single"/>
      <w:lang w:val="fr-FR" w:eastAsia="fr-FR"/>
    </w:rPr>
  </w:style>
  <w:style w:type="paragraph" w:customStyle="1" w:styleId="Instructionsberschrift4">
    <w:name w:val="Instructions Überschrift 4"/>
    <w:basedOn w:val="Heading4"/>
    <w:next w:val="InstructionsText"/>
    <w:link w:val="Instructionsberschrift4Char"/>
    <w:uiPriority w:val="99"/>
    <w:rsid w:val="00884FEB"/>
    <w:pPr>
      <w:tabs>
        <w:tab w:val="left" w:pos="1520"/>
      </w:tabs>
      <w:autoSpaceDE w:val="0"/>
      <w:autoSpaceDN w:val="0"/>
      <w:adjustRightInd w:val="0"/>
      <w:spacing w:before="240" w:after="240"/>
      <w:ind w:left="970" w:hanging="970"/>
    </w:pPr>
    <w:rPr>
      <w:bCs/>
    </w:rPr>
  </w:style>
  <w:style w:type="paragraph" w:customStyle="1" w:styleId="InstructionsText">
    <w:name w:val="Instructions Text"/>
    <w:basedOn w:val="Normal"/>
    <w:link w:val="InstructionsTextChar"/>
    <w:autoRedefine/>
    <w:rsid w:val="00AE1CD7"/>
    <w:pPr>
      <w:spacing w:before="0" w:after="0"/>
      <w:ind w:left="33"/>
    </w:pPr>
    <w:rPr>
      <w:szCs w:val="17"/>
      <w:u w:val="single"/>
    </w:rPr>
  </w:style>
  <w:style w:type="character" w:customStyle="1" w:styleId="Instructionsberschrift4Char">
    <w:name w:val="Instructions Überschrift 4 Char"/>
    <w:link w:val="Instructionsberschrift4"/>
    <w:uiPriority w:val="99"/>
    <w:locked/>
    <w:rsid w:val="00884FEB"/>
    <w:rPr>
      <w:rFonts w:ascii="Verdana" w:eastAsia="Times New Roman" w:hAnsi="Verdana"/>
      <w:b/>
      <w:bCs/>
      <w:szCs w:val="24"/>
      <w:u w:val="single"/>
      <w:lang w:val="fr-FR" w:eastAsia="fr-FR"/>
    </w:rPr>
  </w:style>
  <w:style w:type="character" w:customStyle="1" w:styleId="InstructionsTabelleberschrift">
    <w:name w:val="Instructions Tabelle Überschrift"/>
    <w:qFormat/>
    <w:rsid w:val="00884FEB"/>
    <w:rPr>
      <w:rFonts w:ascii="Verdana" w:hAnsi="Verdana" w:cs="Times New Roman"/>
      <w:b/>
      <w:bCs/>
      <w:sz w:val="20"/>
      <w:u w:val="single"/>
    </w:rPr>
  </w:style>
  <w:style w:type="character" w:customStyle="1" w:styleId="InstructionsTabelleText">
    <w:name w:val="Instructions Tabelle Text"/>
    <w:rsid w:val="00884FEB"/>
    <w:rPr>
      <w:rFonts w:ascii="Verdana" w:hAnsi="Verdana" w:cs="Times New Roman"/>
      <w:sz w:val="20"/>
    </w:rPr>
  </w:style>
  <w:style w:type="character" w:customStyle="1" w:styleId="FormatvorlageInstructionsTabelleText">
    <w:name w:val="Formatvorlage Instructions Tabelle Text"/>
    <w:uiPriority w:val="99"/>
    <w:qFormat/>
    <w:rsid w:val="00412D44"/>
    <w:rPr>
      <w:rFonts w:ascii="Verdana" w:hAnsi="Verdana" w:cs="Times New Roman"/>
      <w:bCs/>
      <w:sz w:val="20"/>
      <w:u w:val="none"/>
    </w:rPr>
  </w:style>
  <w:style w:type="paragraph" w:customStyle="1" w:styleId="FormatvorlageInstructionsberschrift3Links0cmErsteZeile0cm">
    <w:name w:val="Formatvorlage Instructions Überschrift 3 + Links:  0 cm Erste Zeile:  0 cm"/>
    <w:basedOn w:val="Instructionsberschrift3"/>
    <w:next w:val="Instructionsberschrift3"/>
    <w:uiPriority w:val="99"/>
    <w:rsid w:val="00884FEB"/>
    <w:pPr>
      <w:ind w:left="0" w:firstLine="0"/>
    </w:pPr>
    <w:rPr>
      <w:szCs w:val="20"/>
    </w:rPr>
  </w:style>
  <w:style w:type="paragraph" w:customStyle="1" w:styleId="Texte2">
    <w:name w:val="Texte 2"/>
    <w:basedOn w:val="Normal"/>
    <w:uiPriority w:val="99"/>
    <w:rsid w:val="00884FEB"/>
    <w:pPr>
      <w:spacing w:after="0"/>
      <w:ind w:left="567"/>
    </w:pPr>
    <w:rPr>
      <w:sz w:val="22"/>
      <w:szCs w:val="20"/>
    </w:rPr>
  </w:style>
  <w:style w:type="paragraph" w:customStyle="1" w:styleId="Prrafodelista1">
    <w:name w:val="Párrafo de lista1"/>
    <w:basedOn w:val="Normal"/>
    <w:uiPriority w:val="99"/>
    <w:rsid w:val="00884FEB"/>
    <w:pPr>
      <w:ind w:left="720"/>
    </w:pPr>
  </w:style>
  <w:style w:type="paragraph" w:customStyle="1" w:styleId="Prrafodelista2">
    <w:name w:val="Párrafo de lista2"/>
    <w:basedOn w:val="Normal"/>
    <w:uiPriority w:val="99"/>
    <w:rsid w:val="00884FEB"/>
    <w:pPr>
      <w:ind w:left="708"/>
    </w:pPr>
  </w:style>
  <w:style w:type="paragraph" w:styleId="PlainText">
    <w:name w:val="Plain Text"/>
    <w:basedOn w:val="Normal"/>
    <w:link w:val="PlainTextChar"/>
    <w:uiPriority w:val="99"/>
    <w:rsid w:val="00884FEB"/>
    <w:pPr>
      <w:spacing w:before="0" w:after="0"/>
      <w:jc w:val="left"/>
    </w:pPr>
    <w:rPr>
      <w:szCs w:val="20"/>
    </w:rPr>
  </w:style>
  <w:style w:type="character" w:customStyle="1" w:styleId="PlainTextChar">
    <w:name w:val="Plain Text Char"/>
    <w:link w:val="PlainText"/>
    <w:uiPriority w:val="99"/>
    <w:rsid w:val="00884FEB"/>
    <w:rPr>
      <w:rFonts w:ascii="Verdana" w:eastAsia="Times New Roman" w:hAnsi="Verdana" w:cs="Times New Roman"/>
      <w:sz w:val="20"/>
      <w:szCs w:val="20"/>
      <w:lang w:val="fr-FR" w:eastAsia="fr-FR"/>
    </w:rPr>
  </w:style>
  <w:style w:type="paragraph" w:customStyle="1" w:styleId="Listenabsatz1">
    <w:name w:val="Listenabsatz1"/>
    <w:basedOn w:val="Normal"/>
    <w:uiPriority w:val="99"/>
    <w:rsid w:val="00884FEB"/>
    <w:pPr>
      <w:ind w:left="708"/>
    </w:pPr>
  </w:style>
  <w:style w:type="character" w:customStyle="1" w:styleId="InstructionsTextChar">
    <w:name w:val="Instructions Text Char"/>
    <w:link w:val="InstructionsText"/>
    <w:locked/>
    <w:rsid w:val="00AE1CD7"/>
    <w:rPr>
      <w:rFonts w:ascii="Verdana" w:eastAsia="Times New Roman" w:hAnsi="Verdana" w:cs="Times New Roman"/>
      <w:sz w:val="20"/>
      <w:szCs w:val="17"/>
      <w:u w:val="single"/>
      <w:lang w:val="fr-FR" w:eastAsia="fr-FR"/>
    </w:rPr>
  </w:style>
  <w:style w:type="paragraph" w:styleId="Revision">
    <w:name w:val="Revision"/>
    <w:hidden/>
    <w:uiPriority w:val="99"/>
    <w:semiHidden/>
    <w:rsid w:val="00884FEB"/>
    <w:rPr>
      <w:rFonts w:ascii="Verdana" w:eastAsia="Times New Roman" w:hAnsi="Verdana"/>
      <w:szCs w:val="24"/>
    </w:rPr>
  </w:style>
  <w:style w:type="paragraph" w:styleId="ListParagraph">
    <w:name w:val="List Paragraph"/>
    <w:basedOn w:val="Normal"/>
    <w:uiPriority w:val="99"/>
    <w:qFormat/>
    <w:rsid w:val="00884FEB"/>
    <w:pPr>
      <w:ind w:left="708"/>
    </w:pPr>
  </w:style>
  <w:style w:type="character" w:styleId="PlaceholderText">
    <w:name w:val="Placeholder Text"/>
    <w:uiPriority w:val="99"/>
    <w:semiHidden/>
    <w:rsid w:val="00D946DB"/>
    <w:rPr>
      <w:color w:val="808080"/>
    </w:rPr>
  </w:style>
  <w:style w:type="paragraph" w:customStyle="1" w:styleId="InstructionsText2">
    <w:name w:val="Instructions Text 2"/>
    <w:basedOn w:val="InstructionsText"/>
    <w:qFormat/>
    <w:rsid w:val="00F620A2"/>
    <w:pPr>
      <w:numPr>
        <w:numId w:val="16"/>
      </w:numPr>
      <w:spacing w:after="240"/>
    </w:pPr>
  </w:style>
  <w:style w:type="character" w:customStyle="1" w:styleId="Instructionsberschrift3Char">
    <w:name w:val="Instructions Überschrift 3 Char"/>
    <w:locked/>
    <w:rsid w:val="003B3DBB"/>
    <w:rPr>
      <w:rFonts w:ascii="Verdana" w:hAnsi="Verdana" w:cs="Arial"/>
      <w:b/>
      <w:bCs/>
      <w:szCs w:val="26"/>
      <w:u w:val="single"/>
      <w:lang w:val="fr-FR" w:eastAsia="fr-FR" w:bidi="fr-FR"/>
    </w:rPr>
  </w:style>
  <w:style w:type="paragraph" w:customStyle="1" w:styleId="CM4">
    <w:name w:val="CM4"/>
    <w:basedOn w:val="Normal"/>
    <w:next w:val="Normal"/>
    <w:uiPriority w:val="99"/>
    <w:rsid w:val="008815DE"/>
    <w:pPr>
      <w:autoSpaceDE w:val="0"/>
      <w:autoSpaceDN w:val="0"/>
      <w:adjustRightInd w:val="0"/>
      <w:spacing w:before="0" w:after="0"/>
      <w:jc w:val="left"/>
    </w:pPr>
    <w:rPr>
      <w:rFonts w:ascii="Times New Roman" w:eastAsia="Arial" w:hAnsi="Times New Roman"/>
      <w:sz w:val="24"/>
    </w:rPr>
  </w:style>
  <w:style w:type="numbering" w:customStyle="1" w:styleId="Formatvorlage3">
    <w:name w:val="Formatvorlage3"/>
    <w:uiPriority w:val="99"/>
    <w:rsid w:val="00DE0962"/>
    <w:pPr>
      <w:numPr>
        <w:numId w:val="17"/>
      </w:numPr>
    </w:pPr>
  </w:style>
  <w:style w:type="paragraph" w:styleId="DocumentMap">
    <w:name w:val="Document Map"/>
    <w:basedOn w:val="Normal"/>
    <w:link w:val="DocumentMapChar"/>
    <w:uiPriority w:val="99"/>
    <w:semiHidden/>
    <w:unhideWhenUsed/>
    <w:rsid w:val="0088630E"/>
    <w:pPr>
      <w:spacing w:before="0" w:after="0"/>
    </w:pPr>
    <w:rPr>
      <w:rFonts w:ascii="Tahoma" w:hAnsi="Tahoma"/>
      <w:sz w:val="16"/>
      <w:szCs w:val="16"/>
    </w:rPr>
  </w:style>
  <w:style w:type="character" w:customStyle="1" w:styleId="DocumentMapChar">
    <w:name w:val="Document Map Char"/>
    <w:link w:val="DocumentMap"/>
    <w:uiPriority w:val="99"/>
    <w:semiHidden/>
    <w:rsid w:val="0088630E"/>
    <w:rPr>
      <w:rFonts w:ascii="Tahoma" w:eastAsia="Times New Roman" w:hAnsi="Tahoma" w:cs="Tahoma"/>
      <w:sz w:val="16"/>
      <w:szCs w:val="16"/>
      <w:lang w:val="fr-FR"/>
    </w:rPr>
  </w:style>
  <w:style w:type="numbering" w:customStyle="1" w:styleId="Formatvorlage4">
    <w:name w:val="Formatvorlage4"/>
    <w:uiPriority w:val="99"/>
    <w:rsid w:val="00FB1D44"/>
    <w:pPr>
      <w:numPr>
        <w:numId w:val="19"/>
      </w:numPr>
    </w:pPr>
  </w:style>
  <w:style w:type="paragraph" w:customStyle="1" w:styleId="Titrearticle">
    <w:name w:val="Titre article"/>
    <w:basedOn w:val="Normal"/>
    <w:next w:val="Normal"/>
    <w:rsid w:val="00C87CEE"/>
    <w:pPr>
      <w:keepNext/>
      <w:spacing w:before="360"/>
      <w:jc w:val="center"/>
    </w:pPr>
    <w:rPr>
      <w:rFonts w:ascii="Times New Roman" w:hAnsi="Times New Roman"/>
      <w:i/>
      <w:sz w:val="24"/>
    </w:rPr>
  </w:style>
  <w:style w:type="paragraph" w:customStyle="1" w:styleId="Baseparagraphnumbered">
    <w:name w:val="Base paragraph numbered"/>
    <w:basedOn w:val="Normal"/>
    <w:link w:val="BaseparagraphnumberedChar"/>
    <w:qFormat/>
    <w:rsid w:val="00C87CEE"/>
    <w:pPr>
      <w:numPr>
        <w:numId w:val="20"/>
      </w:numPr>
      <w:spacing w:before="0" w:after="240"/>
    </w:pPr>
    <w:rPr>
      <w:rFonts w:ascii="Times New Roman" w:hAnsi="Times New Roman"/>
      <w:sz w:val="24"/>
    </w:rPr>
  </w:style>
  <w:style w:type="character" w:customStyle="1" w:styleId="BaseparagraphnumberedChar">
    <w:name w:val="Base paragraph numbered Char"/>
    <w:link w:val="Baseparagraphnumbered"/>
    <w:rsid w:val="00C87CEE"/>
    <w:rPr>
      <w:rFonts w:ascii="Times New Roman" w:eastAsia="Times New Roman" w:hAnsi="Times New Roman"/>
      <w:sz w:val="24"/>
      <w:szCs w:val="24"/>
      <w:lang w:val="fr-FR"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Times New Roman"/>
        <w:lang w:val="fr-FR" w:eastAsia="fr-FR" w:bidi="fr-FR"/>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qFormat="1"/>
    <w:lsdException w:name="heading 3" w:qFormat="1"/>
    <w:lsdException w:name="heading 4" w:qFormat="1"/>
    <w:lsdException w:name="heading 5" w:uiPriority="1" w:qFormat="1"/>
    <w:lsdException w:name="heading 6" w:uiPriority="0"/>
    <w:lsdException w:name="heading 7" w:uiPriority="0"/>
    <w:lsdException w:name="heading 8" w:uiPriority="0"/>
    <w:lsdException w:name="heading 9" w:uiPriority="0"/>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0"/>
    <w:lsdException w:name="table of figures" w:uiPriority="0"/>
    <w:lsdException w:name="footnote reference" w:uiPriority="0"/>
    <w:lsdException w:name="endnote reference" w:semiHidden="0" w:uiPriority="1" w:unhideWhenUsed="0"/>
    <w:lsdException w:name="endnote text" w:semiHidden="0" w:uiPriority="1" w:unhideWhenUsed="0"/>
    <w:lsdException w:name="Title" w:uiPriority="10" w:unhideWhenUsed="0"/>
    <w:lsdException w:name="Default Paragraph Font" w:uiPriority="1"/>
    <w:lsdException w:name="Subtitle" w:uiPriority="11" w:unhideWhenUsed="0"/>
    <w:lsdException w:name="Strong" w:uiPriority="22" w:unhideWhenUsed="0"/>
    <w:lsdException w:name="Emphasis" w:uiPriority="20" w:unhideWhenUsed="0"/>
    <w:lsdException w:name="Table Grid" w:semiHidden="0" w:uiPriority="59" w:unhideWhenUsed="0"/>
    <w:lsdException w:name="Placeholder Text" w:unhideWhenUsed="0"/>
    <w:lsdException w:name="No Spacing"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nhideWhenUsed="0" w:qFormat="1"/>
    <w:lsdException w:name="Quote" w:semiHidden="0" w:uiPriority="29" w:unhideWhenUsed="0"/>
    <w:lsdException w:name="Intense Quote"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unhideWhenUsed="0"/>
    <w:lsdException w:name="Intense Emphasis" w:uiPriority="21" w:unhideWhenUsed="0"/>
    <w:lsdException w:name="Subtle Reference" w:uiPriority="31" w:unhideWhenUsed="0"/>
    <w:lsdException w:name="Intense Reference" w:uiPriority="32" w:unhideWhenUsed="0"/>
    <w:lsdException w:name="Book Title" w:uiPriority="33" w:unhideWhenUsed="0"/>
    <w:lsdException w:name="Bibliography" w:uiPriority="37"/>
    <w:lsdException w:name="TOC Heading" w:uiPriority="39" w:qFormat="1"/>
  </w:latentStyles>
  <w:style w:type="paragraph" w:default="1" w:styleId="Normal">
    <w:name w:val="Normal"/>
    <w:qFormat/>
    <w:rsid w:val="00884FEB"/>
    <w:pPr>
      <w:spacing w:before="120" w:after="120"/>
      <w:jc w:val="both"/>
    </w:pPr>
    <w:rPr>
      <w:rFonts w:ascii="Verdana" w:eastAsia="Times New Roman" w:hAnsi="Verdana"/>
      <w:szCs w:val="24"/>
    </w:rPr>
  </w:style>
  <w:style w:type="paragraph" w:styleId="Heading1">
    <w:name w:val="heading 1"/>
    <w:basedOn w:val="Normal"/>
    <w:next w:val="Normal"/>
    <w:link w:val="Heading1Char"/>
    <w:autoRedefine/>
    <w:qFormat/>
    <w:rsid w:val="005A6305"/>
    <w:pPr>
      <w:keepNext/>
      <w:autoSpaceDE w:val="0"/>
      <w:autoSpaceDN w:val="0"/>
      <w:adjustRightInd w:val="0"/>
      <w:spacing w:before="0" w:after="0"/>
      <w:jc w:val="left"/>
      <w:outlineLvl w:val="0"/>
    </w:pPr>
    <w:rPr>
      <w:b/>
      <w:szCs w:val="20"/>
      <w:u w:val="single"/>
    </w:rPr>
  </w:style>
  <w:style w:type="paragraph" w:styleId="Heading2">
    <w:name w:val="heading 2"/>
    <w:basedOn w:val="Normal"/>
    <w:next w:val="Normal"/>
    <w:link w:val="Heading2Char"/>
    <w:autoRedefine/>
    <w:uiPriority w:val="99"/>
    <w:qFormat/>
    <w:rsid w:val="001E5A75"/>
    <w:pPr>
      <w:keepNext/>
      <w:spacing w:before="240"/>
      <w:outlineLvl w:val="1"/>
    </w:pPr>
    <w:rPr>
      <w:b/>
      <w:u w:val="single"/>
    </w:rPr>
  </w:style>
  <w:style w:type="paragraph" w:styleId="Heading3">
    <w:name w:val="heading 3"/>
    <w:basedOn w:val="Normal"/>
    <w:next w:val="Normal"/>
    <w:link w:val="Heading3Char1"/>
    <w:autoRedefine/>
    <w:uiPriority w:val="99"/>
    <w:qFormat/>
    <w:rsid w:val="001E5A75"/>
    <w:pPr>
      <w:keepNext/>
      <w:spacing w:before="180"/>
      <w:outlineLvl w:val="2"/>
    </w:pPr>
    <w:rPr>
      <w:rFonts w:ascii="Arial" w:eastAsia="Arial" w:hAnsi="Arial"/>
      <w:b/>
      <w:szCs w:val="20"/>
    </w:rPr>
  </w:style>
  <w:style w:type="paragraph" w:styleId="Heading4">
    <w:name w:val="heading 4"/>
    <w:basedOn w:val="Normal"/>
    <w:next w:val="Normal"/>
    <w:link w:val="Heading4Char"/>
    <w:autoRedefine/>
    <w:uiPriority w:val="99"/>
    <w:qFormat/>
    <w:rsid w:val="00DE0962"/>
    <w:pPr>
      <w:keepNext/>
      <w:numPr>
        <w:numId w:val="18"/>
      </w:numPr>
      <w:spacing w:before="160"/>
      <w:outlineLvl w:val="3"/>
    </w:pPr>
    <w:rPr>
      <w:b/>
      <w:u w:val="single"/>
    </w:rPr>
  </w:style>
  <w:style w:type="paragraph" w:styleId="Heading5">
    <w:name w:val="heading 5"/>
    <w:basedOn w:val="Normal"/>
    <w:next w:val="Normal"/>
    <w:link w:val="Heading5Char"/>
    <w:autoRedefine/>
    <w:uiPriority w:val="1"/>
    <w:qFormat/>
    <w:rsid w:val="001E5A75"/>
    <w:pPr>
      <w:keepNext/>
      <w:spacing w:before="140"/>
      <w:outlineLvl w:val="4"/>
    </w:pPr>
    <w:rPr>
      <w:rFonts w:ascii="Arial" w:eastAsia="Arial" w:hAnsi="Arial"/>
      <w:b/>
      <w:i/>
      <w:szCs w:val="20"/>
    </w:rPr>
  </w:style>
  <w:style w:type="paragraph" w:styleId="Heading6">
    <w:name w:val="heading 6"/>
    <w:basedOn w:val="Normal"/>
    <w:next w:val="Normal"/>
    <w:link w:val="Heading6Char"/>
    <w:semiHidden/>
    <w:unhideWhenUsed/>
    <w:rsid w:val="001E5A75"/>
    <w:pPr>
      <w:spacing w:before="240" w:after="60"/>
      <w:outlineLvl w:val="5"/>
    </w:pPr>
    <w:rPr>
      <w:rFonts w:ascii="Times New Roman" w:eastAsia="Arial" w:hAnsi="Times New Roman"/>
      <w:b/>
      <w:bCs/>
      <w:szCs w:val="20"/>
    </w:rPr>
  </w:style>
  <w:style w:type="paragraph" w:styleId="Heading7">
    <w:name w:val="heading 7"/>
    <w:basedOn w:val="Normal"/>
    <w:next w:val="Normal"/>
    <w:link w:val="Heading7Char"/>
    <w:semiHidden/>
    <w:unhideWhenUsed/>
    <w:rsid w:val="001E5A75"/>
    <w:pPr>
      <w:spacing w:before="240" w:after="60"/>
      <w:outlineLvl w:val="6"/>
    </w:pPr>
    <w:rPr>
      <w:rFonts w:ascii="Times New Roman" w:eastAsia="Arial" w:hAnsi="Times New Roman"/>
      <w:sz w:val="24"/>
      <w:szCs w:val="20"/>
    </w:rPr>
  </w:style>
  <w:style w:type="paragraph" w:styleId="Heading8">
    <w:name w:val="heading 8"/>
    <w:basedOn w:val="Normal"/>
    <w:next w:val="Normal"/>
    <w:link w:val="Heading8Char"/>
    <w:semiHidden/>
    <w:unhideWhenUsed/>
    <w:rsid w:val="001E5A75"/>
    <w:pPr>
      <w:spacing w:before="240" w:after="60"/>
      <w:outlineLvl w:val="7"/>
    </w:pPr>
    <w:rPr>
      <w:rFonts w:ascii="Times New Roman" w:eastAsia="Arial" w:hAnsi="Times New Roman"/>
      <w:i/>
      <w:iCs/>
      <w:sz w:val="24"/>
      <w:szCs w:val="20"/>
    </w:rPr>
  </w:style>
  <w:style w:type="paragraph" w:styleId="Heading9">
    <w:name w:val="heading 9"/>
    <w:basedOn w:val="Normal"/>
    <w:next w:val="Normal"/>
    <w:link w:val="Heading9Char"/>
    <w:semiHidden/>
    <w:unhideWhenUsed/>
    <w:rsid w:val="001E5A75"/>
    <w:pPr>
      <w:spacing w:before="240" w:after="60"/>
      <w:outlineLvl w:val="8"/>
    </w:pPr>
    <w:rPr>
      <w:rFonts w:ascii="Arial" w:eastAsia="Arial" w:hAnsi="Arial"/>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5A6305"/>
    <w:rPr>
      <w:rFonts w:ascii="Verdana" w:eastAsia="Times New Roman" w:hAnsi="Verdana" w:cs="Times New Roman"/>
      <w:b/>
      <w:sz w:val="20"/>
      <w:szCs w:val="20"/>
      <w:u w:val="single"/>
      <w:lang w:val="fr-FR"/>
    </w:rPr>
  </w:style>
  <w:style w:type="paragraph" w:styleId="TableofFigures">
    <w:name w:val="table of figures"/>
    <w:basedOn w:val="Normal"/>
    <w:next w:val="Normal"/>
    <w:semiHidden/>
    <w:rsid w:val="001E5A75"/>
    <w:pPr>
      <w:ind w:left="440" w:hanging="440"/>
    </w:pPr>
  </w:style>
  <w:style w:type="paragraph" w:customStyle="1" w:styleId="Aufzhlungszeichen1">
    <w:name w:val="Aufzählungszeichen1"/>
    <w:basedOn w:val="Normal"/>
    <w:uiPriority w:val="1"/>
    <w:qFormat/>
    <w:rsid w:val="001E5A75"/>
    <w:pPr>
      <w:numPr>
        <w:numId w:val="1"/>
      </w:numPr>
      <w:spacing w:line="240" w:lineRule="exact"/>
    </w:pPr>
  </w:style>
  <w:style w:type="paragraph" w:customStyle="1" w:styleId="Aufzhlungszeichen2">
    <w:name w:val="Aufzählungszeichen2"/>
    <w:basedOn w:val="Normal"/>
    <w:uiPriority w:val="1"/>
    <w:qFormat/>
    <w:rsid w:val="001E5A75"/>
    <w:pPr>
      <w:numPr>
        <w:numId w:val="2"/>
      </w:numPr>
      <w:spacing w:line="240" w:lineRule="exact"/>
    </w:pPr>
  </w:style>
  <w:style w:type="paragraph" w:customStyle="1" w:styleId="Aufzhlungszeichen3">
    <w:name w:val="Aufzählungszeichen3"/>
    <w:basedOn w:val="Normal"/>
    <w:uiPriority w:val="1"/>
    <w:qFormat/>
    <w:rsid w:val="001E5A75"/>
    <w:pPr>
      <w:numPr>
        <w:numId w:val="3"/>
      </w:numPr>
      <w:spacing w:line="240" w:lineRule="exact"/>
    </w:pPr>
  </w:style>
  <w:style w:type="paragraph" w:customStyle="1" w:styleId="Aufzhlungszeichen4">
    <w:name w:val="Aufzählungszeichen4"/>
    <w:basedOn w:val="Normal"/>
    <w:uiPriority w:val="1"/>
    <w:qFormat/>
    <w:rsid w:val="001E5A75"/>
    <w:pPr>
      <w:numPr>
        <w:numId w:val="4"/>
      </w:numPr>
      <w:spacing w:line="240" w:lineRule="exact"/>
    </w:pPr>
  </w:style>
  <w:style w:type="numbering" w:customStyle="1" w:styleId="Formatvorlage1">
    <w:name w:val="Formatvorlage1"/>
    <w:uiPriority w:val="99"/>
    <w:rsid w:val="001E5A75"/>
    <w:pPr>
      <w:numPr>
        <w:numId w:val="5"/>
      </w:numPr>
    </w:pPr>
  </w:style>
  <w:style w:type="numbering" w:customStyle="1" w:styleId="Formatvorlage2">
    <w:name w:val="Formatvorlage2"/>
    <w:uiPriority w:val="99"/>
    <w:rsid w:val="001E5A75"/>
    <w:pPr>
      <w:numPr>
        <w:numId w:val="6"/>
      </w:numPr>
    </w:pPr>
  </w:style>
  <w:style w:type="paragraph" w:styleId="FootnoteText">
    <w:name w:val="footnote text"/>
    <w:basedOn w:val="Normal"/>
    <w:link w:val="FootnoteTextChar"/>
    <w:rsid w:val="00C2636B"/>
    <w:pPr>
      <w:spacing w:line="180" w:lineRule="exact"/>
      <w:ind w:left="142" w:hanging="142"/>
    </w:pPr>
    <w:rPr>
      <w:rFonts w:ascii="Arial" w:eastAsia="Arial" w:hAnsi="Arial"/>
      <w:sz w:val="16"/>
      <w:szCs w:val="16"/>
    </w:rPr>
  </w:style>
  <w:style w:type="character" w:customStyle="1" w:styleId="FootnoteTextChar">
    <w:name w:val="Footnote Text Char"/>
    <w:link w:val="FootnoteText"/>
    <w:rsid w:val="00C2636B"/>
    <w:rPr>
      <w:rFonts w:ascii="Arial" w:hAnsi="Arial"/>
      <w:sz w:val="16"/>
      <w:szCs w:val="16"/>
      <w:lang w:eastAsia="fr-FR"/>
    </w:rPr>
  </w:style>
  <w:style w:type="character" w:styleId="FootnoteReference">
    <w:name w:val="footnote reference"/>
    <w:rsid w:val="001E5A75"/>
    <w:rPr>
      <w:rFonts w:ascii="Arial" w:hAnsi="Arial"/>
      <w:dstrike w:val="0"/>
      <w:kern w:val="0"/>
      <w:position w:val="4"/>
      <w:sz w:val="12"/>
      <w:szCs w:val="12"/>
      <w:vertAlign w:val="baseline"/>
    </w:rPr>
  </w:style>
  <w:style w:type="paragraph" w:styleId="Footer">
    <w:name w:val="footer"/>
    <w:basedOn w:val="Normal"/>
    <w:link w:val="FooterChar"/>
    <w:uiPriority w:val="99"/>
    <w:rsid w:val="001E5A75"/>
    <w:pPr>
      <w:tabs>
        <w:tab w:val="center" w:pos="4536"/>
        <w:tab w:val="right" w:pos="9072"/>
      </w:tabs>
    </w:pPr>
    <w:rPr>
      <w:rFonts w:ascii="Arial" w:eastAsia="Arial" w:hAnsi="Arial"/>
      <w:szCs w:val="14"/>
    </w:rPr>
  </w:style>
  <w:style w:type="character" w:customStyle="1" w:styleId="FooterChar">
    <w:name w:val="Footer Char"/>
    <w:link w:val="Footer"/>
    <w:uiPriority w:val="99"/>
    <w:rsid w:val="001E5A75"/>
    <w:rPr>
      <w:rFonts w:ascii="Arial" w:hAnsi="Arial"/>
      <w:szCs w:val="14"/>
      <w:lang w:eastAsia="fr-FR"/>
    </w:rPr>
  </w:style>
  <w:style w:type="paragraph" w:customStyle="1" w:styleId="GliederungmitAufzhlung">
    <w:name w:val="Gliederung mit Aufzählung"/>
    <w:basedOn w:val="Normal"/>
    <w:uiPriority w:val="1"/>
    <w:qFormat/>
    <w:rsid w:val="001E5A75"/>
    <w:pPr>
      <w:numPr>
        <w:numId w:val="7"/>
      </w:numPr>
      <w:spacing w:line="312" w:lineRule="auto"/>
    </w:pPr>
  </w:style>
  <w:style w:type="paragraph" w:customStyle="1" w:styleId="GliederungmitNummerierung">
    <w:name w:val="Gliederung mit Nummerierung"/>
    <w:basedOn w:val="Normal"/>
    <w:uiPriority w:val="1"/>
    <w:qFormat/>
    <w:rsid w:val="001E5A75"/>
    <w:pPr>
      <w:numPr>
        <w:numId w:val="8"/>
      </w:numPr>
      <w:spacing w:line="312" w:lineRule="auto"/>
    </w:pPr>
  </w:style>
  <w:style w:type="paragraph" w:customStyle="1" w:styleId="HngEinrckung1">
    <w:name w:val="Häng. Einrückung1"/>
    <w:basedOn w:val="Normal"/>
    <w:uiPriority w:val="1"/>
    <w:qFormat/>
    <w:rsid w:val="001E5A75"/>
    <w:pPr>
      <w:spacing w:line="312" w:lineRule="auto"/>
      <w:ind w:left="567" w:hanging="567"/>
    </w:pPr>
  </w:style>
  <w:style w:type="paragraph" w:customStyle="1" w:styleId="HngEinrckung2">
    <w:name w:val="Häng. Einrückung2"/>
    <w:basedOn w:val="Normal"/>
    <w:uiPriority w:val="1"/>
    <w:qFormat/>
    <w:rsid w:val="001E5A75"/>
    <w:pPr>
      <w:spacing w:line="312" w:lineRule="auto"/>
      <w:ind w:left="1134" w:hanging="567"/>
    </w:pPr>
  </w:style>
  <w:style w:type="paragraph" w:customStyle="1" w:styleId="HngEinrckung3">
    <w:name w:val="Häng. Einrückung3"/>
    <w:basedOn w:val="Normal"/>
    <w:uiPriority w:val="1"/>
    <w:qFormat/>
    <w:rsid w:val="001E5A75"/>
    <w:pPr>
      <w:spacing w:line="312" w:lineRule="auto"/>
      <w:ind w:left="1701" w:hanging="567"/>
    </w:pPr>
  </w:style>
  <w:style w:type="character" w:styleId="Hyperlink">
    <w:name w:val="Hyperlink"/>
    <w:uiPriority w:val="99"/>
    <w:rsid w:val="001E5A75"/>
    <w:rPr>
      <w:color w:val="0000FF"/>
      <w:u w:val="single"/>
    </w:rPr>
  </w:style>
  <w:style w:type="paragraph" w:styleId="Header">
    <w:name w:val="header"/>
    <w:basedOn w:val="Normal"/>
    <w:link w:val="HeaderChar"/>
    <w:uiPriority w:val="99"/>
    <w:rsid w:val="001E5A75"/>
    <w:pPr>
      <w:tabs>
        <w:tab w:val="center" w:pos="4536"/>
        <w:tab w:val="right" w:pos="9072"/>
      </w:tabs>
    </w:pPr>
    <w:rPr>
      <w:rFonts w:ascii="Arial" w:eastAsia="Arial" w:hAnsi="Arial"/>
      <w:szCs w:val="20"/>
    </w:rPr>
  </w:style>
  <w:style w:type="character" w:customStyle="1" w:styleId="HeaderChar">
    <w:name w:val="Header Char"/>
    <w:link w:val="Header"/>
    <w:uiPriority w:val="99"/>
    <w:rsid w:val="001E5A75"/>
    <w:rPr>
      <w:rFonts w:ascii="Arial" w:hAnsi="Arial"/>
      <w:szCs w:val="20"/>
      <w:lang w:eastAsia="fr-FR"/>
    </w:rPr>
  </w:style>
  <w:style w:type="paragraph" w:customStyle="1" w:styleId="Marginalspalte">
    <w:name w:val="Marginalspalte"/>
    <w:basedOn w:val="Normal"/>
    <w:uiPriority w:val="1"/>
    <w:qFormat/>
    <w:rsid w:val="001E5A75"/>
    <w:pPr>
      <w:framePr w:w="851" w:h="851" w:hSpace="284" w:wrap="around" w:vAnchor="text" w:hAnchor="page" w:y="1"/>
    </w:pPr>
    <w:rPr>
      <w:i/>
      <w:szCs w:val="22"/>
    </w:rPr>
  </w:style>
  <w:style w:type="paragraph" w:customStyle="1" w:styleId="Nummerierungsart1">
    <w:name w:val="Nummerierungsart1"/>
    <w:basedOn w:val="Normal"/>
    <w:uiPriority w:val="1"/>
    <w:qFormat/>
    <w:rsid w:val="001E5A75"/>
    <w:pPr>
      <w:numPr>
        <w:numId w:val="9"/>
      </w:numPr>
    </w:pPr>
  </w:style>
  <w:style w:type="paragraph" w:customStyle="1" w:styleId="Nummerierungsart2">
    <w:name w:val="Nummerierungsart2"/>
    <w:basedOn w:val="Normal"/>
    <w:uiPriority w:val="1"/>
    <w:qFormat/>
    <w:rsid w:val="001E5A75"/>
    <w:pPr>
      <w:numPr>
        <w:numId w:val="10"/>
      </w:numPr>
    </w:pPr>
  </w:style>
  <w:style w:type="paragraph" w:customStyle="1" w:styleId="Nummerierungsart3">
    <w:name w:val="Nummerierungsart3"/>
    <w:basedOn w:val="Normal"/>
    <w:uiPriority w:val="1"/>
    <w:qFormat/>
    <w:rsid w:val="001E5A75"/>
    <w:pPr>
      <w:numPr>
        <w:numId w:val="11"/>
      </w:numPr>
    </w:pPr>
  </w:style>
  <w:style w:type="paragraph" w:customStyle="1" w:styleId="Nummerierungsart4">
    <w:name w:val="Nummerierungsart4"/>
    <w:basedOn w:val="Normal"/>
    <w:uiPriority w:val="1"/>
    <w:qFormat/>
    <w:rsid w:val="001E5A75"/>
    <w:pPr>
      <w:numPr>
        <w:numId w:val="12"/>
      </w:numPr>
    </w:pPr>
  </w:style>
  <w:style w:type="character" w:styleId="PageNumber">
    <w:name w:val="page number"/>
    <w:uiPriority w:val="99"/>
    <w:rsid w:val="001E5A75"/>
    <w:rPr>
      <w:rFonts w:ascii="Arial" w:hAnsi="Arial"/>
      <w:sz w:val="22"/>
      <w:szCs w:val="22"/>
    </w:rPr>
  </w:style>
  <w:style w:type="character" w:customStyle="1" w:styleId="Heading2Char">
    <w:name w:val="Heading 2 Char"/>
    <w:link w:val="Heading2"/>
    <w:uiPriority w:val="99"/>
    <w:rsid w:val="00EC5046"/>
    <w:rPr>
      <w:rFonts w:ascii="Verdana" w:eastAsia="Times New Roman" w:hAnsi="Verdana" w:cs="Times New Roman"/>
      <w:b/>
      <w:szCs w:val="24"/>
      <w:u w:val="single"/>
      <w:lang w:val="fr-FR"/>
    </w:rPr>
  </w:style>
  <w:style w:type="character" w:customStyle="1" w:styleId="Heading3Char1">
    <w:name w:val="Heading 3 Char1"/>
    <w:link w:val="Heading3"/>
    <w:uiPriority w:val="99"/>
    <w:rsid w:val="001E5A75"/>
    <w:rPr>
      <w:rFonts w:ascii="Arial" w:hAnsi="Arial"/>
      <w:b/>
      <w:szCs w:val="20"/>
      <w:lang w:eastAsia="fr-FR"/>
    </w:rPr>
  </w:style>
  <w:style w:type="character" w:customStyle="1" w:styleId="Heading4Char">
    <w:name w:val="Heading 4 Char"/>
    <w:link w:val="Heading4"/>
    <w:uiPriority w:val="99"/>
    <w:rsid w:val="00DE0962"/>
    <w:rPr>
      <w:rFonts w:ascii="Verdana" w:eastAsia="Times New Roman" w:hAnsi="Verdana"/>
      <w:b/>
      <w:szCs w:val="24"/>
      <w:u w:val="single"/>
      <w:lang w:val="fr-FR" w:eastAsia="fr-FR"/>
    </w:rPr>
  </w:style>
  <w:style w:type="character" w:customStyle="1" w:styleId="Heading5Char">
    <w:name w:val="Heading 5 Char"/>
    <w:link w:val="Heading5"/>
    <w:uiPriority w:val="1"/>
    <w:rsid w:val="001E5A75"/>
    <w:rPr>
      <w:rFonts w:ascii="Arial" w:hAnsi="Arial"/>
      <w:b/>
      <w:i/>
      <w:szCs w:val="20"/>
      <w:lang w:eastAsia="fr-FR"/>
    </w:rPr>
  </w:style>
  <w:style w:type="character" w:customStyle="1" w:styleId="Heading6Char">
    <w:name w:val="Heading 6 Char"/>
    <w:link w:val="Heading6"/>
    <w:semiHidden/>
    <w:rsid w:val="001E5A75"/>
    <w:rPr>
      <w:rFonts w:ascii="Times New Roman" w:hAnsi="Times New Roman"/>
      <w:b/>
      <w:bCs/>
      <w:lang w:eastAsia="fr-FR"/>
    </w:rPr>
  </w:style>
  <w:style w:type="character" w:customStyle="1" w:styleId="Heading7Char">
    <w:name w:val="Heading 7 Char"/>
    <w:link w:val="Heading7"/>
    <w:semiHidden/>
    <w:rsid w:val="001E5A75"/>
    <w:rPr>
      <w:rFonts w:ascii="Times New Roman" w:hAnsi="Times New Roman"/>
      <w:sz w:val="24"/>
      <w:szCs w:val="20"/>
      <w:lang w:eastAsia="fr-FR"/>
    </w:rPr>
  </w:style>
  <w:style w:type="character" w:customStyle="1" w:styleId="Heading8Char">
    <w:name w:val="Heading 8 Char"/>
    <w:link w:val="Heading8"/>
    <w:semiHidden/>
    <w:rsid w:val="001E5A75"/>
    <w:rPr>
      <w:rFonts w:ascii="Times New Roman" w:hAnsi="Times New Roman"/>
      <w:i/>
      <w:iCs/>
      <w:sz w:val="24"/>
      <w:szCs w:val="20"/>
      <w:lang w:eastAsia="fr-FR"/>
    </w:rPr>
  </w:style>
  <w:style w:type="character" w:customStyle="1" w:styleId="Heading9Char">
    <w:name w:val="Heading 9 Char"/>
    <w:link w:val="Heading9"/>
    <w:semiHidden/>
    <w:rsid w:val="001E5A75"/>
    <w:rPr>
      <w:rFonts w:ascii="Arial" w:hAnsi="Arial" w:cs="Arial"/>
      <w:lang w:eastAsia="fr-FR"/>
    </w:rPr>
  </w:style>
  <w:style w:type="paragraph" w:styleId="TOC1">
    <w:name w:val="toc 1"/>
    <w:basedOn w:val="Normal"/>
    <w:next w:val="Normal"/>
    <w:autoRedefine/>
    <w:uiPriority w:val="39"/>
    <w:qFormat/>
    <w:rsid w:val="001E5A75"/>
    <w:pPr>
      <w:tabs>
        <w:tab w:val="left" w:pos="794"/>
        <w:tab w:val="right" w:leader="dot" w:pos="9071"/>
      </w:tabs>
      <w:ind w:left="794" w:hanging="794"/>
    </w:pPr>
    <w:rPr>
      <w:b/>
      <w:smallCaps/>
      <w:noProof/>
      <w:sz w:val="24"/>
    </w:rPr>
  </w:style>
  <w:style w:type="paragraph" w:styleId="TOC2">
    <w:name w:val="toc 2"/>
    <w:basedOn w:val="Normal"/>
    <w:next w:val="Normal"/>
    <w:autoRedefine/>
    <w:uiPriority w:val="39"/>
    <w:qFormat/>
    <w:rsid w:val="001E5A75"/>
    <w:pPr>
      <w:tabs>
        <w:tab w:val="left" w:pos="794"/>
        <w:tab w:val="right" w:leader="dot" w:pos="9071"/>
      </w:tabs>
      <w:spacing w:after="60"/>
      <w:ind w:left="794" w:hanging="794"/>
    </w:pPr>
    <w:rPr>
      <w:b/>
      <w:smallCaps/>
      <w:noProof/>
      <w:szCs w:val="22"/>
    </w:rPr>
  </w:style>
  <w:style w:type="paragraph" w:styleId="TOC3">
    <w:name w:val="toc 3"/>
    <w:basedOn w:val="Normal"/>
    <w:next w:val="Normal"/>
    <w:autoRedefine/>
    <w:uiPriority w:val="39"/>
    <w:qFormat/>
    <w:rsid w:val="001E5A75"/>
    <w:pPr>
      <w:tabs>
        <w:tab w:val="left" w:pos="794"/>
        <w:tab w:val="right" w:leader="dot" w:pos="9072"/>
      </w:tabs>
      <w:spacing w:after="60"/>
      <w:ind w:left="794" w:hanging="794"/>
    </w:pPr>
    <w:rPr>
      <w:smallCaps/>
      <w:noProof/>
    </w:rPr>
  </w:style>
  <w:style w:type="paragraph" w:styleId="TOC4">
    <w:name w:val="toc 4"/>
    <w:basedOn w:val="Normal"/>
    <w:next w:val="Normal"/>
    <w:autoRedefine/>
    <w:uiPriority w:val="39"/>
    <w:rsid w:val="001E5A75"/>
    <w:pPr>
      <w:tabs>
        <w:tab w:val="left" w:pos="794"/>
        <w:tab w:val="right" w:leader="dot" w:pos="9071"/>
      </w:tabs>
      <w:spacing w:after="40"/>
      <w:ind w:left="794" w:hanging="794"/>
    </w:pPr>
    <w:rPr>
      <w:smallCaps/>
      <w:noProof/>
      <w:snapToGrid w:val="0"/>
      <w:sz w:val="18"/>
      <w:szCs w:val="18"/>
    </w:rPr>
  </w:style>
  <w:style w:type="paragraph" w:styleId="TOC5">
    <w:name w:val="toc 5"/>
    <w:basedOn w:val="Normal"/>
    <w:next w:val="Normal"/>
    <w:autoRedefine/>
    <w:uiPriority w:val="39"/>
    <w:rsid w:val="001E5A75"/>
    <w:pPr>
      <w:tabs>
        <w:tab w:val="left" w:pos="794"/>
        <w:tab w:val="right" w:leader="dot" w:pos="9071"/>
      </w:tabs>
      <w:spacing w:after="40"/>
      <w:ind w:left="794" w:hanging="794"/>
    </w:pPr>
    <w:rPr>
      <w:smallCaps/>
      <w:noProof/>
      <w:sz w:val="18"/>
      <w:szCs w:val="18"/>
    </w:rPr>
  </w:style>
  <w:style w:type="paragraph" w:styleId="TOC6">
    <w:name w:val="toc 6"/>
    <w:basedOn w:val="Normal"/>
    <w:next w:val="Normal"/>
    <w:autoRedefine/>
    <w:uiPriority w:val="39"/>
    <w:rsid w:val="001E5A75"/>
    <w:pPr>
      <w:tabs>
        <w:tab w:val="left" w:pos="2058"/>
        <w:tab w:val="right" w:leader="dot" w:pos="9071"/>
      </w:tabs>
      <w:ind w:left="1134" w:hanging="1134"/>
    </w:pPr>
    <w:rPr>
      <w:noProof/>
      <w:sz w:val="16"/>
    </w:rPr>
  </w:style>
  <w:style w:type="paragraph" w:styleId="TOC7">
    <w:name w:val="toc 7"/>
    <w:basedOn w:val="Normal"/>
    <w:next w:val="Normal"/>
    <w:autoRedefine/>
    <w:uiPriority w:val="39"/>
    <w:rsid w:val="001E5A75"/>
    <w:pPr>
      <w:tabs>
        <w:tab w:val="right" w:leader="dot" w:pos="9071"/>
      </w:tabs>
      <w:ind w:left="1134" w:hanging="1134"/>
    </w:pPr>
    <w:rPr>
      <w:sz w:val="16"/>
    </w:rPr>
  </w:style>
  <w:style w:type="paragraph" w:styleId="TOC8">
    <w:name w:val="toc 8"/>
    <w:basedOn w:val="Normal"/>
    <w:next w:val="Normal"/>
    <w:autoRedefine/>
    <w:uiPriority w:val="39"/>
    <w:rsid w:val="001E5A75"/>
    <w:pPr>
      <w:tabs>
        <w:tab w:val="left" w:pos="2758"/>
        <w:tab w:val="right" w:leader="dot" w:pos="9071"/>
      </w:tabs>
      <w:ind w:left="1361" w:hanging="1361"/>
    </w:pPr>
    <w:rPr>
      <w:noProof/>
      <w:sz w:val="16"/>
    </w:rPr>
  </w:style>
  <w:style w:type="paragraph" w:styleId="TOC9">
    <w:name w:val="toc 9"/>
    <w:basedOn w:val="Normal"/>
    <w:next w:val="Normal"/>
    <w:autoRedefine/>
    <w:uiPriority w:val="39"/>
    <w:rsid w:val="001E5A75"/>
    <w:pPr>
      <w:tabs>
        <w:tab w:val="right" w:leader="dot" w:pos="9071"/>
      </w:tabs>
      <w:ind w:left="1361" w:hanging="1361"/>
    </w:pPr>
    <w:rPr>
      <w:sz w:val="16"/>
    </w:rPr>
  </w:style>
  <w:style w:type="paragraph" w:styleId="Quote">
    <w:name w:val="Quote"/>
    <w:basedOn w:val="Normal"/>
    <w:next w:val="Normal"/>
    <w:link w:val="QuoteChar"/>
    <w:uiPriority w:val="29"/>
    <w:semiHidden/>
    <w:rsid w:val="001E5A75"/>
    <w:rPr>
      <w:rFonts w:ascii="Arial" w:eastAsia="Arial" w:hAnsi="Arial"/>
      <w:i/>
      <w:iCs/>
      <w:color w:val="000000"/>
      <w:szCs w:val="20"/>
    </w:rPr>
  </w:style>
  <w:style w:type="character" w:customStyle="1" w:styleId="QuoteChar">
    <w:name w:val="Quote Char"/>
    <w:link w:val="Quote"/>
    <w:uiPriority w:val="29"/>
    <w:semiHidden/>
    <w:rsid w:val="001E5A75"/>
    <w:rPr>
      <w:rFonts w:ascii="Arial" w:hAnsi="Arial"/>
      <w:i/>
      <w:iCs/>
      <w:color w:val="000000"/>
      <w:szCs w:val="20"/>
      <w:lang w:eastAsia="fr-FR"/>
    </w:rPr>
  </w:style>
  <w:style w:type="paragraph" w:styleId="TOCHeading">
    <w:name w:val="TOC Heading"/>
    <w:basedOn w:val="Heading1"/>
    <w:next w:val="Normal"/>
    <w:uiPriority w:val="39"/>
    <w:semiHidden/>
    <w:unhideWhenUsed/>
    <w:qFormat/>
    <w:rsid w:val="001E5A75"/>
    <w:pPr>
      <w:keepLines/>
      <w:spacing w:before="480" w:line="311" w:lineRule="auto"/>
      <w:outlineLvl w:val="9"/>
    </w:pPr>
    <w:rPr>
      <w:rFonts w:ascii="Arial" w:hAnsi="Arial"/>
      <w:bCs/>
      <w:color w:val="4B67A3"/>
      <w:szCs w:val="28"/>
    </w:rPr>
  </w:style>
  <w:style w:type="paragraph" w:styleId="EndnoteText">
    <w:name w:val="endnote text"/>
    <w:basedOn w:val="Normal"/>
    <w:link w:val="EndnoteTextChar"/>
    <w:uiPriority w:val="1"/>
    <w:rsid w:val="001E5A75"/>
    <w:pPr>
      <w:spacing w:line="180" w:lineRule="exact"/>
      <w:ind w:left="142" w:hanging="142"/>
    </w:pPr>
    <w:rPr>
      <w:rFonts w:ascii="Arial" w:eastAsia="Arial" w:hAnsi="Arial"/>
      <w:sz w:val="16"/>
      <w:szCs w:val="20"/>
    </w:rPr>
  </w:style>
  <w:style w:type="character" w:customStyle="1" w:styleId="EndnoteTextChar">
    <w:name w:val="Endnote Text Char"/>
    <w:link w:val="EndnoteText"/>
    <w:uiPriority w:val="1"/>
    <w:rsid w:val="001E5A75"/>
    <w:rPr>
      <w:rFonts w:ascii="Arial" w:hAnsi="Arial"/>
      <w:sz w:val="16"/>
      <w:szCs w:val="20"/>
      <w:lang w:eastAsia="fr-FR"/>
    </w:rPr>
  </w:style>
  <w:style w:type="character" w:styleId="EndnoteReference">
    <w:name w:val="endnote reference"/>
    <w:uiPriority w:val="1"/>
    <w:rsid w:val="001E5A75"/>
    <w:rPr>
      <w:rFonts w:ascii="Arial" w:hAnsi="Arial"/>
      <w:color w:val="auto"/>
      <w:position w:val="4"/>
      <w:sz w:val="12"/>
      <w:vertAlign w:val="baseline"/>
    </w:rPr>
  </w:style>
  <w:style w:type="character" w:customStyle="1" w:styleId="Heading3Char">
    <w:name w:val="Heading 3 Char"/>
    <w:uiPriority w:val="99"/>
    <w:locked/>
    <w:rsid w:val="00884FEB"/>
    <w:rPr>
      <w:rFonts w:cs="Times New Roman"/>
      <w:sz w:val="24"/>
      <w:szCs w:val="24"/>
      <w:lang w:val="fr-FR" w:eastAsia="fr-FR"/>
    </w:rPr>
  </w:style>
  <w:style w:type="paragraph" w:customStyle="1" w:styleId="Ballontekst">
    <w:name w:val="Ballontekst"/>
    <w:basedOn w:val="Normal"/>
    <w:uiPriority w:val="99"/>
    <w:semiHidden/>
    <w:rsid w:val="00884FEB"/>
    <w:rPr>
      <w:rFonts w:ascii="Tahoma" w:hAnsi="Tahoma" w:cs="Tahoma"/>
      <w:sz w:val="16"/>
      <w:szCs w:val="16"/>
    </w:rPr>
  </w:style>
  <w:style w:type="character" w:styleId="CommentReference">
    <w:name w:val="annotation reference"/>
    <w:uiPriority w:val="99"/>
    <w:rsid w:val="00884FEB"/>
    <w:rPr>
      <w:rFonts w:cs="Times New Roman"/>
      <w:sz w:val="16"/>
      <w:szCs w:val="16"/>
    </w:rPr>
  </w:style>
  <w:style w:type="paragraph" w:styleId="CommentText">
    <w:name w:val="annotation text"/>
    <w:basedOn w:val="Normal"/>
    <w:link w:val="CommentTextChar"/>
    <w:uiPriority w:val="99"/>
    <w:rsid w:val="00884FEB"/>
    <w:rPr>
      <w:szCs w:val="20"/>
    </w:rPr>
  </w:style>
  <w:style w:type="character" w:customStyle="1" w:styleId="CommentTextChar">
    <w:name w:val="Comment Text Char"/>
    <w:link w:val="CommentText"/>
    <w:uiPriority w:val="99"/>
    <w:rsid w:val="00884FEB"/>
    <w:rPr>
      <w:rFonts w:ascii="Verdana" w:eastAsia="Times New Roman" w:hAnsi="Verdana" w:cs="Times New Roman"/>
      <w:sz w:val="20"/>
      <w:szCs w:val="20"/>
      <w:lang w:val="fr-FR"/>
    </w:rPr>
  </w:style>
  <w:style w:type="paragraph" w:customStyle="1" w:styleId="Onderwerpvanopmerking">
    <w:name w:val="Onderwerp van opmerking"/>
    <w:basedOn w:val="CommentText"/>
    <w:next w:val="CommentText"/>
    <w:uiPriority w:val="99"/>
    <w:semiHidden/>
    <w:rsid w:val="00884FEB"/>
    <w:rPr>
      <w:b/>
      <w:bCs/>
    </w:rPr>
  </w:style>
  <w:style w:type="character" w:styleId="FollowedHyperlink">
    <w:name w:val="FollowedHyperlink"/>
    <w:uiPriority w:val="99"/>
    <w:rsid w:val="00884FEB"/>
    <w:rPr>
      <w:rFonts w:cs="Times New Roman"/>
      <w:color w:val="606420"/>
      <w:u w:val="single"/>
    </w:rPr>
  </w:style>
  <w:style w:type="paragraph" w:styleId="BalloonText">
    <w:name w:val="Balloon Text"/>
    <w:basedOn w:val="Normal"/>
    <w:link w:val="BalloonTextChar"/>
    <w:uiPriority w:val="99"/>
    <w:rsid w:val="00884FEB"/>
    <w:rPr>
      <w:rFonts w:ascii="Tahoma" w:hAnsi="Tahoma"/>
      <w:sz w:val="16"/>
      <w:szCs w:val="16"/>
    </w:rPr>
  </w:style>
  <w:style w:type="character" w:customStyle="1" w:styleId="BalloonTextChar">
    <w:name w:val="Balloon Text Char"/>
    <w:link w:val="BalloonText"/>
    <w:uiPriority w:val="99"/>
    <w:rsid w:val="00884FEB"/>
    <w:rPr>
      <w:rFonts w:ascii="Tahoma" w:eastAsia="Times New Roman" w:hAnsi="Tahoma" w:cs="Tahoma"/>
      <w:sz w:val="16"/>
      <w:szCs w:val="16"/>
      <w:lang w:val="fr-FR"/>
    </w:rPr>
  </w:style>
  <w:style w:type="paragraph" w:styleId="CommentSubject">
    <w:name w:val="annotation subject"/>
    <w:basedOn w:val="CommentText"/>
    <w:next w:val="CommentText"/>
    <w:link w:val="CommentSubjectChar"/>
    <w:uiPriority w:val="99"/>
    <w:rsid w:val="00884FEB"/>
    <w:rPr>
      <w:b/>
      <w:bCs/>
    </w:rPr>
  </w:style>
  <w:style w:type="character" w:customStyle="1" w:styleId="CommentSubjectChar">
    <w:name w:val="Comment Subject Char"/>
    <w:link w:val="CommentSubject"/>
    <w:uiPriority w:val="99"/>
    <w:rsid w:val="00884FEB"/>
    <w:rPr>
      <w:rFonts w:ascii="Verdana" w:eastAsia="Times New Roman" w:hAnsi="Verdana" w:cs="Times New Roman"/>
      <w:b/>
      <w:bCs/>
      <w:sz w:val="20"/>
      <w:szCs w:val="20"/>
      <w:lang w:val="fr-FR"/>
    </w:rPr>
  </w:style>
  <w:style w:type="table" w:styleId="TableGrid">
    <w:name w:val="Table Grid"/>
    <w:aliases w:val="Tabla CUADROS"/>
    <w:basedOn w:val="TableNormal"/>
    <w:uiPriority w:val="59"/>
    <w:rsid w:val="00884FE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rmatvorlageberschrift4">
    <w:name w:val="Formatvorlage Überschrift 4"/>
    <w:basedOn w:val="Heading4"/>
    <w:link w:val="Formatvorlageberschrift4Char"/>
    <w:uiPriority w:val="99"/>
    <w:rsid w:val="00884FEB"/>
    <w:pPr>
      <w:spacing w:before="240" w:after="60"/>
    </w:pPr>
    <w:rPr>
      <w:iCs/>
      <w:szCs w:val="28"/>
    </w:rPr>
  </w:style>
  <w:style w:type="character" w:customStyle="1" w:styleId="Formatvorlageberschrift4Char">
    <w:name w:val="Formatvorlage Überschrift 4 Char"/>
    <w:link w:val="Formatvorlageberschrift4"/>
    <w:uiPriority w:val="99"/>
    <w:locked/>
    <w:rsid w:val="00884FEB"/>
    <w:rPr>
      <w:rFonts w:ascii="Verdana" w:eastAsia="Times New Roman" w:hAnsi="Verdana"/>
      <w:b/>
      <w:iCs/>
      <w:szCs w:val="28"/>
      <w:u w:val="single"/>
      <w:lang w:val="fr-FR" w:eastAsia="fr-FR"/>
    </w:rPr>
  </w:style>
  <w:style w:type="paragraph" w:customStyle="1" w:styleId="Instructionsberschrift1">
    <w:name w:val="Instructions Überschrift 1"/>
    <w:basedOn w:val="Heading1"/>
    <w:rsid w:val="00884FEB"/>
    <w:pPr>
      <w:tabs>
        <w:tab w:val="num" w:pos="540"/>
      </w:tabs>
      <w:spacing w:before="240"/>
      <w:ind w:left="540" w:hanging="540"/>
    </w:pPr>
    <w:rPr>
      <w:b w:val="0"/>
      <w:kern w:val="32"/>
    </w:rPr>
  </w:style>
  <w:style w:type="paragraph" w:customStyle="1" w:styleId="Instructionsberschrift2">
    <w:name w:val="Instructions Überschrift 2"/>
    <w:basedOn w:val="Heading2"/>
    <w:rsid w:val="008C122C"/>
    <w:pPr>
      <w:numPr>
        <w:numId w:val="13"/>
      </w:numPr>
      <w:spacing w:after="240"/>
    </w:pPr>
    <w:rPr>
      <w:rFonts w:cs="Arial"/>
      <w:b w:val="0"/>
    </w:rPr>
  </w:style>
  <w:style w:type="paragraph" w:customStyle="1" w:styleId="Instructionsberschrift3">
    <w:name w:val="Instructions Überschrift 3"/>
    <w:basedOn w:val="Heading3"/>
    <w:link w:val="Instructionsberschrift3Zchn"/>
    <w:rsid w:val="006746DB"/>
    <w:pPr>
      <w:numPr>
        <w:numId w:val="14"/>
      </w:numPr>
      <w:spacing w:before="240" w:after="60" w:line="360" w:lineRule="auto"/>
    </w:pPr>
    <w:rPr>
      <w:szCs w:val="26"/>
      <w:u w:val="single"/>
    </w:rPr>
  </w:style>
  <w:style w:type="character" w:customStyle="1" w:styleId="Instructionsberschrift3Zchn">
    <w:name w:val="Instructions Überschrift 3 Zchn"/>
    <w:link w:val="Instructionsberschrift3"/>
    <w:locked/>
    <w:rsid w:val="006746DB"/>
    <w:rPr>
      <w:rFonts w:ascii="Verdana" w:eastAsia="Times New Roman" w:hAnsi="Verdana" w:cs="Arial"/>
      <w:b/>
      <w:szCs w:val="26"/>
      <w:u w:val="single"/>
      <w:lang w:val="fr-FR" w:eastAsia="fr-FR"/>
    </w:rPr>
  </w:style>
  <w:style w:type="paragraph" w:customStyle="1" w:styleId="Instructionsberschrift4">
    <w:name w:val="Instructions Überschrift 4"/>
    <w:basedOn w:val="Heading4"/>
    <w:next w:val="InstructionsText"/>
    <w:link w:val="Instructionsberschrift4Char"/>
    <w:uiPriority w:val="99"/>
    <w:rsid w:val="00884FEB"/>
    <w:pPr>
      <w:tabs>
        <w:tab w:val="left" w:pos="1520"/>
      </w:tabs>
      <w:autoSpaceDE w:val="0"/>
      <w:autoSpaceDN w:val="0"/>
      <w:adjustRightInd w:val="0"/>
      <w:spacing w:before="240" w:after="240"/>
      <w:ind w:left="970" w:hanging="970"/>
    </w:pPr>
    <w:rPr>
      <w:bCs/>
    </w:rPr>
  </w:style>
  <w:style w:type="paragraph" w:customStyle="1" w:styleId="InstructionsText">
    <w:name w:val="Instructions Text"/>
    <w:basedOn w:val="Normal"/>
    <w:link w:val="InstructionsTextChar"/>
    <w:autoRedefine/>
    <w:rsid w:val="00AE1CD7"/>
    <w:pPr>
      <w:spacing w:before="0" w:after="0"/>
      <w:ind w:left="33"/>
    </w:pPr>
    <w:rPr>
      <w:szCs w:val="17"/>
      <w:u w:val="single"/>
    </w:rPr>
  </w:style>
  <w:style w:type="character" w:customStyle="1" w:styleId="Instructionsberschrift4Char">
    <w:name w:val="Instructions Überschrift 4 Char"/>
    <w:link w:val="Instructionsberschrift4"/>
    <w:uiPriority w:val="99"/>
    <w:locked/>
    <w:rsid w:val="00884FEB"/>
    <w:rPr>
      <w:rFonts w:ascii="Verdana" w:eastAsia="Times New Roman" w:hAnsi="Verdana"/>
      <w:b/>
      <w:bCs/>
      <w:szCs w:val="24"/>
      <w:u w:val="single"/>
      <w:lang w:val="fr-FR" w:eastAsia="fr-FR"/>
    </w:rPr>
  </w:style>
  <w:style w:type="character" w:customStyle="1" w:styleId="InstructionsTabelleberschrift">
    <w:name w:val="Instructions Tabelle Überschrift"/>
    <w:qFormat/>
    <w:rsid w:val="00884FEB"/>
    <w:rPr>
      <w:rFonts w:ascii="Verdana" w:hAnsi="Verdana" w:cs="Times New Roman"/>
      <w:b/>
      <w:bCs/>
      <w:sz w:val="20"/>
      <w:u w:val="single"/>
    </w:rPr>
  </w:style>
  <w:style w:type="character" w:customStyle="1" w:styleId="InstructionsTabelleText">
    <w:name w:val="Instructions Tabelle Text"/>
    <w:rsid w:val="00884FEB"/>
    <w:rPr>
      <w:rFonts w:ascii="Verdana" w:hAnsi="Verdana" w:cs="Times New Roman"/>
      <w:sz w:val="20"/>
    </w:rPr>
  </w:style>
  <w:style w:type="character" w:customStyle="1" w:styleId="FormatvorlageInstructionsTabelleText">
    <w:name w:val="Formatvorlage Instructions Tabelle Text"/>
    <w:uiPriority w:val="99"/>
    <w:qFormat/>
    <w:rsid w:val="00412D44"/>
    <w:rPr>
      <w:rFonts w:ascii="Verdana" w:hAnsi="Verdana" w:cs="Times New Roman"/>
      <w:bCs/>
      <w:sz w:val="20"/>
      <w:u w:val="none"/>
    </w:rPr>
  </w:style>
  <w:style w:type="paragraph" w:customStyle="1" w:styleId="FormatvorlageInstructionsberschrift3Links0cmErsteZeile0cm">
    <w:name w:val="Formatvorlage Instructions Überschrift 3 + Links:  0 cm Erste Zeile:  0 cm"/>
    <w:basedOn w:val="Instructionsberschrift3"/>
    <w:next w:val="Instructionsberschrift3"/>
    <w:uiPriority w:val="99"/>
    <w:rsid w:val="00884FEB"/>
    <w:pPr>
      <w:ind w:left="0" w:firstLine="0"/>
    </w:pPr>
    <w:rPr>
      <w:szCs w:val="20"/>
    </w:rPr>
  </w:style>
  <w:style w:type="paragraph" w:customStyle="1" w:styleId="Texte2">
    <w:name w:val="Texte 2"/>
    <w:basedOn w:val="Normal"/>
    <w:uiPriority w:val="99"/>
    <w:rsid w:val="00884FEB"/>
    <w:pPr>
      <w:spacing w:after="0"/>
      <w:ind w:left="567"/>
    </w:pPr>
    <w:rPr>
      <w:sz w:val="22"/>
      <w:szCs w:val="20"/>
    </w:rPr>
  </w:style>
  <w:style w:type="paragraph" w:customStyle="1" w:styleId="Prrafodelista1">
    <w:name w:val="Párrafo de lista1"/>
    <w:basedOn w:val="Normal"/>
    <w:uiPriority w:val="99"/>
    <w:rsid w:val="00884FEB"/>
    <w:pPr>
      <w:ind w:left="720"/>
    </w:pPr>
  </w:style>
  <w:style w:type="paragraph" w:customStyle="1" w:styleId="Prrafodelista2">
    <w:name w:val="Párrafo de lista2"/>
    <w:basedOn w:val="Normal"/>
    <w:uiPriority w:val="99"/>
    <w:rsid w:val="00884FEB"/>
    <w:pPr>
      <w:ind w:left="708"/>
    </w:pPr>
  </w:style>
  <w:style w:type="paragraph" w:styleId="PlainText">
    <w:name w:val="Plain Text"/>
    <w:basedOn w:val="Normal"/>
    <w:link w:val="PlainTextChar"/>
    <w:uiPriority w:val="99"/>
    <w:rsid w:val="00884FEB"/>
    <w:pPr>
      <w:spacing w:before="0" w:after="0"/>
      <w:jc w:val="left"/>
    </w:pPr>
    <w:rPr>
      <w:szCs w:val="20"/>
    </w:rPr>
  </w:style>
  <w:style w:type="character" w:customStyle="1" w:styleId="PlainTextChar">
    <w:name w:val="Plain Text Char"/>
    <w:link w:val="PlainText"/>
    <w:uiPriority w:val="99"/>
    <w:rsid w:val="00884FEB"/>
    <w:rPr>
      <w:rFonts w:ascii="Verdana" w:eastAsia="Times New Roman" w:hAnsi="Verdana" w:cs="Times New Roman"/>
      <w:sz w:val="20"/>
      <w:szCs w:val="20"/>
      <w:lang w:val="fr-FR" w:eastAsia="fr-FR"/>
    </w:rPr>
  </w:style>
  <w:style w:type="paragraph" w:customStyle="1" w:styleId="Listenabsatz1">
    <w:name w:val="Listenabsatz1"/>
    <w:basedOn w:val="Normal"/>
    <w:uiPriority w:val="99"/>
    <w:rsid w:val="00884FEB"/>
    <w:pPr>
      <w:ind w:left="708"/>
    </w:pPr>
  </w:style>
  <w:style w:type="character" w:customStyle="1" w:styleId="InstructionsTextChar">
    <w:name w:val="Instructions Text Char"/>
    <w:link w:val="InstructionsText"/>
    <w:locked/>
    <w:rsid w:val="00AE1CD7"/>
    <w:rPr>
      <w:rFonts w:ascii="Verdana" w:eastAsia="Times New Roman" w:hAnsi="Verdana" w:cs="Times New Roman"/>
      <w:sz w:val="20"/>
      <w:szCs w:val="17"/>
      <w:u w:val="single"/>
      <w:lang w:val="fr-FR" w:eastAsia="fr-FR"/>
    </w:rPr>
  </w:style>
  <w:style w:type="paragraph" w:styleId="Revision">
    <w:name w:val="Revision"/>
    <w:hidden/>
    <w:uiPriority w:val="99"/>
    <w:semiHidden/>
    <w:rsid w:val="00884FEB"/>
    <w:rPr>
      <w:rFonts w:ascii="Verdana" w:eastAsia="Times New Roman" w:hAnsi="Verdana"/>
      <w:szCs w:val="24"/>
    </w:rPr>
  </w:style>
  <w:style w:type="paragraph" w:styleId="ListParagraph">
    <w:name w:val="List Paragraph"/>
    <w:basedOn w:val="Normal"/>
    <w:uiPriority w:val="99"/>
    <w:qFormat/>
    <w:rsid w:val="00884FEB"/>
    <w:pPr>
      <w:ind w:left="708"/>
    </w:pPr>
  </w:style>
  <w:style w:type="character" w:styleId="PlaceholderText">
    <w:name w:val="Placeholder Text"/>
    <w:uiPriority w:val="99"/>
    <w:semiHidden/>
    <w:rsid w:val="00D946DB"/>
    <w:rPr>
      <w:color w:val="808080"/>
    </w:rPr>
  </w:style>
  <w:style w:type="paragraph" w:customStyle="1" w:styleId="InstructionsText2">
    <w:name w:val="Instructions Text 2"/>
    <w:basedOn w:val="InstructionsText"/>
    <w:qFormat/>
    <w:rsid w:val="00F620A2"/>
    <w:pPr>
      <w:numPr>
        <w:numId w:val="16"/>
      </w:numPr>
      <w:spacing w:after="240"/>
    </w:pPr>
  </w:style>
  <w:style w:type="character" w:customStyle="1" w:styleId="Instructionsberschrift3Char">
    <w:name w:val="Instructions Überschrift 3 Char"/>
    <w:locked/>
    <w:rsid w:val="003B3DBB"/>
    <w:rPr>
      <w:rFonts w:ascii="Verdana" w:hAnsi="Verdana" w:cs="Arial"/>
      <w:b/>
      <w:bCs/>
      <w:szCs w:val="26"/>
      <w:u w:val="single"/>
      <w:lang w:val="fr-FR" w:eastAsia="fr-FR" w:bidi="fr-FR"/>
    </w:rPr>
  </w:style>
  <w:style w:type="paragraph" w:customStyle="1" w:styleId="CM4">
    <w:name w:val="CM4"/>
    <w:basedOn w:val="Normal"/>
    <w:next w:val="Normal"/>
    <w:uiPriority w:val="99"/>
    <w:rsid w:val="008815DE"/>
    <w:pPr>
      <w:autoSpaceDE w:val="0"/>
      <w:autoSpaceDN w:val="0"/>
      <w:adjustRightInd w:val="0"/>
      <w:spacing w:before="0" w:after="0"/>
      <w:jc w:val="left"/>
    </w:pPr>
    <w:rPr>
      <w:rFonts w:ascii="Times New Roman" w:eastAsia="Arial" w:hAnsi="Times New Roman"/>
      <w:sz w:val="24"/>
    </w:rPr>
  </w:style>
  <w:style w:type="numbering" w:customStyle="1" w:styleId="Formatvorlage3">
    <w:name w:val="Formatvorlage3"/>
    <w:uiPriority w:val="99"/>
    <w:rsid w:val="00DE0962"/>
    <w:pPr>
      <w:numPr>
        <w:numId w:val="17"/>
      </w:numPr>
    </w:pPr>
  </w:style>
  <w:style w:type="paragraph" w:styleId="DocumentMap">
    <w:name w:val="Document Map"/>
    <w:basedOn w:val="Normal"/>
    <w:link w:val="DocumentMapChar"/>
    <w:uiPriority w:val="99"/>
    <w:semiHidden/>
    <w:unhideWhenUsed/>
    <w:rsid w:val="0088630E"/>
    <w:pPr>
      <w:spacing w:before="0" w:after="0"/>
    </w:pPr>
    <w:rPr>
      <w:rFonts w:ascii="Tahoma" w:hAnsi="Tahoma"/>
      <w:sz w:val="16"/>
      <w:szCs w:val="16"/>
    </w:rPr>
  </w:style>
  <w:style w:type="character" w:customStyle="1" w:styleId="DocumentMapChar">
    <w:name w:val="Document Map Char"/>
    <w:link w:val="DocumentMap"/>
    <w:uiPriority w:val="99"/>
    <w:semiHidden/>
    <w:rsid w:val="0088630E"/>
    <w:rPr>
      <w:rFonts w:ascii="Tahoma" w:eastAsia="Times New Roman" w:hAnsi="Tahoma" w:cs="Tahoma"/>
      <w:sz w:val="16"/>
      <w:szCs w:val="16"/>
      <w:lang w:val="fr-FR"/>
    </w:rPr>
  </w:style>
  <w:style w:type="numbering" w:customStyle="1" w:styleId="Formatvorlage4">
    <w:name w:val="Formatvorlage4"/>
    <w:uiPriority w:val="99"/>
    <w:rsid w:val="00FB1D44"/>
    <w:pPr>
      <w:numPr>
        <w:numId w:val="19"/>
      </w:numPr>
    </w:pPr>
  </w:style>
  <w:style w:type="paragraph" w:customStyle="1" w:styleId="Titrearticle">
    <w:name w:val="Titre article"/>
    <w:basedOn w:val="Normal"/>
    <w:next w:val="Normal"/>
    <w:rsid w:val="00C87CEE"/>
    <w:pPr>
      <w:keepNext/>
      <w:spacing w:before="360"/>
      <w:jc w:val="center"/>
    </w:pPr>
    <w:rPr>
      <w:rFonts w:ascii="Times New Roman" w:hAnsi="Times New Roman"/>
      <w:i/>
      <w:sz w:val="24"/>
    </w:rPr>
  </w:style>
  <w:style w:type="paragraph" w:customStyle="1" w:styleId="Baseparagraphnumbered">
    <w:name w:val="Base paragraph numbered"/>
    <w:basedOn w:val="Normal"/>
    <w:link w:val="BaseparagraphnumberedChar"/>
    <w:qFormat/>
    <w:rsid w:val="00C87CEE"/>
    <w:pPr>
      <w:numPr>
        <w:numId w:val="20"/>
      </w:numPr>
      <w:spacing w:before="0" w:after="240"/>
    </w:pPr>
    <w:rPr>
      <w:rFonts w:ascii="Times New Roman" w:hAnsi="Times New Roman"/>
      <w:sz w:val="24"/>
    </w:rPr>
  </w:style>
  <w:style w:type="character" w:customStyle="1" w:styleId="BaseparagraphnumberedChar">
    <w:name w:val="Base paragraph numbered Char"/>
    <w:link w:val="Baseparagraphnumbered"/>
    <w:rsid w:val="00C87CEE"/>
    <w:rPr>
      <w:rFonts w:ascii="Times New Roman" w:eastAsia="Times New Roman" w:hAnsi="Times New Roman"/>
      <w:sz w:val="24"/>
      <w:szCs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97353452">
      <w:bodyDiv w:val="1"/>
      <w:marLeft w:val="0"/>
      <w:marRight w:val="0"/>
      <w:marTop w:val="0"/>
      <w:marBottom w:val="0"/>
      <w:divBdr>
        <w:top w:val="none" w:sz="0" w:space="0" w:color="auto"/>
        <w:left w:val="none" w:sz="0" w:space="0" w:color="auto"/>
        <w:bottom w:val="none" w:sz="0" w:space="0" w:color="auto"/>
        <w:right w:val="none" w:sz="0" w:space="0" w:color="auto"/>
      </w:divBdr>
    </w:div>
    <w:div w:id="1913153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288E2F-446A-413A-BBB2-25D571C6C7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1482</Words>
  <Characters>8156</Characters>
  <Application>Microsoft Office Word</Application>
  <DocSecurity>0</DocSecurity>
  <Lines>67</Lines>
  <Paragraphs>19</Paragraphs>
  <ScaleCrop>false</ScaleCrop>
  <HeadingPairs>
    <vt:vector size="6" baseType="variant">
      <vt:variant>
        <vt:lpstr>Title</vt:lpstr>
      </vt:variant>
      <vt:variant>
        <vt:i4>1</vt:i4>
      </vt:variant>
      <vt:variant>
        <vt:lpstr>Titel</vt:lpstr>
      </vt:variant>
      <vt:variant>
        <vt:i4>1</vt:i4>
      </vt:variant>
      <vt:variant>
        <vt:lpstr>Título</vt:lpstr>
      </vt:variant>
      <vt:variant>
        <vt:i4>1</vt:i4>
      </vt:variant>
    </vt:vector>
  </HeadingPairs>
  <TitlesOfParts>
    <vt:vector size="3" baseType="lpstr">
      <vt:lpstr/>
      <vt:lpstr/>
      <vt:lpstr/>
    </vt:vector>
  </TitlesOfParts>
  <Company>Deutsche Bundesbank</Company>
  <LinksUpToDate>false</LinksUpToDate>
  <CharactersWithSpaces>9619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EBA</dc:creator>
  <cp:lastModifiedBy>CHARDON Olivier (DGT)</cp:lastModifiedBy>
  <cp:revision>3</cp:revision>
  <cp:lastPrinted>2011-11-25T18:26:00Z</cp:lastPrinted>
  <dcterms:created xsi:type="dcterms:W3CDTF">2017-09-04T12:57:00Z</dcterms:created>
  <dcterms:modified xsi:type="dcterms:W3CDTF">2017-10-11T11:50:00Z</dcterms:modified>
</cp:coreProperties>
</file>