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4419" w:rsidRPr="00392FFD" w:rsidRDefault="006B08A5" w:rsidP="00A33695">
      <w:pPr>
        <w:jc w:val="center"/>
        <w:rPr>
          <w:rFonts w:ascii="Times New Roman" w:hAnsi="Times New Roman"/>
          <w:b/>
          <w:sz w:val="24"/>
        </w:rPr>
      </w:pPr>
      <w:bookmarkStart w:id="0" w:name="_Toc262568021"/>
      <w:bookmarkStart w:id="1" w:name="_Toc295829847"/>
      <w:bookmarkStart w:id="2" w:name="_GoBack"/>
      <w:bookmarkEnd w:id="2"/>
      <w:r>
        <w:rPr>
          <w:rFonts w:ascii="Times New Roman" w:hAnsi="Times New Roman"/>
          <w:b/>
          <w:sz w:val="24"/>
        </w:rPr>
        <w:t>FR</w:t>
      </w:r>
    </w:p>
    <w:p w:rsidR="002648B0" w:rsidRPr="00392FFD" w:rsidRDefault="002648B0" w:rsidP="00A33695">
      <w:pPr>
        <w:jc w:val="center"/>
        <w:rPr>
          <w:rFonts w:ascii="Times New Roman" w:hAnsi="Times New Roman"/>
          <w:b/>
          <w:sz w:val="24"/>
        </w:rPr>
      </w:pPr>
      <w:r>
        <w:rPr>
          <w:rFonts w:ascii="Times New Roman" w:hAnsi="Times New Roman"/>
          <w:b/>
          <w:sz w:val="24"/>
        </w:rPr>
        <w:t>ANNEXE II</w:t>
      </w:r>
    </w:p>
    <w:p w:rsidR="002648B0" w:rsidRPr="00392FFD" w:rsidRDefault="002648B0" w:rsidP="00C87CEE">
      <w:pPr>
        <w:jc w:val="center"/>
        <w:rPr>
          <w:rFonts w:ascii="Times New Roman" w:hAnsi="Times New Roman"/>
          <w:b/>
          <w:sz w:val="24"/>
        </w:rPr>
      </w:pPr>
      <w:r>
        <w:rPr>
          <w:rFonts w:ascii="Times New Roman" w:hAnsi="Times New Roman"/>
          <w:b/>
          <w:sz w:val="24"/>
        </w:rPr>
        <w:t>DÉCLARATION DES FONDS PROPRES ET EXIGENCES DE FONDS PROPRES</w:t>
      </w:r>
    </w:p>
    <w:p w:rsidR="00436204" w:rsidRPr="00392FFD" w:rsidRDefault="00436204" w:rsidP="00C87CEE">
      <w:pPr>
        <w:jc w:val="center"/>
        <w:rPr>
          <w:rFonts w:ascii="Times New Roman" w:hAnsi="Times New Roman"/>
          <w:b/>
          <w:sz w:val="24"/>
        </w:rPr>
      </w:pPr>
    </w:p>
    <w:p w:rsidR="00783881" w:rsidRPr="00392FFD" w:rsidRDefault="002648B0" w:rsidP="00622B37">
      <w:pPr>
        <w:pStyle w:val="InstructionsText"/>
      </w:pPr>
      <w:r>
        <w:t>Table des matières</w:t>
      </w:r>
    </w:p>
    <w:p w:rsidR="00024ED7" w:rsidRDefault="00024ED7">
      <w:pPr>
        <w:pStyle w:val="TOC2"/>
        <w:rPr>
          <w:rFonts w:asciiTheme="minorHAnsi" w:eastAsiaTheme="minorEastAsia" w:hAnsiTheme="minorHAnsi" w:cstheme="minorBidi"/>
          <w:b w:val="0"/>
          <w:smallCaps w:val="0"/>
          <w:sz w:val="22"/>
          <w:lang w:val="fr-BE" w:eastAsia="fr-BE" w:bidi="ar-SA"/>
        </w:rPr>
      </w:pPr>
      <w:r>
        <w:rPr>
          <w:rFonts w:ascii="Times New Roman" w:hAnsi="Times New Roman"/>
          <w:sz w:val="24"/>
          <w:szCs w:val="24"/>
        </w:rPr>
        <w:fldChar w:fldCharType="begin"/>
      </w:r>
      <w:r w:rsidR="00745369">
        <w:rPr>
          <w:rFonts w:ascii="Times New Roman" w:hAnsi="Times New Roman"/>
          <w:sz w:val="24"/>
          <w:szCs w:val="24"/>
        </w:rPr>
        <w:instrText xml:space="preserve"> TOC \o "1-3" \h \z \u </w:instrText>
      </w:r>
      <w:r>
        <w:rPr>
          <w:rFonts w:ascii="Times New Roman" w:hAnsi="Times New Roman"/>
          <w:sz w:val="24"/>
          <w:szCs w:val="24"/>
        </w:rPr>
        <w:fldChar w:fldCharType="separate"/>
      </w:r>
      <w:hyperlink w:anchor="_Toc496022260" w:history="1">
        <w:r w:rsidRPr="00B350C8">
          <w:rPr>
            <w:rStyle w:val="Hyperlink"/>
            <w:rFonts w:ascii="Times New Roman" w:hAnsi="Times New Roman"/>
          </w:rPr>
          <w:t>PARTIE I: INSTRUCTIONS GÉNÉRALES</w:t>
        </w:r>
        <w:r>
          <w:rPr>
            <w:webHidden/>
          </w:rPr>
          <w:tab/>
        </w:r>
        <w:r>
          <w:rPr>
            <w:webHidden/>
          </w:rPr>
          <w:fldChar w:fldCharType="begin"/>
        </w:r>
        <w:r>
          <w:rPr>
            <w:webHidden/>
          </w:rPr>
          <w:instrText xml:space="preserve"> PAGEREF _Toc496022260 \h </w:instrText>
        </w:r>
        <w:r>
          <w:rPr>
            <w:webHidden/>
          </w:rPr>
        </w:r>
        <w:r>
          <w:rPr>
            <w:webHidden/>
          </w:rPr>
          <w:fldChar w:fldCharType="separate"/>
        </w:r>
        <w:r>
          <w:rPr>
            <w:webHidden/>
          </w:rPr>
          <w:t>5</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61" w:history="1">
        <w:r w:rsidRPr="00B350C8">
          <w:rPr>
            <w:rStyle w:val="Hyperlink"/>
            <w:rFonts w:ascii="Times New Roman" w:hAnsi="Times New Roman"/>
          </w:rPr>
          <w:t>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Structure et conventions</w:t>
        </w:r>
        <w:r>
          <w:rPr>
            <w:webHidden/>
          </w:rPr>
          <w:tab/>
        </w:r>
        <w:r>
          <w:rPr>
            <w:webHidden/>
          </w:rPr>
          <w:fldChar w:fldCharType="begin"/>
        </w:r>
        <w:r>
          <w:rPr>
            <w:webHidden/>
          </w:rPr>
          <w:instrText xml:space="preserve"> PAGEREF _Toc496022261 \h </w:instrText>
        </w:r>
        <w:r>
          <w:rPr>
            <w:webHidden/>
          </w:rPr>
        </w:r>
        <w:r>
          <w:rPr>
            <w:webHidden/>
          </w:rPr>
          <w:fldChar w:fldCharType="separate"/>
        </w:r>
        <w:r>
          <w:rPr>
            <w:webHidden/>
          </w:rPr>
          <w:t>5</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62" w:history="1">
        <w:r w:rsidRPr="00B350C8">
          <w:rPr>
            <w:rStyle w:val="Hyperlink"/>
            <w:rFonts w:ascii="Times New Roman" w:hAnsi="Times New Roman"/>
          </w:rPr>
          <w:t>1.1.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Structure</w:t>
        </w:r>
        <w:r>
          <w:rPr>
            <w:webHidden/>
          </w:rPr>
          <w:tab/>
        </w:r>
        <w:r>
          <w:rPr>
            <w:webHidden/>
          </w:rPr>
          <w:fldChar w:fldCharType="begin"/>
        </w:r>
        <w:r>
          <w:rPr>
            <w:webHidden/>
          </w:rPr>
          <w:instrText xml:space="preserve"> PAGEREF _Toc496022262 \h </w:instrText>
        </w:r>
        <w:r>
          <w:rPr>
            <w:webHidden/>
          </w:rPr>
        </w:r>
        <w:r>
          <w:rPr>
            <w:webHidden/>
          </w:rPr>
          <w:fldChar w:fldCharType="separate"/>
        </w:r>
        <w:r>
          <w:rPr>
            <w:webHidden/>
          </w:rPr>
          <w:t>5</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63" w:history="1">
        <w:r w:rsidRPr="00B350C8">
          <w:rPr>
            <w:rStyle w:val="Hyperlink"/>
            <w:rFonts w:ascii="Times New Roman" w:hAnsi="Times New Roman"/>
          </w:rPr>
          <w:t>1.2.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Convention de numérotation</w:t>
        </w:r>
        <w:r>
          <w:rPr>
            <w:webHidden/>
          </w:rPr>
          <w:tab/>
        </w:r>
        <w:r>
          <w:rPr>
            <w:webHidden/>
          </w:rPr>
          <w:fldChar w:fldCharType="begin"/>
        </w:r>
        <w:r>
          <w:rPr>
            <w:webHidden/>
          </w:rPr>
          <w:instrText xml:space="preserve"> PAGEREF _Toc496022263 \h </w:instrText>
        </w:r>
        <w:r>
          <w:rPr>
            <w:webHidden/>
          </w:rPr>
        </w:r>
        <w:r>
          <w:rPr>
            <w:webHidden/>
          </w:rPr>
          <w:fldChar w:fldCharType="separate"/>
        </w:r>
        <w:r>
          <w:rPr>
            <w:webHidden/>
          </w:rPr>
          <w:t>5</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64" w:history="1">
        <w:r w:rsidRPr="00B350C8">
          <w:rPr>
            <w:rStyle w:val="Hyperlink"/>
            <w:rFonts w:ascii="Times New Roman" w:hAnsi="Times New Roman"/>
          </w:rPr>
          <w:t>1.3.</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Convention de signes</w:t>
        </w:r>
        <w:r>
          <w:rPr>
            <w:webHidden/>
          </w:rPr>
          <w:tab/>
        </w:r>
        <w:r>
          <w:rPr>
            <w:webHidden/>
          </w:rPr>
          <w:fldChar w:fldCharType="begin"/>
        </w:r>
        <w:r>
          <w:rPr>
            <w:webHidden/>
          </w:rPr>
          <w:instrText xml:space="preserve"> PAGEREF _Toc496022264 \h </w:instrText>
        </w:r>
        <w:r>
          <w:rPr>
            <w:webHidden/>
          </w:rPr>
        </w:r>
        <w:r>
          <w:rPr>
            <w:webHidden/>
          </w:rPr>
          <w:fldChar w:fldCharType="separate"/>
        </w:r>
        <w:r>
          <w:rPr>
            <w:webHidden/>
          </w:rPr>
          <w:t>6</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65" w:history="1">
        <w:r w:rsidRPr="00B350C8">
          <w:rPr>
            <w:rStyle w:val="Hyperlink"/>
            <w:rFonts w:ascii="Times New Roman" w:hAnsi="Times New Roman"/>
          </w:rPr>
          <w:t>PARTIE II: INSTRUCTIONS CONCERNANT LES MODÈLES</w:t>
        </w:r>
        <w:r>
          <w:rPr>
            <w:webHidden/>
          </w:rPr>
          <w:tab/>
        </w:r>
        <w:r>
          <w:rPr>
            <w:webHidden/>
          </w:rPr>
          <w:fldChar w:fldCharType="begin"/>
        </w:r>
        <w:r>
          <w:rPr>
            <w:webHidden/>
          </w:rPr>
          <w:instrText xml:space="preserve"> PAGEREF _Toc496022265 \h </w:instrText>
        </w:r>
        <w:r>
          <w:rPr>
            <w:webHidden/>
          </w:rPr>
        </w:r>
        <w:r>
          <w:rPr>
            <w:webHidden/>
          </w:rPr>
          <w:fldChar w:fldCharType="separate"/>
        </w:r>
        <w:r>
          <w:rPr>
            <w:webHidden/>
          </w:rPr>
          <w:t>7</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66" w:history="1">
        <w:r w:rsidRPr="00B350C8">
          <w:rPr>
            <w:rStyle w:val="Hyperlink"/>
            <w:rFonts w:ascii="Times New Roman" w:hAnsi="Times New Roman"/>
          </w:rPr>
          <w:t>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Synthèse concernant les modèles CA (adéquation des fonds propres)</w:t>
        </w:r>
        <w:r>
          <w:rPr>
            <w:webHidden/>
          </w:rPr>
          <w:tab/>
        </w:r>
        <w:r>
          <w:rPr>
            <w:webHidden/>
          </w:rPr>
          <w:fldChar w:fldCharType="begin"/>
        </w:r>
        <w:r>
          <w:rPr>
            <w:webHidden/>
          </w:rPr>
          <w:instrText xml:space="preserve"> PAGEREF _Toc496022266 \h </w:instrText>
        </w:r>
        <w:r>
          <w:rPr>
            <w:webHidden/>
          </w:rPr>
        </w:r>
        <w:r>
          <w:rPr>
            <w:webHidden/>
          </w:rPr>
          <w:fldChar w:fldCharType="separate"/>
        </w:r>
        <w:r>
          <w:rPr>
            <w:webHidden/>
          </w:rPr>
          <w:t>7</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67" w:history="1">
        <w:r w:rsidRPr="00B350C8">
          <w:rPr>
            <w:rStyle w:val="Hyperlink"/>
            <w:rFonts w:ascii="Times New Roman" w:hAnsi="Times New Roman"/>
          </w:rPr>
          <w:t>1.1.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_Toc496022267 \h </w:instrText>
        </w:r>
        <w:r>
          <w:rPr>
            <w:webHidden/>
          </w:rPr>
        </w:r>
        <w:r>
          <w:rPr>
            <w:webHidden/>
          </w:rPr>
          <w:fldChar w:fldCharType="separate"/>
        </w:r>
        <w:r>
          <w:rPr>
            <w:webHidden/>
          </w:rPr>
          <w:t>7</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68" w:history="1">
        <w:r w:rsidRPr="00B350C8">
          <w:rPr>
            <w:rStyle w:val="Hyperlink"/>
            <w:rFonts w:ascii="Times New Roman" w:hAnsi="Times New Roman"/>
          </w:rPr>
          <w:t>1.2.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01.00 - FONDS PROPRES (CA1)</w:t>
        </w:r>
        <w:r>
          <w:rPr>
            <w:webHidden/>
          </w:rPr>
          <w:tab/>
        </w:r>
        <w:r>
          <w:rPr>
            <w:webHidden/>
          </w:rPr>
          <w:fldChar w:fldCharType="begin"/>
        </w:r>
        <w:r>
          <w:rPr>
            <w:webHidden/>
          </w:rPr>
          <w:instrText xml:space="preserve"> PAGEREF _Toc496022268 \h </w:instrText>
        </w:r>
        <w:r>
          <w:rPr>
            <w:webHidden/>
          </w:rPr>
        </w:r>
        <w:r>
          <w:rPr>
            <w:webHidden/>
          </w:rPr>
          <w:fldChar w:fldCharType="separate"/>
        </w:r>
        <w:r>
          <w:rPr>
            <w:webHidden/>
          </w:rPr>
          <w:t>8</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69" w:history="1">
        <w:r w:rsidRPr="00B350C8">
          <w:rPr>
            <w:rStyle w:val="Hyperlink"/>
            <w:rFonts w:ascii="Times New Roman" w:hAnsi="Times New Roman"/>
          </w:rPr>
          <w:t>1.2.1.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_Toc496022269 \h </w:instrText>
        </w:r>
        <w:r>
          <w:rPr>
            <w:webHidden/>
          </w:rPr>
        </w:r>
        <w:r>
          <w:rPr>
            <w:webHidden/>
          </w:rPr>
          <w:fldChar w:fldCharType="separate"/>
        </w:r>
        <w:r>
          <w:rPr>
            <w:webHidden/>
          </w:rPr>
          <w:t>8</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70" w:history="1">
        <w:r w:rsidRPr="00B350C8">
          <w:rPr>
            <w:rStyle w:val="Hyperlink"/>
            <w:rFonts w:ascii="Times New Roman" w:hAnsi="Times New Roman"/>
          </w:rPr>
          <w:t>1.3.</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02.00 - EXIGENCES DE FONDS PROPRES (CA2)</w:t>
        </w:r>
        <w:r>
          <w:rPr>
            <w:webHidden/>
          </w:rPr>
          <w:tab/>
        </w:r>
        <w:r>
          <w:rPr>
            <w:webHidden/>
          </w:rPr>
          <w:fldChar w:fldCharType="begin"/>
        </w:r>
        <w:r>
          <w:rPr>
            <w:webHidden/>
          </w:rPr>
          <w:instrText xml:space="preserve"> PAGEREF _Toc496022270 \h </w:instrText>
        </w:r>
        <w:r>
          <w:rPr>
            <w:webHidden/>
          </w:rPr>
        </w:r>
        <w:r>
          <w:rPr>
            <w:webHidden/>
          </w:rPr>
          <w:fldChar w:fldCharType="separate"/>
        </w:r>
        <w:r>
          <w:rPr>
            <w:webHidden/>
          </w:rPr>
          <w:t>25</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71" w:history="1">
        <w:r w:rsidRPr="00B350C8">
          <w:rPr>
            <w:rStyle w:val="Hyperlink"/>
            <w:rFonts w:ascii="Times New Roman" w:hAnsi="Times New Roman"/>
          </w:rPr>
          <w:t>1.3.1.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_Toc496022271 \h </w:instrText>
        </w:r>
        <w:r>
          <w:rPr>
            <w:webHidden/>
          </w:rPr>
        </w:r>
        <w:r>
          <w:rPr>
            <w:webHidden/>
          </w:rPr>
          <w:fldChar w:fldCharType="separate"/>
        </w:r>
        <w:r>
          <w:rPr>
            <w:webHidden/>
          </w:rPr>
          <w:t>25</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72" w:history="1">
        <w:r w:rsidRPr="00B350C8">
          <w:rPr>
            <w:rStyle w:val="Hyperlink"/>
            <w:rFonts w:ascii="Times New Roman" w:hAnsi="Times New Roman"/>
          </w:rPr>
          <w:t>1.4</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03.00 – RATIOS DE FONDS PROPRES ET NIVEAUX DE FONDS PROPRES (CA3)</w:t>
        </w:r>
        <w:r>
          <w:rPr>
            <w:webHidden/>
          </w:rPr>
          <w:tab/>
        </w:r>
        <w:r>
          <w:rPr>
            <w:webHidden/>
          </w:rPr>
          <w:fldChar w:fldCharType="begin"/>
        </w:r>
        <w:r>
          <w:rPr>
            <w:webHidden/>
          </w:rPr>
          <w:instrText xml:space="preserve"> PAGEREF _Toc496022272 \h </w:instrText>
        </w:r>
        <w:r>
          <w:rPr>
            <w:webHidden/>
          </w:rPr>
        </w:r>
        <w:r>
          <w:rPr>
            <w:webHidden/>
          </w:rPr>
          <w:fldChar w:fldCharType="separate"/>
        </w:r>
        <w:r>
          <w:rPr>
            <w:webHidden/>
          </w:rPr>
          <w:t>32</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73" w:history="1">
        <w:r w:rsidRPr="00B350C8">
          <w:rPr>
            <w:rStyle w:val="Hyperlink"/>
            <w:rFonts w:ascii="Times New Roman" w:hAnsi="Times New Roman"/>
          </w:rPr>
          <w:t>1.4.1.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_Toc496022273 \h </w:instrText>
        </w:r>
        <w:r>
          <w:rPr>
            <w:webHidden/>
          </w:rPr>
        </w:r>
        <w:r>
          <w:rPr>
            <w:webHidden/>
          </w:rPr>
          <w:fldChar w:fldCharType="separate"/>
        </w:r>
        <w:r>
          <w:rPr>
            <w:webHidden/>
          </w:rPr>
          <w:t>32</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74" w:history="1">
        <w:r w:rsidRPr="00B350C8">
          <w:rPr>
            <w:rStyle w:val="Hyperlink"/>
            <w:rFonts w:ascii="Times New Roman" w:hAnsi="Times New Roman"/>
          </w:rPr>
          <w:t>1.5.</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04.00 – ÉLÉMENTS POUR MÉMOIRE (CA4)</w:t>
        </w:r>
        <w:r>
          <w:rPr>
            <w:webHidden/>
          </w:rPr>
          <w:tab/>
        </w:r>
        <w:r>
          <w:rPr>
            <w:webHidden/>
          </w:rPr>
          <w:fldChar w:fldCharType="begin"/>
        </w:r>
        <w:r>
          <w:rPr>
            <w:webHidden/>
          </w:rPr>
          <w:instrText xml:space="preserve"> PAGEREF _Toc496022274 \h </w:instrText>
        </w:r>
        <w:r>
          <w:rPr>
            <w:webHidden/>
          </w:rPr>
        </w:r>
        <w:r>
          <w:rPr>
            <w:webHidden/>
          </w:rPr>
          <w:fldChar w:fldCharType="separate"/>
        </w:r>
        <w:r>
          <w:rPr>
            <w:webHidden/>
          </w:rPr>
          <w:t>34</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75" w:history="1">
        <w:r w:rsidRPr="00B350C8">
          <w:rPr>
            <w:rStyle w:val="Hyperlink"/>
            <w:rFonts w:ascii="Times New Roman" w:hAnsi="Times New Roman"/>
          </w:rPr>
          <w:t>1.5.1.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_Toc496022275 \h </w:instrText>
        </w:r>
        <w:r>
          <w:rPr>
            <w:webHidden/>
          </w:rPr>
        </w:r>
        <w:r>
          <w:rPr>
            <w:webHidden/>
          </w:rPr>
          <w:fldChar w:fldCharType="separate"/>
        </w:r>
        <w:r>
          <w:rPr>
            <w:webHidden/>
          </w:rPr>
          <w:t>34</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76" w:history="1">
        <w:r w:rsidRPr="00B350C8">
          <w:rPr>
            <w:rStyle w:val="Hyperlink"/>
            <w:rFonts w:ascii="Times New Roman" w:hAnsi="Times New Roman"/>
          </w:rPr>
          <w:t>1.6</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DISPOSITIONS TRANSITOIRES et INSTRUMENTS BÉNÉFICIANT D’UNE CLAUSE D’ANTÉRIORITÉ: INSTRUMENTS NE CONSTITUANT PAS UNE AIDE D’ÉTAT (CA5)</w:t>
        </w:r>
        <w:r>
          <w:rPr>
            <w:webHidden/>
          </w:rPr>
          <w:tab/>
        </w:r>
        <w:r>
          <w:rPr>
            <w:webHidden/>
          </w:rPr>
          <w:fldChar w:fldCharType="begin"/>
        </w:r>
        <w:r>
          <w:rPr>
            <w:webHidden/>
          </w:rPr>
          <w:instrText xml:space="preserve"> PAGEREF _Toc496022276 \h </w:instrText>
        </w:r>
        <w:r>
          <w:rPr>
            <w:webHidden/>
          </w:rPr>
        </w:r>
        <w:r>
          <w:rPr>
            <w:webHidden/>
          </w:rPr>
          <w:fldChar w:fldCharType="separate"/>
        </w:r>
        <w:r>
          <w:rPr>
            <w:webHidden/>
          </w:rPr>
          <w:t>52</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77" w:history="1">
        <w:r w:rsidRPr="00B350C8">
          <w:rPr>
            <w:rStyle w:val="Hyperlink"/>
            <w:rFonts w:ascii="Times New Roman" w:hAnsi="Times New Roman"/>
          </w:rPr>
          <w:t>1.6.1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_Toc496022277 \h </w:instrText>
        </w:r>
        <w:r>
          <w:rPr>
            <w:webHidden/>
          </w:rPr>
        </w:r>
        <w:r>
          <w:rPr>
            <w:webHidden/>
          </w:rPr>
          <w:fldChar w:fldCharType="separate"/>
        </w:r>
        <w:r>
          <w:rPr>
            <w:webHidden/>
          </w:rPr>
          <w:t>52</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78" w:history="1">
        <w:r w:rsidRPr="00B350C8">
          <w:rPr>
            <w:rStyle w:val="Hyperlink"/>
            <w:rFonts w:ascii="Times New Roman" w:hAnsi="Times New Roman"/>
          </w:rPr>
          <w:t>1.6.2.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05.01 - DISPOSITIONS TRANSITOIRES (CA5.1)</w:t>
        </w:r>
        <w:r>
          <w:rPr>
            <w:webHidden/>
          </w:rPr>
          <w:tab/>
        </w:r>
        <w:r>
          <w:rPr>
            <w:webHidden/>
          </w:rPr>
          <w:fldChar w:fldCharType="begin"/>
        </w:r>
        <w:r>
          <w:rPr>
            <w:webHidden/>
          </w:rPr>
          <w:instrText xml:space="preserve"> PAGEREF _Toc496022278 \h </w:instrText>
        </w:r>
        <w:r>
          <w:rPr>
            <w:webHidden/>
          </w:rPr>
        </w:r>
        <w:r>
          <w:rPr>
            <w:webHidden/>
          </w:rPr>
          <w:fldChar w:fldCharType="separate"/>
        </w:r>
        <w:r>
          <w:rPr>
            <w:webHidden/>
          </w:rPr>
          <w:t>52</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79" w:history="1">
        <w:r w:rsidRPr="00B350C8">
          <w:rPr>
            <w:rStyle w:val="Hyperlink"/>
            <w:rFonts w:ascii="Times New Roman" w:hAnsi="Times New Roman"/>
          </w:rPr>
          <w:t>1.6.2.1.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_Toc496022279 \h </w:instrText>
        </w:r>
        <w:r>
          <w:rPr>
            <w:webHidden/>
          </w:rPr>
        </w:r>
        <w:r>
          <w:rPr>
            <w:webHidden/>
          </w:rPr>
          <w:fldChar w:fldCharType="separate"/>
        </w:r>
        <w:r>
          <w:rPr>
            <w:webHidden/>
          </w:rPr>
          <w:t>53</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80" w:history="1">
        <w:r w:rsidRPr="00B350C8">
          <w:rPr>
            <w:rStyle w:val="Hyperlink"/>
            <w:rFonts w:ascii="Times New Roman" w:hAnsi="Times New Roman"/>
          </w:rPr>
          <w:t>1.6.3.</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05.02 - INSTRUMENTS BÉNÉFICIANT D'UNE CLAUSE D'ANTÉRIORITÉ: INSTRUMENTS NE CONSTITUANT PAS UNE AIDE D'ÉTAT (CA5.2)</w:t>
        </w:r>
        <w:r>
          <w:rPr>
            <w:webHidden/>
          </w:rPr>
          <w:tab/>
        </w:r>
        <w:r>
          <w:rPr>
            <w:webHidden/>
          </w:rPr>
          <w:fldChar w:fldCharType="begin"/>
        </w:r>
        <w:r>
          <w:rPr>
            <w:webHidden/>
          </w:rPr>
          <w:instrText xml:space="preserve"> PAGEREF _Toc496022280 \h </w:instrText>
        </w:r>
        <w:r>
          <w:rPr>
            <w:webHidden/>
          </w:rPr>
        </w:r>
        <w:r>
          <w:rPr>
            <w:webHidden/>
          </w:rPr>
          <w:fldChar w:fldCharType="separate"/>
        </w:r>
        <w:r>
          <w:rPr>
            <w:webHidden/>
          </w:rPr>
          <w:t>62</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81" w:history="1">
        <w:r w:rsidRPr="00B350C8">
          <w:rPr>
            <w:rStyle w:val="Hyperlink"/>
            <w:rFonts w:ascii="Times New Roman" w:hAnsi="Times New Roman"/>
          </w:rPr>
          <w:t>1.6.3.1.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_Toc496022281 \h </w:instrText>
        </w:r>
        <w:r>
          <w:rPr>
            <w:webHidden/>
          </w:rPr>
        </w:r>
        <w:r>
          <w:rPr>
            <w:webHidden/>
          </w:rPr>
          <w:fldChar w:fldCharType="separate"/>
        </w:r>
        <w:r>
          <w:rPr>
            <w:webHidden/>
          </w:rPr>
          <w:t>62</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82" w:history="1">
        <w:r w:rsidRPr="00B350C8">
          <w:rPr>
            <w:rStyle w:val="Hyperlink"/>
            <w:rFonts w:ascii="Times New Roman" w:hAnsi="Times New Roman"/>
          </w:rPr>
          <w:t>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SOLVABILITÉ DU GROUPE: INFORMATIONS SUR LES FILIALES (GS)</w:t>
        </w:r>
        <w:r>
          <w:rPr>
            <w:webHidden/>
          </w:rPr>
          <w:tab/>
        </w:r>
        <w:r>
          <w:rPr>
            <w:webHidden/>
          </w:rPr>
          <w:fldChar w:fldCharType="begin"/>
        </w:r>
        <w:r>
          <w:rPr>
            <w:webHidden/>
          </w:rPr>
          <w:instrText xml:space="preserve"> PAGEREF _Toc496022282 \h </w:instrText>
        </w:r>
        <w:r>
          <w:rPr>
            <w:webHidden/>
          </w:rPr>
        </w:r>
        <w:r>
          <w:rPr>
            <w:webHidden/>
          </w:rPr>
          <w:fldChar w:fldCharType="separate"/>
        </w:r>
        <w:r>
          <w:rPr>
            <w:webHidden/>
          </w:rPr>
          <w:t>65</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83" w:history="1">
        <w:r w:rsidRPr="00B350C8">
          <w:rPr>
            <w:rStyle w:val="Hyperlink"/>
            <w:rFonts w:ascii="Times New Roman" w:hAnsi="Times New Roman"/>
          </w:rPr>
          <w:t>2,1.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_Toc496022283 \h </w:instrText>
        </w:r>
        <w:r>
          <w:rPr>
            <w:webHidden/>
          </w:rPr>
        </w:r>
        <w:r>
          <w:rPr>
            <w:webHidden/>
          </w:rPr>
          <w:fldChar w:fldCharType="separate"/>
        </w:r>
        <w:r>
          <w:rPr>
            <w:webHidden/>
          </w:rPr>
          <w:t>65</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84" w:history="1">
        <w:r w:rsidRPr="00B350C8">
          <w:rPr>
            <w:rStyle w:val="Hyperlink"/>
            <w:rFonts w:ascii="Times New Roman" w:hAnsi="Times New Roman"/>
          </w:rPr>
          <w:t>2.2.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Informations détaillées sur la solvabilité du groupe</w:t>
        </w:r>
        <w:r>
          <w:rPr>
            <w:webHidden/>
          </w:rPr>
          <w:tab/>
        </w:r>
        <w:r>
          <w:rPr>
            <w:webHidden/>
          </w:rPr>
          <w:fldChar w:fldCharType="begin"/>
        </w:r>
        <w:r>
          <w:rPr>
            <w:webHidden/>
          </w:rPr>
          <w:instrText xml:space="preserve"> PAGEREF _Toc496022284 \h </w:instrText>
        </w:r>
        <w:r>
          <w:rPr>
            <w:webHidden/>
          </w:rPr>
        </w:r>
        <w:r>
          <w:rPr>
            <w:webHidden/>
          </w:rPr>
          <w:fldChar w:fldCharType="separate"/>
        </w:r>
        <w:r>
          <w:rPr>
            <w:webHidden/>
          </w:rPr>
          <w:t>65</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85" w:history="1">
        <w:r w:rsidRPr="00B350C8">
          <w:rPr>
            <w:rStyle w:val="Hyperlink"/>
            <w:rFonts w:ascii="Times New Roman" w:hAnsi="Times New Roman"/>
          </w:rPr>
          <w:t>2.3.</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Informations sur les contributions des différentes entités à la solvabilité du groupe</w:t>
        </w:r>
        <w:r>
          <w:rPr>
            <w:webHidden/>
          </w:rPr>
          <w:tab/>
        </w:r>
        <w:r>
          <w:rPr>
            <w:webHidden/>
          </w:rPr>
          <w:fldChar w:fldCharType="begin"/>
        </w:r>
        <w:r>
          <w:rPr>
            <w:webHidden/>
          </w:rPr>
          <w:instrText xml:space="preserve"> PAGEREF _Toc496022285 \h </w:instrText>
        </w:r>
        <w:r>
          <w:rPr>
            <w:webHidden/>
          </w:rPr>
        </w:r>
        <w:r>
          <w:rPr>
            <w:webHidden/>
          </w:rPr>
          <w:fldChar w:fldCharType="separate"/>
        </w:r>
        <w:r>
          <w:rPr>
            <w:webHidden/>
          </w:rPr>
          <w:t>66</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86" w:history="1">
        <w:r w:rsidRPr="00B350C8">
          <w:rPr>
            <w:rStyle w:val="Hyperlink"/>
            <w:rFonts w:ascii="Times New Roman" w:hAnsi="Times New Roman"/>
          </w:rPr>
          <w:t>2.4.</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06.01 – SOLVABILITÉ DU GROUPE: INFORMATIONS SUR LES FILIALES – Total (GS Total)</w:t>
        </w:r>
        <w:r>
          <w:rPr>
            <w:webHidden/>
          </w:rPr>
          <w:tab/>
        </w:r>
        <w:r>
          <w:rPr>
            <w:webHidden/>
          </w:rPr>
          <w:fldChar w:fldCharType="begin"/>
        </w:r>
        <w:r>
          <w:rPr>
            <w:webHidden/>
          </w:rPr>
          <w:instrText xml:space="preserve"> PAGEREF _Toc496022286 \h </w:instrText>
        </w:r>
        <w:r>
          <w:rPr>
            <w:webHidden/>
          </w:rPr>
        </w:r>
        <w:r>
          <w:rPr>
            <w:webHidden/>
          </w:rPr>
          <w:fldChar w:fldCharType="separate"/>
        </w:r>
        <w:r>
          <w:rPr>
            <w:webHidden/>
          </w:rPr>
          <w:t>67</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87" w:history="1">
        <w:r w:rsidRPr="00B350C8">
          <w:rPr>
            <w:rStyle w:val="Hyperlink"/>
            <w:rFonts w:ascii="Times New Roman" w:hAnsi="Times New Roman"/>
          </w:rPr>
          <w:t>2.5.</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06.02 – SOLVABILITÉ DU GROUPE: INFORMATIONS SUR LES FILIALES (GS)</w:t>
        </w:r>
        <w:r>
          <w:rPr>
            <w:webHidden/>
          </w:rPr>
          <w:tab/>
        </w:r>
        <w:r>
          <w:rPr>
            <w:webHidden/>
          </w:rPr>
          <w:fldChar w:fldCharType="begin"/>
        </w:r>
        <w:r>
          <w:rPr>
            <w:webHidden/>
          </w:rPr>
          <w:instrText xml:space="preserve"> PAGEREF _Toc496022287 \h </w:instrText>
        </w:r>
        <w:r>
          <w:rPr>
            <w:webHidden/>
          </w:rPr>
        </w:r>
        <w:r>
          <w:rPr>
            <w:webHidden/>
          </w:rPr>
          <w:fldChar w:fldCharType="separate"/>
        </w:r>
        <w:r>
          <w:rPr>
            <w:webHidden/>
          </w:rPr>
          <w:t>67</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88" w:history="1">
        <w:r w:rsidRPr="00B350C8">
          <w:rPr>
            <w:rStyle w:val="Hyperlink"/>
            <w:rFonts w:ascii="Times New Roman" w:hAnsi="Times New Roman"/>
          </w:rPr>
          <w:t>3.</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Modèles consacrés au risque de crédit</w:t>
        </w:r>
        <w:r>
          <w:rPr>
            <w:webHidden/>
          </w:rPr>
          <w:tab/>
        </w:r>
        <w:r>
          <w:rPr>
            <w:webHidden/>
          </w:rPr>
          <w:fldChar w:fldCharType="begin"/>
        </w:r>
        <w:r>
          <w:rPr>
            <w:webHidden/>
          </w:rPr>
          <w:instrText xml:space="preserve"> PAGEREF _Toc496022288 \h </w:instrText>
        </w:r>
        <w:r>
          <w:rPr>
            <w:webHidden/>
          </w:rPr>
        </w:r>
        <w:r>
          <w:rPr>
            <w:webHidden/>
          </w:rPr>
          <w:fldChar w:fldCharType="separate"/>
        </w:r>
        <w:r>
          <w:rPr>
            <w:webHidden/>
          </w:rPr>
          <w:t>76</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89" w:history="1">
        <w:r w:rsidRPr="00B350C8">
          <w:rPr>
            <w:rStyle w:val="Hyperlink"/>
            <w:rFonts w:ascii="Times New Roman" w:hAnsi="Times New Roman"/>
          </w:rPr>
          <w:t>3.1.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_Toc496022289 \h </w:instrText>
        </w:r>
        <w:r>
          <w:rPr>
            <w:webHidden/>
          </w:rPr>
        </w:r>
        <w:r>
          <w:rPr>
            <w:webHidden/>
          </w:rPr>
          <w:fldChar w:fldCharType="separate"/>
        </w:r>
        <w:r>
          <w:rPr>
            <w:webHidden/>
          </w:rPr>
          <w:t>76</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90" w:history="1">
        <w:r w:rsidRPr="00B350C8">
          <w:rPr>
            <w:rStyle w:val="Hyperlink"/>
            <w:rFonts w:ascii="Times New Roman" w:hAnsi="Times New Roman"/>
          </w:rPr>
          <w:t>3.1.1.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Déclaration des techniques d’atténuation du risque de crédit avec effet de substitution</w:t>
        </w:r>
        <w:r>
          <w:rPr>
            <w:webHidden/>
          </w:rPr>
          <w:tab/>
        </w:r>
        <w:r>
          <w:rPr>
            <w:webHidden/>
          </w:rPr>
          <w:fldChar w:fldCharType="begin"/>
        </w:r>
        <w:r>
          <w:rPr>
            <w:webHidden/>
          </w:rPr>
          <w:instrText xml:space="preserve"> PAGEREF _Toc496022290 \h </w:instrText>
        </w:r>
        <w:r>
          <w:rPr>
            <w:webHidden/>
          </w:rPr>
        </w:r>
        <w:r>
          <w:rPr>
            <w:webHidden/>
          </w:rPr>
          <w:fldChar w:fldCharType="separate"/>
        </w:r>
        <w:r>
          <w:rPr>
            <w:webHidden/>
          </w:rPr>
          <w:t>76</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91" w:history="1">
        <w:r w:rsidRPr="00B350C8">
          <w:rPr>
            <w:rStyle w:val="Hyperlink"/>
            <w:rFonts w:ascii="Times New Roman" w:hAnsi="Times New Roman"/>
          </w:rPr>
          <w:t>3.1.2.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Déclaration du risque de crédit de contrepartie</w:t>
        </w:r>
        <w:r>
          <w:rPr>
            <w:webHidden/>
          </w:rPr>
          <w:tab/>
        </w:r>
        <w:r>
          <w:rPr>
            <w:webHidden/>
          </w:rPr>
          <w:fldChar w:fldCharType="begin"/>
        </w:r>
        <w:r>
          <w:rPr>
            <w:webHidden/>
          </w:rPr>
          <w:instrText xml:space="preserve"> PAGEREF _Toc496022291 \h </w:instrText>
        </w:r>
        <w:r>
          <w:rPr>
            <w:webHidden/>
          </w:rPr>
        </w:r>
        <w:r>
          <w:rPr>
            <w:webHidden/>
          </w:rPr>
          <w:fldChar w:fldCharType="separate"/>
        </w:r>
        <w:r>
          <w:rPr>
            <w:webHidden/>
          </w:rPr>
          <w:t>77</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92" w:history="1">
        <w:r w:rsidRPr="00B350C8">
          <w:rPr>
            <w:rStyle w:val="Hyperlink"/>
            <w:rFonts w:ascii="Times New Roman" w:hAnsi="Times New Roman"/>
          </w:rPr>
          <w:t>3.2.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07.00 – Risques de crédit et de crédit de contrepartie et positions de négociation non dénouées: approche standard des exigences de fonds propres (CR SA)</w:t>
        </w:r>
        <w:r>
          <w:rPr>
            <w:webHidden/>
          </w:rPr>
          <w:tab/>
        </w:r>
        <w:r>
          <w:rPr>
            <w:webHidden/>
          </w:rPr>
          <w:fldChar w:fldCharType="begin"/>
        </w:r>
        <w:r>
          <w:rPr>
            <w:webHidden/>
          </w:rPr>
          <w:instrText xml:space="preserve"> PAGEREF _Toc496022292 \h </w:instrText>
        </w:r>
        <w:r>
          <w:rPr>
            <w:webHidden/>
          </w:rPr>
        </w:r>
        <w:r>
          <w:rPr>
            <w:webHidden/>
          </w:rPr>
          <w:fldChar w:fldCharType="separate"/>
        </w:r>
        <w:r>
          <w:rPr>
            <w:webHidden/>
          </w:rPr>
          <w:t>77</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93" w:history="1">
        <w:r w:rsidRPr="00B350C8">
          <w:rPr>
            <w:rStyle w:val="Hyperlink"/>
            <w:rFonts w:ascii="Times New Roman" w:hAnsi="Times New Roman"/>
          </w:rPr>
          <w:t>3.2.1.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_Toc496022293 \h </w:instrText>
        </w:r>
        <w:r>
          <w:rPr>
            <w:webHidden/>
          </w:rPr>
        </w:r>
        <w:r>
          <w:rPr>
            <w:webHidden/>
          </w:rPr>
          <w:fldChar w:fldCharType="separate"/>
        </w:r>
        <w:r>
          <w:rPr>
            <w:webHidden/>
          </w:rPr>
          <w:t>77</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94" w:history="1">
        <w:r w:rsidRPr="00B350C8">
          <w:rPr>
            <w:rStyle w:val="Hyperlink"/>
            <w:rFonts w:ascii="Times New Roman" w:hAnsi="Times New Roman"/>
          </w:rPr>
          <w:t>3.2.2.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Champ d’application du modèle CR SA</w:t>
        </w:r>
        <w:r>
          <w:rPr>
            <w:webHidden/>
          </w:rPr>
          <w:tab/>
        </w:r>
        <w:r>
          <w:rPr>
            <w:webHidden/>
          </w:rPr>
          <w:fldChar w:fldCharType="begin"/>
        </w:r>
        <w:r>
          <w:rPr>
            <w:webHidden/>
          </w:rPr>
          <w:instrText xml:space="preserve"> PAGEREF _Toc496022294 \h </w:instrText>
        </w:r>
        <w:r>
          <w:rPr>
            <w:webHidden/>
          </w:rPr>
        </w:r>
        <w:r>
          <w:rPr>
            <w:webHidden/>
          </w:rPr>
          <w:fldChar w:fldCharType="separate"/>
        </w:r>
        <w:r>
          <w:rPr>
            <w:webHidden/>
          </w:rPr>
          <w:t>77</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95" w:history="1">
        <w:r w:rsidRPr="00B350C8">
          <w:rPr>
            <w:rStyle w:val="Hyperlink"/>
            <w:rFonts w:ascii="Times New Roman" w:hAnsi="Times New Roman"/>
          </w:rPr>
          <w:t>3.2.3.</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 xml:space="preserve"> Affectation des expositions aux catégories d’expositions, selon l’approche standard</w:t>
        </w:r>
        <w:r>
          <w:rPr>
            <w:webHidden/>
          </w:rPr>
          <w:tab/>
        </w:r>
        <w:r>
          <w:rPr>
            <w:webHidden/>
          </w:rPr>
          <w:fldChar w:fldCharType="begin"/>
        </w:r>
        <w:r>
          <w:rPr>
            <w:webHidden/>
          </w:rPr>
          <w:instrText xml:space="preserve"> PAGEREF _Toc496022295 \h </w:instrText>
        </w:r>
        <w:r>
          <w:rPr>
            <w:webHidden/>
          </w:rPr>
        </w:r>
        <w:r>
          <w:rPr>
            <w:webHidden/>
          </w:rPr>
          <w:fldChar w:fldCharType="separate"/>
        </w:r>
        <w:r>
          <w:rPr>
            <w:webHidden/>
          </w:rPr>
          <w:t>79</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96" w:history="1">
        <w:r w:rsidRPr="00B350C8">
          <w:rPr>
            <w:rStyle w:val="Hyperlink"/>
            <w:rFonts w:ascii="Times New Roman" w:hAnsi="Times New Roman"/>
          </w:rPr>
          <w:t>3.2.4.</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Éclaircissements sur l’étendue de certaines catégories d’expositions visées à l’article 112 du CRR</w:t>
        </w:r>
        <w:r>
          <w:rPr>
            <w:webHidden/>
          </w:rPr>
          <w:tab/>
        </w:r>
        <w:r>
          <w:rPr>
            <w:webHidden/>
          </w:rPr>
          <w:fldChar w:fldCharType="begin"/>
        </w:r>
        <w:r>
          <w:rPr>
            <w:webHidden/>
          </w:rPr>
          <w:instrText xml:space="preserve"> PAGEREF _Toc496022296 \h </w:instrText>
        </w:r>
        <w:r>
          <w:rPr>
            <w:webHidden/>
          </w:rPr>
        </w:r>
        <w:r>
          <w:rPr>
            <w:webHidden/>
          </w:rPr>
          <w:fldChar w:fldCharType="separate"/>
        </w:r>
        <w:r>
          <w:rPr>
            <w:webHidden/>
          </w:rPr>
          <w:t>84</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97" w:history="1">
        <w:r w:rsidRPr="00B350C8">
          <w:rPr>
            <w:rStyle w:val="Hyperlink"/>
            <w:rFonts w:ascii="Times New Roman" w:hAnsi="Times New Roman"/>
          </w:rPr>
          <w:t>3.2.4.1.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Catégorie d'expositions «Établissements»</w:t>
        </w:r>
        <w:r>
          <w:rPr>
            <w:webHidden/>
          </w:rPr>
          <w:tab/>
        </w:r>
        <w:r>
          <w:rPr>
            <w:webHidden/>
          </w:rPr>
          <w:fldChar w:fldCharType="begin"/>
        </w:r>
        <w:r>
          <w:rPr>
            <w:webHidden/>
          </w:rPr>
          <w:instrText xml:space="preserve"> PAGEREF _Toc496022297 \h </w:instrText>
        </w:r>
        <w:r>
          <w:rPr>
            <w:webHidden/>
          </w:rPr>
        </w:r>
        <w:r>
          <w:rPr>
            <w:webHidden/>
          </w:rPr>
          <w:fldChar w:fldCharType="separate"/>
        </w:r>
        <w:r>
          <w:rPr>
            <w:webHidden/>
          </w:rPr>
          <w:t>84</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98" w:history="1">
        <w:r w:rsidRPr="00B350C8">
          <w:rPr>
            <w:rStyle w:val="Hyperlink"/>
            <w:rFonts w:ascii="Times New Roman" w:hAnsi="Times New Roman"/>
          </w:rPr>
          <w:t>3.2.4.2.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Catégorie d'expositions «Obligations garanties»</w:t>
        </w:r>
        <w:r>
          <w:rPr>
            <w:webHidden/>
          </w:rPr>
          <w:tab/>
        </w:r>
        <w:r>
          <w:rPr>
            <w:webHidden/>
          </w:rPr>
          <w:fldChar w:fldCharType="begin"/>
        </w:r>
        <w:r>
          <w:rPr>
            <w:webHidden/>
          </w:rPr>
          <w:instrText xml:space="preserve"> PAGEREF _Toc496022298 \h </w:instrText>
        </w:r>
        <w:r>
          <w:rPr>
            <w:webHidden/>
          </w:rPr>
        </w:r>
        <w:r>
          <w:rPr>
            <w:webHidden/>
          </w:rPr>
          <w:fldChar w:fldCharType="separate"/>
        </w:r>
        <w:r>
          <w:rPr>
            <w:webHidden/>
          </w:rPr>
          <w:t>84</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299" w:history="1">
        <w:r w:rsidRPr="00B350C8">
          <w:rPr>
            <w:rStyle w:val="Hyperlink"/>
            <w:rFonts w:ascii="Times New Roman" w:hAnsi="Times New Roman"/>
          </w:rPr>
          <w:t>3.2.4.3.</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Catégorie d’exposition «OPC»</w:t>
        </w:r>
        <w:r>
          <w:rPr>
            <w:webHidden/>
          </w:rPr>
          <w:tab/>
        </w:r>
        <w:r>
          <w:rPr>
            <w:webHidden/>
          </w:rPr>
          <w:fldChar w:fldCharType="begin"/>
        </w:r>
        <w:r>
          <w:rPr>
            <w:webHidden/>
          </w:rPr>
          <w:instrText xml:space="preserve"> PAGEREF _Toc496022299 \h </w:instrText>
        </w:r>
        <w:r>
          <w:rPr>
            <w:webHidden/>
          </w:rPr>
        </w:r>
        <w:r>
          <w:rPr>
            <w:webHidden/>
          </w:rPr>
          <w:fldChar w:fldCharType="separate"/>
        </w:r>
        <w:r>
          <w:rPr>
            <w:webHidden/>
          </w:rPr>
          <w:t>84</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00" w:history="1">
        <w:r w:rsidRPr="00B350C8">
          <w:rPr>
            <w:rStyle w:val="Hyperlink"/>
            <w:rFonts w:ascii="Times New Roman" w:hAnsi="Times New Roman"/>
          </w:rPr>
          <w:t>3.2.5.</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_Toc496022300 \h </w:instrText>
        </w:r>
        <w:r>
          <w:rPr>
            <w:webHidden/>
          </w:rPr>
        </w:r>
        <w:r>
          <w:rPr>
            <w:webHidden/>
          </w:rPr>
          <w:fldChar w:fldCharType="separate"/>
        </w:r>
        <w:r>
          <w:rPr>
            <w:webHidden/>
          </w:rPr>
          <w:t>84</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01" w:history="1">
        <w:r w:rsidRPr="00B350C8">
          <w:rPr>
            <w:rStyle w:val="Hyperlink"/>
            <w:rFonts w:ascii="Times New Roman" w:hAnsi="Times New Roman"/>
          </w:rPr>
          <w:t>3.3.</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Risques de crédit et de crédit de contrepartie et positions de négociation non dénouées: approche NI des exigences de fonds propres (CR IRB)</w:t>
        </w:r>
        <w:r>
          <w:rPr>
            <w:webHidden/>
          </w:rPr>
          <w:tab/>
        </w:r>
        <w:r>
          <w:rPr>
            <w:webHidden/>
          </w:rPr>
          <w:fldChar w:fldCharType="begin"/>
        </w:r>
        <w:r>
          <w:rPr>
            <w:webHidden/>
          </w:rPr>
          <w:instrText xml:space="preserve"> PAGEREF _Toc496022301 \h </w:instrText>
        </w:r>
        <w:r>
          <w:rPr>
            <w:webHidden/>
          </w:rPr>
        </w:r>
        <w:r>
          <w:rPr>
            <w:webHidden/>
          </w:rPr>
          <w:fldChar w:fldCharType="separate"/>
        </w:r>
        <w:r>
          <w:rPr>
            <w:webHidden/>
          </w:rPr>
          <w:t>92</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02" w:history="1">
        <w:r w:rsidRPr="00B350C8">
          <w:rPr>
            <w:rStyle w:val="Hyperlink"/>
            <w:rFonts w:ascii="Times New Roman" w:hAnsi="Times New Roman"/>
          </w:rPr>
          <w:t>3.3.1.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Champ d’application du modèle CR IRB</w:t>
        </w:r>
        <w:r>
          <w:rPr>
            <w:webHidden/>
          </w:rPr>
          <w:tab/>
        </w:r>
        <w:r>
          <w:rPr>
            <w:webHidden/>
          </w:rPr>
          <w:fldChar w:fldCharType="begin"/>
        </w:r>
        <w:r>
          <w:rPr>
            <w:webHidden/>
          </w:rPr>
          <w:instrText xml:space="preserve"> PAGEREF _Toc496022302 \h </w:instrText>
        </w:r>
        <w:r>
          <w:rPr>
            <w:webHidden/>
          </w:rPr>
        </w:r>
        <w:r>
          <w:rPr>
            <w:webHidden/>
          </w:rPr>
          <w:fldChar w:fldCharType="separate"/>
        </w:r>
        <w:r>
          <w:rPr>
            <w:webHidden/>
          </w:rPr>
          <w:t>92</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03" w:history="1">
        <w:r w:rsidRPr="00B350C8">
          <w:rPr>
            <w:rStyle w:val="Hyperlink"/>
            <w:rFonts w:ascii="Times New Roman" w:hAnsi="Times New Roman"/>
          </w:rPr>
          <w:t>3.3.2.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Décomposition du modèle CR IRB</w:t>
        </w:r>
        <w:r>
          <w:rPr>
            <w:webHidden/>
          </w:rPr>
          <w:tab/>
        </w:r>
        <w:r>
          <w:rPr>
            <w:webHidden/>
          </w:rPr>
          <w:fldChar w:fldCharType="begin"/>
        </w:r>
        <w:r>
          <w:rPr>
            <w:webHidden/>
          </w:rPr>
          <w:instrText xml:space="preserve"> PAGEREF _Toc496022303 \h </w:instrText>
        </w:r>
        <w:r>
          <w:rPr>
            <w:webHidden/>
          </w:rPr>
        </w:r>
        <w:r>
          <w:rPr>
            <w:webHidden/>
          </w:rPr>
          <w:fldChar w:fldCharType="separate"/>
        </w:r>
        <w:r>
          <w:rPr>
            <w:webHidden/>
          </w:rPr>
          <w:t>94</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04" w:history="1">
        <w:r w:rsidRPr="00B350C8">
          <w:rPr>
            <w:rStyle w:val="Hyperlink"/>
            <w:rFonts w:ascii="Times New Roman" w:hAnsi="Times New Roman"/>
          </w:rPr>
          <w:t>3.3.3.</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08.01 - Risques de crédit et de crédit de contrepartie et positions de négociation non dénouées: approche NI des exigences de fonds propres (CR IRB 1)</w:t>
        </w:r>
        <w:r>
          <w:rPr>
            <w:webHidden/>
          </w:rPr>
          <w:tab/>
        </w:r>
        <w:r>
          <w:rPr>
            <w:webHidden/>
          </w:rPr>
          <w:fldChar w:fldCharType="begin"/>
        </w:r>
        <w:r>
          <w:rPr>
            <w:webHidden/>
          </w:rPr>
          <w:instrText xml:space="preserve"> PAGEREF _Toc496022304 \h </w:instrText>
        </w:r>
        <w:r>
          <w:rPr>
            <w:webHidden/>
          </w:rPr>
        </w:r>
        <w:r>
          <w:rPr>
            <w:webHidden/>
          </w:rPr>
          <w:fldChar w:fldCharType="separate"/>
        </w:r>
        <w:r>
          <w:rPr>
            <w:webHidden/>
          </w:rPr>
          <w:t>95</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05" w:history="1">
        <w:r w:rsidRPr="00B350C8">
          <w:rPr>
            <w:rStyle w:val="Hyperlink"/>
            <w:rFonts w:ascii="Times New Roman" w:hAnsi="Times New Roman"/>
          </w:rPr>
          <w:t>3.3.3.1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_Toc496022305 \h </w:instrText>
        </w:r>
        <w:r>
          <w:rPr>
            <w:webHidden/>
          </w:rPr>
        </w:r>
        <w:r>
          <w:rPr>
            <w:webHidden/>
          </w:rPr>
          <w:fldChar w:fldCharType="separate"/>
        </w:r>
        <w:r>
          <w:rPr>
            <w:webHidden/>
          </w:rPr>
          <w:t>95</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06" w:history="1">
        <w:r w:rsidRPr="00B350C8">
          <w:rPr>
            <w:rStyle w:val="Hyperlink"/>
            <w:rFonts w:ascii="Times New Roman" w:hAnsi="Times New Roman"/>
          </w:rPr>
          <w:t>3.3.4.</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08.02 - Risques de crédit et de crédit de contrepartie et positions de négociation non dénouées: approche NI des exigences de fonds propres (répartition par échelon ou catégorie de débiteurs (modèle CR IRB 2)</w:t>
        </w:r>
        <w:r>
          <w:rPr>
            <w:webHidden/>
          </w:rPr>
          <w:tab/>
        </w:r>
        <w:r>
          <w:rPr>
            <w:webHidden/>
          </w:rPr>
          <w:fldChar w:fldCharType="begin"/>
        </w:r>
        <w:r>
          <w:rPr>
            <w:webHidden/>
          </w:rPr>
          <w:instrText xml:space="preserve"> PAGEREF _Toc496022306 \h </w:instrText>
        </w:r>
        <w:r>
          <w:rPr>
            <w:webHidden/>
          </w:rPr>
        </w:r>
        <w:r>
          <w:rPr>
            <w:webHidden/>
          </w:rPr>
          <w:fldChar w:fldCharType="separate"/>
        </w:r>
        <w:r>
          <w:rPr>
            <w:webHidden/>
          </w:rPr>
          <w:t>104</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07" w:history="1">
        <w:r w:rsidRPr="00B350C8">
          <w:rPr>
            <w:rStyle w:val="Hyperlink"/>
            <w:rFonts w:ascii="Times New Roman" w:hAnsi="Times New Roman"/>
          </w:rPr>
          <w:t>3.4.</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Risques de crédit et de crédit de contrepartie et positions de négociation non dénouées: Informations concernant la répartition géographique</w:t>
        </w:r>
        <w:r>
          <w:rPr>
            <w:webHidden/>
          </w:rPr>
          <w:tab/>
        </w:r>
        <w:r>
          <w:rPr>
            <w:webHidden/>
          </w:rPr>
          <w:fldChar w:fldCharType="begin"/>
        </w:r>
        <w:r>
          <w:rPr>
            <w:webHidden/>
          </w:rPr>
          <w:instrText xml:space="preserve"> PAGEREF _Toc496022307 \h </w:instrText>
        </w:r>
        <w:r>
          <w:rPr>
            <w:webHidden/>
          </w:rPr>
        </w:r>
        <w:r>
          <w:rPr>
            <w:webHidden/>
          </w:rPr>
          <w:fldChar w:fldCharType="separate"/>
        </w:r>
        <w:r>
          <w:rPr>
            <w:webHidden/>
          </w:rPr>
          <w:t>105</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08" w:history="1">
        <w:r w:rsidRPr="00B350C8">
          <w:rPr>
            <w:rStyle w:val="Hyperlink"/>
            <w:rFonts w:ascii="Times New Roman" w:hAnsi="Times New Roman"/>
          </w:rPr>
          <w:t>3.4.1.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09.01 - Répartition géographique des expositions par pays de résidence du débiteur: expositions en approche standard (CR GB 1)</w:t>
        </w:r>
        <w:r>
          <w:rPr>
            <w:webHidden/>
          </w:rPr>
          <w:tab/>
        </w:r>
        <w:r>
          <w:rPr>
            <w:webHidden/>
          </w:rPr>
          <w:fldChar w:fldCharType="begin"/>
        </w:r>
        <w:r>
          <w:rPr>
            <w:webHidden/>
          </w:rPr>
          <w:instrText xml:space="preserve"> PAGEREF _Toc496022308 \h </w:instrText>
        </w:r>
        <w:r>
          <w:rPr>
            <w:webHidden/>
          </w:rPr>
        </w:r>
        <w:r>
          <w:rPr>
            <w:webHidden/>
          </w:rPr>
          <w:fldChar w:fldCharType="separate"/>
        </w:r>
        <w:r>
          <w:rPr>
            <w:webHidden/>
          </w:rPr>
          <w:t>105</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09" w:history="1">
        <w:r w:rsidRPr="00B350C8">
          <w:rPr>
            <w:rStyle w:val="Hyperlink"/>
            <w:rFonts w:ascii="Times New Roman" w:hAnsi="Times New Roman"/>
          </w:rPr>
          <w:t>3.4.1.1.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_Toc496022309 \h </w:instrText>
        </w:r>
        <w:r>
          <w:rPr>
            <w:webHidden/>
          </w:rPr>
        </w:r>
        <w:r>
          <w:rPr>
            <w:webHidden/>
          </w:rPr>
          <w:fldChar w:fldCharType="separate"/>
        </w:r>
        <w:r>
          <w:rPr>
            <w:webHidden/>
          </w:rPr>
          <w:t>105</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10" w:history="1">
        <w:r w:rsidRPr="00B350C8">
          <w:rPr>
            <w:rStyle w:val="Hyperlink"/>
            <w:rFonts w:ascii="Times New Roman" w:hAnsi="Times New Roman"/>
          </w:rPr>
          <w:t>3.4.2.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09.02 - Répartition géographique des expositions par pays de résidence du débiteur: expositions en approche NI (CR GB 2)</w:t>
        </w:r>
        <w:r>
          <w:rPr>
            <w:webHidden/>
          </w:rPr>
          <w:tab/>
        </w:r>
        <w:r>
          <w:rPr>
            <w:webHidden/>
          </w:rPr>
          <w:fldChar w:fldCharType="begin"/>
        </w:r>
        <w:r>
          <w:rPr>
            <w:webHidden/>
          </w:rPr>
          <w:instrText xml:space="preserve"> PAGEREF _Toc496022310 \h </w:instrText>
        </w:r>
        <w:r>
          <w:rPr>
            <w:webHidden/>
          </w:rPr>
        </w:r>
        <w:r>
          <w:rPr>
            <w:webHidden/>
          </w:rPr>
          <w:fldChar w:fldCharType="separate"/>
        </w:r>
        <w:r>
          <w:rPr>
            <w:webHidden/>
          </w:rPr>
          <w:t>108</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11" w:history="1">
        <w:r w:rsidRPr="00B350C8">
          <w:rPr>
            <w:rStyle w:val="Hyperlink"/>
            <w:rFonts w:ascii="Times New Roman" w:hAnsi="Times New Roman"/>
          </w:rPr>
          <w:t>3.4.2.1.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_Toc496022311 \h </w:instrText>
        </w:r>
        <w:r>
          <w:rPr>
            <w:webHidden/>
          </w:rPr>
        </w:r>
        <w:r>
          <w:rPr>
            <w:webHidden/>
          </w:rPr>
          <w:fldChar w:fldCharType="separate"/>
        </w:r>
        <w:r>
          <w:rPr>
            <w:webHidden/>
          </w:rPr>
          <w:t>108</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12" w:history="1">
        <w:r w:rsidRPr="00B350C8">
          <w:rPr>
            <w:rStyle w:val="Hyperlink"/>
            <w:rFonts w:ascii="Times New Roman" w:hAnsi="Times New Roman"/>
          </w:rPr>
          <w:t>3.4.3.</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09.04 — Répartition des expositions de crédit pertinentes pour le calcul du coussin contracyclique par pays et du taux de coussin contracyclique spécifique à l’établissement (CCB)</w:t>
        </w:r>
        <w:r>
          <w:rPr>
            <w:webHidden/>
          </w:rPr>
          <w:tab/>
        </w:r>
        <w:r>
          <w:rPr>
            <w:webHidden/>
          </w:rPr>
          <w:fldChar w:fldCharType="begin"/>
        </w:r>
        <w:r>
          <w:rPr>
            <w:webHidden/>
          </w:rPr>
          <w:instrText xml:space="preserve"> PAGEREF _Toc496022312 \h </w:instrText>
        </w:r>
        <w:r>
          <w:rPr>
            <w:webHidden/>
          </w:rPr>
        </w:r>
        <w:r>
          <w:rPr>
            <w:webHidden/>
          </w:rPr>
          <w:fldChar w:fldCharType="separate"/>
        </w:r>
        <w:r>
          <w:rPr>
            <w:webHidden/>
          </w:rPr>
          <w:t>111</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13" w:history="1">
        <w:r w:rsidRPr="00B350C8">
          <w:rPr>
            <w:rStyle w:val="Hyperlink"/>
            <w:rFonts w:ascii="Times New Roman" w:hAnsi="Times New Roman"/>
          </w:rPr>
          <w:t>3.4.3.1.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_Toc496022313 \h </w:instrText>
        </w:r>
        <w:r>
          <w:rPr>
            <w:webHidden/>
          </w:rPr>
        </w:r>
        <w:r>
          <w:rPr>
            <w:webHidden/>
          </w:rPr>
          <w:fldChar w:fldCharType="separate"/>
        </w:r>
        <w:r>
          <w:rPr>
            <w:webHidden/>
          </w:rPr>
          <w:t>111</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14" w:history="1">
        <w:r w:rsidRPr="00B350C8">
          <w:rPr>
            <w:rStyle w:val="Hyperlink"/>
            <w:rFonts w:ascii="Times New Roman" w:hAnsi="Times New Roman"/>
          </w:rPr>
          <w:t>3.4.3.2.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_Toc496022314 \h </w:instrText>
        </w:r>
        <w:r>
          <w:rPr>
            <w:webHidden/>
          </w:rPr>
        </w:r>
        <w:r>
          <w:rPr>
            <w:webHidden/>
          </w:rPr>
          <w:fldChar w:fldCharType="separate"/>
        </w:r>
        <w:r>
          <w:rPr>
            <w:webHidden/>
          </w:rPr>
          <w:t>112</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15" w:history="1">
        <w:r w:rsidRPr="00B350C8">
          <w:rPr>
            <w:rStyle w:val="Hyperlink"/>
            <w:rFonts w:ascii="Times New Roman" w:hAnsi="Times New Roman"/>
          </w:rPr>
          <w:t>3.5.</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10.01 et C 10.02 – Expositions sous forme d’actions selon l'approche NI (CR EQU IRB 1 et CR EQU IRB 2)</w:t>
        </w:r>
        <w:r>
          <w:rPr>
            <w:webHidden/>
          </w:rPr>
          <w:tab/>
        </w:r>
        <w:r>
          <w:rPr>
            <w:webHidden/>
          </w:rPr>
          <w:fldChar w:fldCharType="begin"/>
        </w:r>
        <w:r>
          <w:rPr>
            <w:webHidden/>
          </w:rPr>
          <w:instrText xml:space="preserve"> PAGEREF _Toc496022315 \h </w:instrText>
        </w:r>
        <w:r>
          <w:rPr>
            <w:webHidden/>
          </w:rPr>
        </w:r>
        <w:r>
          <w:rPr>
            <w:webHidden/>
          </w:rPr>
          <w:fldChar w:fldCharType="separate"/>
        </w:r>
        <w:r>
          <w:rPr>
            <w:webHidden/>
          </w:rPr>
          <w:t>117</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16" w:history="1">
        <w:r w:rsidRPr="00B350C8">
          <w:rPr>
            <w:rStyle w:val="Hyperlink"/>
            <w:rFonts w:ascii="Times New Roman" w:hAnsi="Times New Roman"/>
          </w:rPr>
          <w:t>3.5.1.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_Toc496022316 \h </w:instrText>
        </w:r>
        <w:r>
          <w:rPr>
            <w:webHidden/>
          </w:rPr>
        </w:r>
        <w:r>
          <w:rPr>
            <w:webHidden/>
          </w:rPr>
          <w:fldChar w:fldCharType="separate"/>
        </w:r>
        <w:r>
          <w:rPr>
            <w:webHidden/>
          </w:rPr>
          <w:t>117</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17" w:history="1">
        <w:r w:rsidRPr="00B350C8">
          <w:rPr>
            <w:rStyle w:val="Hyperlink"/>
            <w:rFonts w:ascii="Times New Roman" w:hAnsi="Times New Roman"/>
          </w:rPr>
          <w:t>3.5.2.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 (applicables aux sous-modèles CR EQU IRB 1 et CR EQU IRB 2)</w:t>
        </w:r>
        <w:r>
          <w:rPr>
            <w:webHidden/>
          </w:rPr>
          <w:tab/>
        </w:r>
        <w:r>
          <w:rPr>
            <w:webHidden/>
          </w:rPr>
          <w:fldChar w:fldCharType="begin"/>
        </w:r>
        <w:r>
          <w:rPr>
            <w:webHidden/>
          </w:rPr>
          <w:instrText xml:space="preserve"> PAGEREF _Toc496022317 \h </w:instrText>
        </w:r>
        <w:r>
          <w:rPr>
            <w:webHidden/>
          </w:rPr>
        </w:r>
        <w:r>
          <w:rPr>
            <w:webHidden/>
          </w:rPr>
          <w:fldChar w:fldCharType="separate"/>
        </w:r>
        <w:r>
          <w:rPr>
            <w:webHidden/>
          </w:rPr>
          <w:t>118</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18" w:history="1">
        <w:r w:rsidRPr="00B350C8">
          <w:rPr>
            <w:rStyle w:val="Hyperlink"/>
            <w:rFonts w:ascii="Times New Roman" w:hAnsi="Times New Roman"/>
          </w:rPr>
          <w:t>3.6.</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11.00 – Risque de règlement/livraison (CR SETT)</w:t>
        </w:r>
        <w:r>
          <w:rPr>
            <w:webHidden/>
          </w:rPr>
          <w:tab/>
        </w:r>
        <w:r>
          <w:rPr>
            <w:webHidden/>
          </w:rPr>
          <w:fldChar w:fldCharType="begin"/>
        </w:r>
        <w:r>
          <w:rPr>
            <w:webHidden/>
          </w:rPr>
          <w:instrText xml:space="preserve"> PAGEREF _Toc496022318 \h </w:instrText>
        </w:r>
        <w:r>
          <w:rPr>
            <w:webHidden/>
          </w:rPr>
        </w:r>
        <w:r>
          <w:rPr>
            <w:webHidden/>
          </w:rPr>
          <w:fldChar w:fldCharType="separate"/>
        </w:r>
        <w:r>
          <w:rPr>
            <w:webHidden/>
          </w:rPr>
          <w:t>122</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19" w:history="1">
        <w:r w:rsidRPr="00B350C8">
          <w:rPr>
            <w:rStyle w:val="Hyperlink"/>
            <w:rFonts w:ascii="Times New Roman" w:hAnsi="Times New Roman"/>
          </w:rPr>
          <w:t>3.6.1.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_Toc496022319 \h </w:instrText>
        </w:r>
        <w:r>
          <w:rPr>
            <w:webHidden/>
          </w:rPr>
        </w:r>
        <w:r>
          <w:rPr>
            <w:webHidden/>
          </w:rPr>
          <w:fldChar w:fldCharType="separate"/>
        </w:r>
        <w:r>
          <w:rPr>
            <w:webHidden/>
          </w:rPr>
          <w:t>122</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20" w:history="1">
        <w:r w:rsidRPr="00B350C8">
          <w:rPr>
            <w:rStyle w:val="Hyperlink"/>
            <w:rFonts w:ascii="Times New Roman" w:hAnsi="Times New Roman"/>
          </w:rPr>
          <w:t>3.6.2.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_Toc496022320 \h </w:instrText>
        </w:r>
        <w:r>
          <w:rPr>
            <w:webHidden/>
          </w:rPr>
        </w:r>
        <w:r>
          <w:rPr>
            <w:webHidden/>
          </w:rPr>
          <w:fldChar w:fldCharType="separate"/>
        </w:r>
        <w:r>
          <w:rPr>
            <w:webHidden/>
          </w:rPr>
          <w:t>123</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21" w:history="1">
        <w:r w:rsidRPr="00B350C8">
          <w:rPr>
            <w:rStyle w:val="Hyperlink"/>
            <w:rFonts w:ascii="Times New Roman" w:hAnsi="Times New Roman"/>
          </w:rPr>
          <w:t>3.7.</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12.00 - Risque de crédit: Titrisations - Approche standard des exigences de fonds propres (CR SEC SA)</w:t>
        </w:r>
        <w:r>
          <w:rPr>
            <w:webHidden/>
          </w:rPr>
          <w:tab/>
        </w:r>
        <w:r>
          <w:rPr>
            <w:webHidden/>
          </w:rPr>
          <w:fldChar w:fldCharType="begin"/>
        </w:r>
        <w:r>
          <w:rPr>
            <w:webHidden/>
          </w:rPr>
          <w:instrText xml:space="preserve"> PAGEREF _Toc496022321 \h </w:instrText>
        </w:r>
        <w:r>
          <w:rPr>
            <w:webHidden/>
          </w:rPr>
        </w:r>
        <w:r>
          <w:rPr>
            <w:webHidden/>
          </w:rPr>
          <w:fldChar w:fldCharType="separate"/>
        </w:r>
        <w:r>
          <w:rPr>
            <w:webHidden/>
          </w:rPr>
          <w:t>126</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22" w:history="1">
        <w:r w:rsidRPr="00B350C8">
          <w:rPr>
            <w:rStyle w:val="Hyperlink"/>
            <w:rFonts w:ascii="Times New Roman" w:hAnsi="Times New Roman"/>
          </w:rPr>
          <w:t>3.7.1.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_Toc496022322 \h </w:instrText>
        </w:r>
        <w:r>
          <w:rPr>
            <w:webHidden/>
          </w:rPr>
        </w:r>
        <w:r>
          <w:rPr>
            <w:webHidden/>
          </w:rPr>
          <w:fldChar w:fldCharType="separate"/>
        </w:r>
        <w:r>
          <w:rPr>
            <w:webHidden/>
          </w:rPr>
          <w:t>126</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23" w:history="1">
        <w:r w:rsidRPr="00B350C8">
          <w:rPr>
            <w:rStyle w:val="Hyperlink"/>
            <w:rFonts w:ascii="Times New Roman" w:hAnsi="Times New Roman"/>
          </w:rPr>
          <w:t>3.7.2.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_Toc496022323 \h </w:instrText>
        </w:r>
        <w:r>
          <w:rPr>
            <w:webHidden/>
          </w:rPr>
        </w:r>
        <w:r>
          <w:rPr>
            <w:webHidden/>
          </w:rPr>
          <w:fldChar w:fldCharType="separate"/>
        </w:r>
        <w:r>
          <w:rPr>
            <w:webHidden/>
          </w:rPr>
          <w:t>126</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24" w:history="1">
        <w:r w:rsidRPr="00B350C8">
          <w:rPr>
            <w:rStyle w:val="Hyperlink"/>
            <w:rFonts w:ascii="Times New Roman" w:hAnsi="Times New Roman"/>
          </w:rPr>
          <w:t>3.8.</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13.00 - Risque de crédit - Titrisations: Approche NI des exigences de fonds propres (CR SEC IRB)</w:t>
        </w:r>
        <w:r>
          <w:rPr>
            <w:webHidden/>
          </w:rPr>
          <w:tab/>
        </w:r>
        <w:r>
          <w:rPr>
            <w:webHidden/>
          </w:rPr>
          <w:fldChar w:fldCharType="begin"/>
        </w:r>
        <w:r>
          <w:rPr>
            <w:webHidden/>
          </w:rPr>
          <w:instrText xml:space="preserve"> PAGEREF _Toc496022324 \h </w:instrText>
        </w:r>
        <w:r>
          <w:rPr>
            <w:webHidden/>
          </w:rPr>
        </w:r>
        <w:r>
          <w:rPr>
            <w:webHidden/>
          </w:rPr>
          <w:fldChar w:fldCharType="separate"/>
        </w:r>
        <w:r>
          <w:rPr>
            <w:webHidden/>
          </w:rPr>
          <w:t>135</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25" w:history="1">
        <w:r w:rsidRPr="00B350C8">
          <w:rPr>
            <w:rStyle w:val="Hyperlink"/>
            <w:rFonts w:ascii="Times New Roman" w:hAnsi="Times New Roman"/>
          </w:rPr>
          <w:t>3.8.1.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_Toc496022325 \h </w:instrText>
        </w:r>
        <w:r>
          <w:rPr>
            <w:webHidden/>
          </w:rPr>
        </w:r>
        <w:r>
          <w:rPr>
            <w:webHidden/>
          </w:rPr>
          <w:fldChar w:fldCharType="separate"/>
        </w:r>
        <w:r>
          <w:rPr>
            <w:webHidden/>
          </w:rPr>
          <w:t>135</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26" w:history="1">
        <w:r w:rsidRPr="00B350C8">
          <w:rPr>
            <w:rStyle w:val="Hyperlink"/>
            <w:rFonts w:ascii="Times New Roman" w:hAnsi="Times New Roman"/>
          </w:rPr>
          <w:t>3.8.2.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_Toc496022326 \h </w:instrText>
        </w:r>
        <w:r>
          <w:rPr>
            <w:webHidden/>
          </w:rPr>
        </w:r>
        <w:r>
          <w:rPr>
            <w:webHidden/>
          </w:rPr>
          <w:fldChar w:fldCharType="separate"/>
        </w:r>
        <w:r>
          <w:rPr>
            <w:webHidden/>
          </w:rPr>
          <w:t>136</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27" w:history="1">
        <w:r w:rsidRPr="00B350C8">
          <w:rPr>
            <w:rStyle w:val="Hyperlink"/>
            <w:rFonts w:ascii="Times New Roman" w:hAnsi="Times New Roman"/>
          </w:rPr>
          <w:t>3.9.</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14.00 – Informations détaillées sur les titrisations (SEC DETAILS)</w:t>
        </w:r>
        <w:r>
          <w:rPr>
            <w:webHidden/>
          </w:rPr>
          <w:tab/>
        </w:r>
        <w:r>
          <w:rPr>
            <w:webHidden/>
          </w:rPr>
          <w:fldChar w:fldCharType="begin"/>
        </w:r>
        <w:r>
          <w:rPr>
            <w:webHidden/>
          </w:rPr>
          <w:instrText xml:space="preserve"> PAGEREF _Toc496022327 \h </w:instrText>
        </w:r>
        <w:r>
          <w:rPr>
            <w:webHidden/>
          </w:rPr>
        </w:r>
        <w:r>
          <w:rPr>
            <w:webHidden/>
          </w:rPr>
          <w:fldChar w:fldCharType="separate"/>
        </w:r>
        <w:r>
          <w:rPr>
            <w:webHidden/>
          </w:rPr>
          <w:t>145</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28" w:history="1">
        <w:r w:rsidRPr="00B350C8">
          <w:rPr>
            <w:rStyle w:val="Hyperlink"/>
            <w:rFonts w:ascii="Times New Roman" w:hAnsi="Times New Roman"/>
          </w:rPr>
          <w:t>3.9.1.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_Toc496022328 \h </w:instrText>
        </w:r>
        <w:r>
          <w:rPr>
            <w:webHidden/>
          </w:rPr>
        </w:r>
        <w:r>
          <w:rPr>
            <w:webHidden/>
          </w:rPr>
          <w:fldChar w:fldCharType="separate"/>
        </w:r>
        <w:r>
          <w:rPr>
            <w:webHidden/>
          </w:rPr>
          <w:t>145</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29" w:history="1">
        <w:r w:rsidRPr="00B350C8">
          <w:rPr>
            <w:rStyle w:val="Hyperlink"/>
            <w:rFonts w:ascii="Times New Roman" w:hAnsi="Times New Roman"/>
          </w:rPr>
          <w:t>3.9.2.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_Toc496022329 \h </w:instrText>
        </w:r>
        <w:r>
          <w:rPr>
            <w:webHidden/>
          </w:rPr>
        </w:r>
        <w:r>
          <w:rPr>
            <w:webHidden/>
          </w:rPr>
          <w:fldChar w:fldCharType="separate"/>
        </w:r>
        <w:r>
          <w:rPr>
            <w:webHidden/>
          </w:rPr>
          <w:t>146</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30" w:history="1">
        <w:r w:rsidRPr="00B350C8">
          <w:rPr>
            <w:rStyle w:val="Hyperlink"/>
            <w:rFonts w:ascii="Times New Roman" w:hAnsi="Times New Roman"/>
          </w:rPr>
          <w:t>Modèles consacrés au risque opérationnel</w:t>
        </w:r>
        <w:r>
          <w:rPr>
            <w:webHidden/>
          </w:rPr>
          <w:tab/>
        </w:r>
        <w:r>
          <w:rPr>
            <w:webHidden/>
          </w:rPr>
          <w:fldChar w:fldCharType="begin"/>
        </w:r>
        <w:r>
          <w:rPr>
            <w:webHidden/>
          </w:rPr>
          <w:instrText xml:space="preserve"> PAGEREF _Toc496022330 \h </w:instrText>
        </w:r>
        <w:r>
          <w:rPr>
            <w:webHidden/>
          </w:rPr>
        </w:r>
        <w:r>
          <w:rPr>
            <w:webHidden/>
          </w:rPr>
          <w:fldChar w:fldCharType="separate"/>
        </w:r>
        <w:r>
          <w:rPr>
            <w:webHidden/>
          </w:rPr>
          <w:t>158</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31" w:history="1">
        <w:r w:rsidRPr="00B350C8">
          <w:rPr>
            <w:rStyle w:val="Hyperlink"/>
            <w:rFonts w:ascii="Times New Roman" w:hAnsi="Times New Roman"/>
          </w:rPr>
          <w:t>C 16.00 – Risque opérationnel (OPR)</w:t>
        </w:r>
        <w:r>
          <w:rPr>
            <w:webHidden/>
          </w:rPr>
          <w:tab/>
        </w:r>
        <w:r>
          <w:rPr>
            <w:webHidden/>
          </w:rPr>
          <w:fldChar w:fldCharType="begin"/>
        </w:r>
        <w:r>
          <w:rPr>
            <w:webHidden/>
          </w:rPr>
          <w:instrText xml:space="preserve"> PAGEREF _Toc496022331 \h </w:instrText>
        </w:r>
        <w:r>
          <w:rPr>
            <w:webHidden/>
          </w:rPr>
        </w:r>
        <w:r>
          <w:rPr>
            <w:webHidden/>
          </w:rPr>
          <w:fldChar w:fldCharType="separate"/>
        </w:r>
        <w:r>
          <w:rPr>
            <w:webHidden/>
          </w:rPr>
          <w:t>158</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32" w:history="1">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_Toc496022332 \h </w:instrText>
        </w:r>
        <w:r>
          <w:rPr>
            <w:webHidden/>
          </w:rPr>
        </w:r>
        <w:r>
          <w:rPr>
            <w:webHidden/>
          </w:rPr>
          <w:fldChar w:fldCharType="separate"/>
        </w:r>
        <w:r>
          <w:rPr>
            <w:webHidden/>
          </w:rPr>
          <w:t>158</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33" w:history="1">
        <w:r w:rsidRPr="00B350C8">
          <w:rPr>
            <w:rStyle w:val="Hyperlink"/>
            <w:rFonts w:ascii="Times New Roman" w:hAnsi="Times New Roman"/>
          </w:rPr>
          <w:t>4.1.2.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_Toc496022333 \h </w:instrText>
        </w:r>
        <w:r>
          <w:rPr>
            <w:webHidden/>
          </w:rPr>
        </w:r>
        <w:r>
          <w:rPr>
            <w:webHidden/>
          </w:rPr>
          <w:fldChar w:fldCharType="separate"/>
        </w:r>
        <w:r>
          <w:rPr>
            <w:webHidden/>
          </w:rPr>
          <w:t>159</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34" w:history="1">
        <w:r w:rsidRPr="00B350C8">
          <w:rPr>
            <w:rStyle w:val="Hyperlink"/>
            <w:rFonts w:ascii="Times New Roman" w:hAnsi="Times New Roman"/>
          </w:rPr>
          <w:t>4.2.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Risque opérationnel: Informations détaillées sur les pertes au cours de l’exercice passé (OPR DETAILS)</w:t>
        </w:r>
        <w:r>
          <w:rPr>
            <w:webHidden/>
          </w:rPr>
          <w:tab/>
        </w:r>
        <w:r>
          <w:rPr>
            <w:webHidden/>
          </w:rPr>
          <w:fldChar w:fldCharType="begin"/>
        </w:r>
        <w:r>
          <w:rPr>
            <w:webHidden/>
          </w:rPr>
          <w:instrText xml:space="preserve"> PAGEREF _Toc496022334 \h </w:instrText>
        </w:r>
        <w:r>
          <w:rPr>
            <w:webHidden/>
          </w:rPr>
        </w:r>
        <w:r>
          <w:rPr>
            <w:webHidden/>
          </w:rPr>
          <w:fldChar w:fldCharType="separate"/>
        </w:r>
        <w:r>
          <w:rPr>
            <w:webHidden/>
          </w:rPr>
          <w:t>162</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35" w:history="1">
        <w:r w:rsidRPr="00B350C8">
          <w:rPr>
            <w:rStyle w:val="Hyperlink"/>
            <w:rFonts w:ascii="Times New Roman" w:hAnsi="Times New Roman"/>
          </w:rPr>
          <w:t>4.2.1.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_Toc496022335 \h </w:instrText>
        </w:r>
        <w:r>
          <w:rPr>
            <w:webHidden/>
          </w:rPr>
        </w:r>
        <w:r>
          <w:rPr>
            <w:webHidden/>
          </w:rPr>
          <w:fldChar w:fldCharType="separate"/>
        </w:r>
        <w:r>
          <w:rPr>
            <w:webHidden/>
          </w:rPr>
          <w:t>162</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36" w:history="1">
        <w:r w:rsidRPr="00B350C8">
          <w:rPr>
            <w:rStyle w:val="Hyperlink"/>
            <w:rFonts w:ascii="Times New Roman" w:hAnsi="Times New Roman"/>
          </w:rPr>
          <w:t>4.2.2.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17.01: Risque opérationnel: pertes et recouvrements par ligne d’activité et type d’événement sur l’exercice passé (OPR DETAILS 1)</w:t>
        </w:r>
        <w:r>
          <w:rPr>
            <w:webHidden/>
          </w:rPr>
          <w:tab/>
        </w:r>
        <w:r>
          <w:rPr>
            <w:webHidden/>
          </w:rPr>
          <w:fldChar w:fldCharType="begin"/>
        </w:r>
        <w:r>
          <w:rPr>
            <w:webHidden/>
          </w:rPr>
          <w:instrText xml:space="preserve"> PAGEREF _Toc496022336 \h </w:instrText>
        </w:r>
        <w:r>
          <w:rPr>
            <w:webHidden/>
          </w:rPr>
        </w:r>
        <w:r>
          <w:rPr>
            <w:webHidden/>
          </w:rPr>
          <w:fldChar w:fldCharType="separate"/>
        </w:r>
        <w:r>
          <w:rPr>
            <w:webHidden/>
          </w:rPr>
          <w:t>164</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37" w:history="1">
        <w:r w:rsidRPr="00B350C8">
          <w:rPr>
            <w:rStyle w:val="Hyperlink"/>
            <w:rFonts w:ascii="Times New Roman" w:hAnsi="Times New Roman"/>
          </w:rPr>
          <w:t>4.2.2.1.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_Toc496022337 \h </w:instrText>
        </w:r>
        <w:r>
          <w:rPr>
            <w:webHidden/>
          </w:rPr>
        </w:r>
        <w:r>
          <w:rPr>
            <w:webHidden/>
          </w:rPr>
          <w:fldChar w:fldCharType="separate"/>
        </w:r>
        <w:r>
          <w:rPr>
            <w:webHidden/>
          </w:rPr>
          <w:t>164</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38" w:history="1">
        <w:r w:rsidRPr="00B350C8">
          <w:rPr>
            <w:rStyle w:val="Hyperlink"/>
            <w:rFonts w:ascii="Times New Roman" w:hAnsi="Times New Roman"/>
          </w:rPr>
          <w:t>4.2.2.2.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_Toc496022338 \h </w:instrText>
        </w:r>
        <w:r>
          <w:rPr>
            <w:webHidden/>
          </w:rPr>
        </w:r>
        <w:r>
          <w:rPr>
            <w:webHidden/>
          </w:rPr>
          <w:fldChar w:fldCharType="separate"/>
        </w:r>
        <w:r>
          <w:rPr>
            <w:webHidden/>
          </w:rPr>
          <w:t>164</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39" w:history="1">
        <w:r w:rsidRPr="00B350C8">
          <w:rPr>
            <w:rStyle w:val="Hyperlink"/>
            <w:rFonts w:ascii="Times New Roman" w:hAnsi="Times New Roman"/>
          </w:rPr>
          <w:t>4.2.3.</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17.02: Risque opérationnel: Informations détaillées sur les évènements de perte les plus importants du dernier exercice (OPR DETAILS 2)</w:t>
        </w:r>
        <w:r>
          <w:rPr>
            <w:webHidden/>
          </w:rPr>
          <w:tab/>
        </w:r>
        <w:r>
          <w:rPr>
            <w:webHidden/>
          </w:rPr>
          <w:fldChar w:fldCharType="begin"/>
        </w:r>
        <w:r>
          <w:rPr>
            <w:webHidden/>
          </w:rPr>
          <w:instrText xml:space="preserve"> PAGEREF _Toc496022339 \h </w:instrText>
        </w:r>
        <w:r>
          <w:rPr>
            <w:webHidden/>
          </w:rPr>
        </w:r>
        <w:r>
          <w:rPr>
            <w:webHidden/>
          </w:rPr>
          <w:fldChar w:fldCharType="separate"/>
        </w:r>
        <w:r>
          <w:rPr>
            <w:webHidden/>
          </w:rPr>
          <w:t>171</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40" w:history="1">
        <w:r w:rsidRPr="00B350C8">
          <w:rPr>
            <w:rStyle w:val="Hyperlink"/>
            <w:rFonts w:ascii="Times New Roman" w:hAnsi="Times New Roman"/>
          </w:rPr>
          <w:t>4.2.3.1.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_Toc496022340 \h </w:instrText>
        </w:r>
        <w:r>
          <w:rPr>
            <w:webHidden/>
          </w:rPr>
        </w:r>
        <w:r>
          <w:rPr>
            <w:webHidden/>
          </w:rPr>
          <w:fldChar w:fldCharType="separate"/>
        </w:r>
        <w:r>
          <w:rPr>
            <w:webHidden/>
          </w:rPr>
          <w:t>171</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41" w:history="1">
        <w:r w:rsidRPr="00B350C8">
          <w:rPr>
            <w:rStyle w:val="Hyperlink"/>
            <w:rFonts w:ascii="Times New Roman" w:hAnsi="Times New Roman"/>
          </w:rPr>
          <w:t>4.2.3.2.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_Toc496022341 \h </w:instrText>
        </w:r>
        <w:r>
          <w:rPr>
            <w:webHidden/>
          </w:rPr>
        </w:r>
        <w:r>
          <w:rPr>
            <w:webHidden/>
          </w:rPr>
          <w:fldChar w:fldCharType="separate"/>
        </w:r>
        <w:r>
          <w:rPr>
            <w:webHidden/>
          </w:rPr>
          <w:t>172</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42" w:history="1">
        <w:r w:rsidRPr="00B350C8">
          <w:rPr>
            <w:rStyle w:val="Hyperlink"/>
            <w:rFonts w:ascii="Times New Roman" w:hAnsi="Times New Roman"/>
          </w:rPr>
          <w:t>5.</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Modèles consacrés au risque de marché</w:t>
        </w:r>
        <w:r>
          <w:rPr>
            <w:webHidden/>
          </w:rPr>
          <w:tab/>
        </w:r>
        <w:r>
          <w:rPr>
            <w:webHidden/>
          </w:rPr>
          <w:fldChar w:fldCharType="begin"/>
        </w:r>
        <w:r>
          <w:rPr>
            <w:webHidden/>
          </w:rPr>
          <w:instrText xml:space="preserve"> PAGEREF _Toc496022342 \h </w:instrText>
        </w:r>
        <w:r>
          <w:rPr>
            <w:webHidden/>
          </w:rPr>
        </w:r>
        <w:r>
          <w:rPr>
            <w:webHidden/>
          </w:rPr>
          <w:fldChar w:fldCharType="separate"/>
        </w:r>
        <w:r>
          <w:rPr>
            <w:webHidden/>
          </w:rPr>
          <w:t>174</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43" w:history="1">
        <w:r w:rsidRPr="00B350C8">
          <w:rPr>
            <w:rStyle w:val="Hyperlink"/>
            <w:rFonts w:ascii="Times New Roman" w:hAnsi="Times New Roman"/>
          </w:rPr>
          <w:t>5.1.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18.00 – Risque de marché: approche standard des risques de position relatifs aux titres de créance négociés (MKR SA TDI)</w:t>
        </w:r>
        <w:r>
          <w:rPr>
            <w:webHidden/>
          </w:rPr>
          <w:tab/>
        </w:r>
        <w:r>
          <w:rPr>
            <w:webHidden/>
          </w:rPr>
          <w:fldChar w:fldCharType="begin"/>
        </w:r>
        <w:r>
          <w:rPr>
            <w:webHidden/>
          </w:rPr>
          <w:instrText xml:space="preserve"> PAGEREF _Toc496022343 \h </w:instrText>
        </w:r>
        <w:r>
          <w:rPr>
            <w:webHidden/>
          </w:rPr>
        </w:r>
        <w:r>
          <w:rPr>
            <w:webHidden/>
          </w:rPr>
          <w:fldChar w:fldCharType="separate"/>
        </w:r>
        <w:r>
          <w:rPr>
            <w:webHidden/>
          </w:rPr>
          <w:t>174</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44" w:history="1">
        <w:r w:rsidRPr="00B350C8">
          <w:rPr>
            <w:rStyle w:val="Hyperlink"/>
            <w:rFonts w:ascii="Times New Roman" w:hAnsi="Times New Roman"/>
          </w:rPr>
          <w:t>5.1.1.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_Toc496022344 \h </w:instrText>
        </w:r>
        <w:r>
          <w:rPr>
            <w:webHidden/>
          </w:rPr>
        </w:r>
        <w:r>
          <w:rPr>
            <w:webHidden/>
          </w:rPr>
          <w:fldChar w:fldCharType="separate"/>
        </w:r>
        <w:r>
          <w:rPr>
            <w:webHidden/>
          </w:rPr>
          <w:t>174</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45" w:history="1">
        <w:r w:rsidRPr="00B350C8">
          <w:rPr>
            <w:rStyle w:val="Hyperlink"/>
            <w:rFonts w:ascii="Times New Roman" w:hAnsi="Times New Roman"/>
          </w:rPr>
          <w:t>5.1.2.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_Toc496022345 \h </w:instrText>
        </w:r>
        <w:r>
          <w:rPr>
            <w:webHidden/>
          </w:rPr>
        </w:r>
        <w:r>
          <w:rPr>
            <w:webHidden/>
          </w:rPr>
          <w:fldChar w:fldCharType="separate"/>
        </w:r>
        <w:r>
          <w:rPr>
            <w:webHidden/>
          </w:rPr>
          <w:t>174</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46" w:history="1">
        <w:r w:rsidRPr="00B350C8">
          <w:rPr>
            <w:rStyle w:val="Hyperlink"/>
            <w:rFonts w:ascii="Times New Roman" w:hAnsi="Times New Roman"/>
          </w:rPr>
          <w:t>5.2.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19.00 - RISQUE DE MARCHÉ: APPROCHE STANDARD DU RISQUE SPÉCIFIQUE EN TITRISATION (MKR SA SEC)</w:t>
        </w:r>
        <w:r>
          <w:rPr>
            <w:webHidden/>
          </w:rPr>
          <w:tab/>
        </w:r>
        <w:r>
          <w:rPr>
            <w:webHidden/>
          </w:rPr>
          <w:fldChar w:fldCharType="begin"/>
        </w:r>
        <w:r>
          <w:rPr>
            <w:webHidden/>
          </w:rPr>
          <w:instrText xml:space="preserve"> PAGEREF _Toc496022346 \h </w:instrText>
        </w:r>
        <w:r>
          <w:rPr>
            <w:webHidden/>
          </w:rPr>
        </w:r>
        <w:r>
          <w:rPr>
            <w:webHidden/>
          </w:rPr>
          <w:fldChar w:fldCharType="separate"/>
        </w:r>
        <w:r>
          <w:rPr>
            <w:webHidden/>
          </w:rPr>
          <w:t>177</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47" w:history="1">
        <w:r w:rsidRPr="00B350C8">
          <w:rPr>
            <w:rStyle w:val="Hyperlink"/>
            <w:rFonts w:ascii="Times New Roman" w:hAnsi="Times New Roman"/>
          </w:rPr>
          <w:t>5.2.1.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_Toc496022347 \h </w:instrText>
        </w:r>
        <w:r>
          <w:rPr>
            <w:webHidden/>
          </w:rPr>
        </w:r>
        <w:r>
          <w:rPr>
            <w:webHidden/>
          </w:rPr>
          <w:fldChar w:fldCharType="separate"/>
        </w:r>
        <w:r>
          <w:rPr>
            <w:webHidden/>
          </w:rPr>
          <w:t>177</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48" w:history="1">
        <w:r w:rsidRPr="00B350C8">
          <w:rPr>
            <w:rStyle w:val="Hyperlink"/>
            <w:rFonts w:ascii="Times New Roman" w:hAnsi="Times New Roman"/>
          </w:rPr>
          <w:t>5.2.2.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_Toc496022348 \h </w:instrText>
        </w:r>
        <w:r>
          <w:rPr>
            <w:webHidden/>
          </w:rPr>
        </w:r>
        <w:r>
          <w:rPr>
            <w:webHidden/>
          </w:rPr>
          <w:fldChar w:fldCharType="separate"/>
        </w:r>
        <w:r>
          <w:rPr>
            <w:webHidden/>
          </w:rPr>
          <w:t>177</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49" w:history="1">
        <w:r w:rsidRPr="00B350C8">
          <w:rPr>
            <w:rStyle w:val="Hyperlink"/>
            <w:rFonts w:ascii="Times New Roman" w:hAnsi="Times New Roman"/>
          </w:rPr>
          <w:t>5.3.</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20.00 - RISQUE DE MARCHÉ: APPROCHE STANDARD DU RISQUE SPÉCIFIQUE POUR LES POSITIONS DU PORTEFEUILLE DE NÉGOCIATION EN CORRÉLATION (MKR SA CTP)</w:t>
        </w:r>
        <w:r>
          <w:rPr>
            <w:webHidden/>
          </w:rPr>
          <w:tab/>
        </w:r>
        <w:r>
          <w:rPr>
            <w:webHidden/>
          </w:rPr>
          <w:fldChar w:fldCharType="begin"/>
        </w:r>
        <w:r>
          <w:rPr>
            <w:webHidden/>
          </w:rPr>
          <w:instrText xml:space="preserve"> PAGEREF _Toc496022349 \h </w:instrText>
        </w:r>
        <w:r>
          <w:rPr>
            <w:webHidden/>
          </w:rPr>
        </w:r>
        <w:r>
          <w:rPr>
            <w:webHidden/>
          </w:rPr>
          <w:fldChar w:fldCharType="separate"/>
        </w:r>
        <w:r>
          <w:rPr>
            <w:webHidden/>
          </w:rPr>
          <w:t>180</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50" w:history="1">
        <w:r w:rsidRPr="00B350C8">
          <w:rPr>
            <w:rStyle w:val="Hyperlink"/>
            <w:rFonts w:ascii="Times New Roman" w:hAnsi="Times New Roman"/>
          </w:rPr>
          <w:t>5.3.1.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_Toc496022350 \h </w:instrText>
        </w:r>
        <w:r>
          <w:rPr>
            <w:webHidden/>
          </w:rPr>
        </w:r>
        <w:r>
          <w:rPr>
            <w:webHidden/>
          </w:rPr>
          <w:fldChar w:fldCharType="separate"/>
        </w:r>
        <w:r>
          <w:rPr>
            <w:webHidden/>
          </w:rPr>
          <w:t>180</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51" w:history="1">
        <w:r w:rsidRPr="00B350C8">
          <w:rPr>
            <w:rStyle w:val="Hyperlink"/>
            <w:rFonts w:ascii="Times New Roman" w:hAnsi="Times New Roman"/>
          </w:rPr>
          <w:t>5.3.2.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_Toc496022351 \h </w:instrText>
        </w:r>
        <w:r>
          <w:rPr>
            <w:webHidden/>
          </w:rPr>
        </w:r>
        <w:r>
          <w:rPr>
            <w:webHidden/>
          </w:rPr>
          <w:fldChar w:fldCharType="separate"/>
        </w:r>
        <w:r>
          <w:rPr>
            <w:webHidden/>
          </w:rPr>
          <w:t>181</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52" w:history="1">
        <w:r w:rsidRPr="00B350C8">
          <w:rPr>
            <w:rStyle w:val="Hyperlink"/>
            <w:rFonts w:ascii="Times New Roman" w:hAnsi="Times New Roman"/>
          </w:rPr>
          <w:t>5.4.</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21.00 - Risque de marché: approche standard du risque relatif aux positions sur actions (MKR SA EQU)</w:t>
        </w:r>
        <w:r>
          <w:rPr>
            <w:webHidden/>
          </w:rPr>
          <w:tab/>
        </w:r>
        <w:r>
          <w:rPr>
            <w:webHidden/>
          </w:rPr>
          <w:fldChar w:fldCharType="begin"/>
        </w:r>
        <w:r>
          <w:rPr>
            <w:webHidden/>
          </w:rPr>
          <w:instrText xml:space="preserve"> PAGEREF _Toc496022352 \h </w:instrText>
        </w:r>
        <w:r>
          <w:rPr>
            <w:webHidden/>
          </w:rPr>
        </w:r>
        <w:r>
          <w:rPr>
            <w:webHidden/>
          </w:rPr>
          <w:fldChar w:fldCharType="separate"/>
        </w:r>
        <w:r>
          <w:rPr>
            <w:webHidden/>
          </w:rPr>
          <w:t>184</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53" w:history="1">
        <w:r w:rsidRPr="00B350C8">
          <w:rPr>
            <w:rStyle w:val="Hyperlink"/>
            <w:rFonts w:ascii="Times New Roman" w:hAnsi="Times New Roman"/>
          </w:rPr>
          <w:t>5.4.1.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_Toc496022353 \h </w:instrText>
        </w:r>
        <w:r>
          <w:rPr>
            <w:webHidden/>
          </w:rPr>
        </w:r>
        <w:r>
          <w:rPr>
            <w:webHidden/>
          </w:rPr>
          <w:fldChar w:fldCharType="separate"/>
        </w:r>
        <w:r>
          <w:rPr>
            <w:webHidden/>
          </w:rPr>
          <w:t>184</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54" w:history="1">
        <w:r w:rsidRPr="00B350C8">
          <w:rPr>
            <w:rStyle w:val="Hyperlink"/>
            <w:rFonts w:ascii="Times New Roman" w:hAnsi="Times New Roman"/>
          </w:rPr>
          <w:t>5.4.2.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_Toc496022354 \h </w:instrText>
        </w:r>
        <w:r>
          <w:rPr>
            <w:webHidden/>
          </w:rPr>
        </w:r>
        <w:r>
          <w:rPr>
            <w:webHidden/>
          </w:rPr>
          <w:fldChar w:fldCharType="separate"/>
        </w:r>
        <w:r>
          <w:rPr>
            <w:webHidden/>
          </w:rPr>
          <w:t>184</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55" w:history="1">
        <w:r w:rsidRPr="00B350C8">
          <w:rPr>
            <w:rStyle w:val="Hyperlink"/>
            <w:rFonts w:ascii="Times New Roman" w:hAnsi="Times New Roman"/>
          </w:rPr>
          <w:t>5.5.</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22.00 - Risque de marché: approches standard du risque de change (MKR SA FX)</w:t>
        </w:r>
        <w:r>
          <w:rPr>
            <w:webHidden/>
          </w:rPr>
          <w:tab/>
        </w:r>
        <w:r>
          <w:rPr>
            <w:webHidden/>
          </w:rPr>
          <w:fldChar w:fldCharType="begin"/>
        </w:r>
        <w:r>
          <w:rPr>
            <w:webHidden/>
          </w:rPr>
          <w:instrText xml:space="preserve"> PAGEREF _Toc496022355 \h </w:instrText>
        </w:r>
        <w:r>
          <w:rPr>
            <w:webHidden/>
          </w:rPr>
        </w:r>
        <w:r>
          <w:rPr>
            <w:webHidden/>
          </w:rPr>
          <w:fldChar w:fldCharType="separate"/>
        </w:r>
        <w:r>
          <w:rPr>
            <w:webHidden/>
          </w:rPr>
          <w:t>186</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56" w:history="1">
        <w:r w:rsidRPr="00B350C8">
          <w:rPr>
            <w:rStyle w:val="Hyperlink"/>
            <w:rFonts w:ascii="Times New Roman" w:hAnsi="Times New Roman"/>
          </w:rPr>
          <w:t>5.5.1.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_Toc496022356 \h </w:instrText>
        </w:r>
        <w:r>
          <w:rPr>
            <w:webHidden/>
          </w:rPr>
        </w:r>
        <w:r>
          <w:rPr>
            <w:webHidden/>
          </w:rPr>
          <w:fldChar w:fldCharType="separate"/>
        </w:r>
        <w:r>
          <w:rPr>
            <w:webHidden/>
          </w:rPr>
          <w:t>186</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57" w:history="1">
        <w:r w:rsidRPr="00B350C8">
          <w:rPr>
            <w:rStyle w:val="Hyperlink"/>
            <w:rFonts w:ascii="Times New Roman" w:hAnsi="Times New Roman"/>
          </w:rPr>
          <w:t>5.5.2.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_Toc496022357 \h </w:instrText>
        </w:r>
        <w:r>
          <w:rPr>
            <w:webHidden/>
          </w:rPr>
        </w:r>
        <w:r>
          <w:rPr>
            <w:webHidden/>
          </w:rPr>
          <w:fldChar w:fldCharType="separate"/>
        </w:r>
        <w:r>
          <w:rPr>
            <w:webHidden/>
          </w:rPr>
          <w:t>186</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58" w:history="1">
        <w:r w:rsidRPr="00B350C8">
          <w:rPr>
            <w:rStyle w:val="Hyperlink"/>
            <w:rFonts w:ascii="Times New Roman" w:hAnsi="Times New Roman"/>
          </w:rPr>
          <w:t>5.6.</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23.00 - Risque de marché: approches standard pour les matières premières (MKR SA COM)</w:t>
        </w:r>
        <w:r>
          <w:rPr>
            <w:webHidden/>
          </w:rPr>
          <w:tab/>
        </w:r>
        <w:r>
          <w:rPr>
            <w:webHidden/>
          </w:rPr>
          <w:fldChar w:fldCharType="begin"/>
        </w:r>
        <w:r>
          <w:rPr>
            <w:webHidden/>
          </w:rPr>
          <w:instrText xml:space="preserve"> PAGEREF _Toc496022358 \h </w:instrText>
        </w:r>
        <w:r>
          <w:rPr>
            <w:webHidden/>
          </w:rPr>
        </w:r>
        <w:r>
          <w:rPr>
            <w:webHidden/>
          </w:rPr>
          <w:fldChar w:fldCharType="separate"/>
        </w:r>
        <w:r>
          <w:rPr>
            <w:webHidden/>
          </w:rPr>
          <w:t>189</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59" w:history="1">
        <w:r w:rsidRPr="00B350C8">
          <w:rPr>
            <w:rStyle w:val="Hyperlink"/>
            <w:rFonts w:ascii="Times New Roman" w:hAnsi="Times New Roman"/>
          </w:rPr>
          <w:t>5.6.1.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_Toc496022359 \h </w:instrText>
        </w:r>
        <w:r>
          <w:rPr>
            <w:webHidden/>
          </w:rPr>
        </w:r>
        <w:r>
          <w:rPr>
            <w:webHidden/>
          </w:rPr>
          <w:fldChar w:fldCharType="separate"/>
        </w:r>
        <w:r>
          <w:rPr>
            <w:webHidden/>
          </w:rPr>
          <w:t>189</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60" w:history="1">
        <w:r w:rsidRPr="00B350C8">
          <w:rPr>
            <w:rStyle w:val="Hyperlink"/>
            <w:rFonts w:ascii="Times New Roman" w:hAnsi="Times New Roman"/>
          </w:rPr>
          <w:t>5.6.2.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_Toc496022360 \h </w:instrText>
        </w:r>
        <w:r>
          <w:rPr>
            <w:webHidden/>
          </w:rPr>
        </w:r>
        <w:r>
          <w:rPr>
            <w:webHidden/>
          </w:rPr>
          <w:fldChar w:fldCharType="separate"/>
        </w:r>
        <w:r>
          <w:rPr>
            <w:webHidden/>
          </w:rPr>
          <w:t>189</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61" w:history="1">
        <w:r w:rsidRPr="00B350C8">
          <w:rPr>
            <w:rStyle w:val="Hyperlink"/>
            <w:rFonts w:ascii="Times New Roman" w:hAnsi="Times New Roman"/>
          </w:rPr>
          <w:t>5.7.</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24.00 - Risque de marché selon l'approche fondée sur les modèles internes (MKR IM)</w:t>
        </w:r>
        <w:r>
          <w:rPr>
            <w:webHidden/>
          </w:rPr>
          <w:tab/>
        </w:r>
        <w:r>
          <w:rPr>
            <w:webHidden/>
          </w:rPr>
          <w:fldChar w:fldCharType="begin"/>
        </w:r>
        <w:r>
          <w:rPr>
            <w:webHidden/>
          </w:rPr>
          <w:instrText xml:space="preserve"> PAGEREF _Toc496022361 \h </w:instrText>
        </w:r>
        <w:r>
          <w:rPr>
            <w:webHidden/>
          </w:rPr>
        </w:r>
        <w:r>
          <w:rPr>
            <w:webHidden/>
          </w:rPr>
          <w:fldChar w:fldCharType="separate"/>
        </w:r>
        <w:r>
          <w:rPr>
            <w:webHidden/>
          </w:rPr>
          <w:t>191</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62" w:history="1">
        <w:r w:rsidRPr="00B350C8">
          <w:rPr>
            <w:rStyle w:val="Hyperlink"/>
            <w:rFonts w:ascii="Times New Roman" w:hAnsi="Times New Roman"/>
          </w:rPr>
          <w:t>5.7.1.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_Toc496022362 \h </w:instrText>
        </w:r>
        <w:r>
          <w:rPr>
            <w:webHidden/>
          </w:rPr>
        </w:r>
        <w:r>
          <w:rPr>
            <w:webHidden/>
          </w:rPr>
          <w:fldChar w:fldCharType="separate"/>
        </w:r>
        <w:r>
          <w:rPr>
            <w:webHidden/>
          </w:rPr>
          <w:t>191</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63" w:history="1">
        <w:r w:rsidRPr="00B350C8">
          <w:rPr>
            <w:rStyle w:val="Hyperlink"/>
            <w:rFonts w:ascii="Times New Roman" w:hAnsi="Times New Roman"/>
          </w:rPr>
          <w:t>5.7.2.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_Toc496022363 \h </w:instrText>
        </w:r>
        <w:r>
          <w:rPr>
            <w:webHidden/>
          </w:rPr>
        </w:r>
        <w:r>
          <w:rPr>
            <w:webHidden/>
          </w:rPr>
          <w:fldChar w:fldCharType="separate"/>
        </w:r>
        <w:r>
          <w:rPr>
            <w:webHidden/>
          </w:rPr>
          <w:t>191</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64" w:history="1">
        <w:r w:rsidRPr="00B350C8">
          <w:rPr>
            <w:rStyle w:val="Hyperlink"/>
            <w:rFonts w:ascii="Times New Roman" w:hAnsi="Times New Roman"/>
          </w:rPr>
          <w:t>5.8.</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25.00 - RISQUE D'AJUSTEMENT DE L'ÉVALUATION DE CRÉDIT (CVA)</w:t>
        </w:r>
        <w:r>
          <w:rPr>
            <w:webHidden/>
          </w:rPr>
          <w:tab/>
        </w:r>
        <w:r>
          <w:rPr>
            <w:webHidden/>
          </w:rPr>
          <w:fldChar w:fldCharType="begin"/>
        </w:r>
        <w:r>
          <w:rPr>
            <w:webHidden/>
          </w:rPr>
          <w:instrText xml:space="preserve"> PAGEREF _Toc496022364 \h </w:instrText>
        </w:r>
        <w:r>
          <w:rPr>
            <w:webHidden/>
          </w:rPr>
        </w:r>
        <w:r>
          <w:rPr>
            <w:webHidden/>
          </w:rPr>
          <w:fldChar w:fldCharType="separate"/>
        </w:r>
        <w:r>
          <w:rPr>
            <w:webHidden/>
          </w:rPr>
          <w:t>194</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65" w:history="1">
        <w:r w:rsidRPr="00B350C8">
          <w:rPr>
            <w:rStyle w:val="Hyperlink"/>
            <w:rFonts w:ascii="Times New Roman" w:hAnsi="Times New Roman"/>
          </w:rPr>
          <w:t>5.8.1.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_Toc496022365 \h </w:instrText>
        </w:r>
        <w:r>
          <w:rPr>
            <w:webHidden/>
          </w:rPr>
        </w:r>
        <w:r>
          <w:rPr>
            <w:webHidden/>
          </w:rPr>
          <w:fldChar w:fldCharType="separate"/>
        </w:r>
        <w:r>
          <w:rPr>
            <w:webHidden/>
          </w:rPr>
          <w:t>194</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66" w:history="1">
        <w:r w:rsidRPr="00B350C8">
          <w:rPr>
            <w:rStyle w:val="Hyperlink"/>
            <w:rFonts w:ascii="Times New Roman" w:hAnsi="Times New Roman"/>
          </w:rPr>
          <w:t>6.</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 33.00 - Expositions sur les administrations publiques (GOV)</w:t>
        </w:r>
        <w:r>
          <w:rPr>
            <w:webHidden/>
          </w:rPr>
          <w:tab/>
        </w:r>
        <w:r>
          <w:rPr>
            <w:webHidden/>
          </w:rPr>
          <w:fldChar w:fldCharType="begin"/>
        </w:r>
        <w:r>
          <w:rPr>
            <w:webHidden/>
          </w:rPr>
          <w:instrText xml:space="preserve"> PAGEREF _Toc496022366 \h </w:instrText>
        </w:r>
        <w:r>
          <w:rPr>
            <w:webHidden/>
          </w:rPr>
        </w:r>
        <w:r>
          <w:rPr>
            <w:webHidden/>
          </w:rPr>
          <w:fldChar w:fldCharType="separate"/>
        </w:r>
        <w:r>
          <w:rPr>
            <w:webHidden/>
          </w:rPr>
          <w:t>197</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67" w:history="1">
        <w:r w:rsidRPr="00B350C8">
          <w:rPr>
            <w:rStyle w:val="Hyperlink"/>
            <w:rFonts w:ascii="Times New Roman" w:hAnsi="Times New Roman"/>
          </w:rPr>
          <w:t>6.1.</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Remarques générales</w:t>
        </w:r>
        <w:r>
          <w:rPr>
            <w:webHidden/>
          </w:rPr>
          <w:tab/>
        </w:r>
        <w:r>
          <w:rPr>
            <w:webHidden/>
          </w:rPr>
          <w:fldChar w:fldCharType="begin"/>
        </w:r>
        <w:r>
          <w:rPr>
            <w:webHidden/>
          </w:rPr>
          <w:instrText xml:space="preserve"> PAGEREF _Toc496022367 \h </w:instrText>
        </w:r>
        <w:r>
          <w:rPr>
            <w:webHidden/>
          </w:rPr>
        </w:r>
        <w:r>
          <w:rPr>
            <w:webHidden/>
          </w:rPr>
          <w:fldChar w:fldCharType="separate"/>
        </w:r>
        <w:r>
          <w:rPr>
            <w:webHidden/>
          </w:rPr>
          <w:t>197</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68" w:history="1">
        <w:r w:rsidRPr="00B350C8">
          <w:rPr>
            <w:rStyle w:val="Hyperlink"/>
            <w:rFonts w:ascii="Times New Roman" w:hAnsi="Times New Roman"/>
          </w:rPr>
          <w:t>6.2.</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Champ d'application du modèle consacré aux expositions sur les «administrations publiques»</w:t>
        </w:r>
        <w:r>
          <w:rPr>
            <w:webHidden/>
          </w:rPr>
          <w:tab/>
        </w:r>
        <w:r>
          <w:rPr>
            <w:webHidden/>
          </w:rPr>
          <w:fldChar w:fldCharType="begin"/>
        </w:r>
        <w:r>
          <w:rPr>
            <w:webHidden/>
          </w:rPr>
          <w:instrText xml:space="preserve"> PAGEREF _Toc496022368 \h </w:instrText>
        </w:r>
        <w:r>
          <w:rPr>
            <w:webHidden/>
          </w:rPr>
        </w:r>
        <w:r>
          <w:rPr>
            <w:webHidden/>
          </w:rPr>
          <w:fldChar w:fldCharType="separate"/>
        </w:r>
        <w:r>
          <w:rPr>
            <w:webHidden/>
          </w:rPr>
          <w:t>197</w:t>
        </w:r>
        <w:r>
          <w:rPr>
            <w:webHidden/>
          </w:rPr>
          <w:fldChar w:fldCharType="end"/>
        </w:r>
      </w:hyperlink>
    </w:p>
    <w:p w:rsidR="00024ED7" w:rsidRDefault="00024ED7">
      <w:pPr>
        <w:pStyle w:val="TOC2"/>
        <w:rPr>
          <w:rFonts w:asciiTheme="minorHAnsi" w:eastAsiaTheme="minorEastAsia" w:hAnsiTheme="minorHAnsi" w:cstheme="minorBidi"/>
          <w:b w:val="0"/>
          <w:smallCaps w:val="0"/>
          <w:sz w:val="22"/>
          <w:lang w:val="fr-BE" w:eastAsia="fr-BE" w:bidi="ar-SA"/>
        </w:rPr>
      </w:pPr>
      <w:hyperlink w:anchor="_Toc496022369" w:history="1">
        <w:r w:rsidRPr="00B350C8">
          <w:rPr>
            <w:rStyle w:val="Hyperlink"/>
            <w:rFonts w:ascii="Times New Roman" w:hAnsi="Times New Roman"/>
          </w:rPr>
          <w:t>6.3.</w:t>
        </w:r>
        <w:r>
          <w:rPr>
            <w:rFonts w:asciiTheme="minorHAnsi" w:eastAsiaTheme="minorEastAsia" w:hAnsiTheme="minorHAnsi" w:cstheme="minorBidi"/>
            <w:b w:val="0"/>
            <w:smallCaps w:val="0"/>
            <w:sz w:val="22"/>
            <w:lang w:val="fr-BE" w:eastAsia="fr-BE" w:bidi="ar-SA"/>
          </w:rPr>
          <w:tab/>
        </w:r>
        <w:r w:rsidRPr="00B350C8">
          <w:rPr>
            <w:rStyle w:val="Hyperlink"/>
            <w:rFonts w:ascii="Times New Roman" w:hAnsi="Times New Roman"/>
          </w:rPr>
          <w:t>Instructions concernant certaines positions</w:t>
        </w:r>
        <w:r>
          <w:rPr>
            <w:webHidden/>
          </w:rPr>
          <w:tab/>
        </w:r>
        <w:r>
          <w:rPr>
            <w:webHidden/>
          </w:rPr>
          <w:fldChar w:fldCharType="begin"/>
        </w:r>
        <w:r>
          <w:rPr>
            <w:webHidden/>
          </w:rPr>
          <w:instrText xml:space="preserve"> PAGEREF _Toc496022369 \h </w:instrText>
        </w:r>
        <w:r>
          <w:rPr>
            <w:webHidden/>
          </w:rPr>
        </w:r>
        <w:r>
          <w:rPr>
            <w:webHidden/>
          </w:rPr>
          <w:fldChar w:fldCharType="separate"/>
        </w:r>
        <w:r>
          <w:rPr>
            <w:webHidden/>
          </w:rPr>
          <w:t>198</w:t>
        </w:r>
        <w:r>
          <w:rPr>
            <w:webHidden/>
          </w:rPr>
          <w:fldChar w:fldCharType="end"/>
        </w:r>
      </w:hyperlink>
    </w:p>
    <w:p w:rsidR="00F52DD3" w:rsidRDefault="00024ED7">
      <w:pPr>
        <w:rPr>
          <w:rFonts w:asciiTheme="minorHAnsi" w:eastAsiaTheme="minorEastAsia" w:hAnsiTheme="minorHAnsi" w:cstheme="minorBidi"/>
          <w:sz w:val="22"/>
        </w:rPr>
        <w:sectPr w:rsidR="00F52DD3" w:rsidSect="004D4419">
          <w:footerReference w:type="default" r:id="rId9"/>
          <w:footerReference w:type="first" r:id="rId10"/>
          <w:endnotePr>
            <w:numFmt w:val="decimal"/>
          </w:endnotePr>
          <w:type w:val="continuous"/>
          <w:pgSz w:w="11906" w:h="16838"/>
          <w:pgMar w:top="1417" w:right="1417" w:bottom="1134" w:left="1417" w:header="708" w:footer="708" w:gutter="0"/>
          <w:cols w:space="708"/>
          <w:titlePg/>
          <w:docGrid w:linePitch="360"/>
        </w:sectPr>
      </w:pPr>
      <w:r>
        <w:rPr>
          <w:rFonts w:ascii="Times New Roman" w:hAnsi="Times New Roman"/>
          <w:sz w:val="24"/>
        </w:rPr>
        <w:fldChar w:fldCharType="end"/>
      </w:r>
    </w:p>
    <w:p w:rsidR="007B4FD3" w:rsidRPr="00392FFD" w:rsidRDefault="007B4FD3" w:rsidP="00EC5046">
      <w:pPr>
        <w:rPr>
          <w:rFonts w:ascii="Times New Roman" w:hAnsi="Times New Roman"/>
          <w:sz w:val="24"/>
        </w:rPr>
      </w:pPr>
    </w:p>
    <w:p w:rsidR="002648B0" w:rsidRPr="00392FFD" w:rsidRDefault="002648B0" w:rsidP="00D64B66">
      <w:pPr>
        <w:pStyle w:val="Heading2"/>
        <w:rPr>
          <w:rFonts w:ascii="Times New Roman" w:hAnsi="Times New Roman"/>
        </w:rPr>
      </w:pPr>
      <w:bookmarkStart w:id="3" w:name="_Toc264038394"/>
      <w:bookmarkStart w:id="4" w:name="_Toc360188317"/>
      <w:bookmarkStart w:id="5" w:name="_Toc473560865"/>
      <w:bookmarkStart w:id="6" w:name="_Toc496022260"/>
      <w:r>
        <w:rPr>
          <w:rFonts w:ascii="Times New Roman" w:hAnsi="Times New Roman"/>
        </w:rPr>
        <w:t>PARTIE I:</w:t>
      </w:r>
      <w:bookmarkEnd w:id="3"/>
      <w:r>
        <w:rPr>
          <w:rFonts w:ascii="Times New Roman" w:hAnsi="Times New Roman"/>
        </w:rPr>
        <w:t xml:space="preserve"> INSTRUCTIONS GÉNÉRALES</w:t>
      </w:r>
      <w:bookmarkEnd w:id="4"/>
      <w:bookmarkEnd w:id="5"/>
      <w:bookmarkEnd w:id="6"/>
    </w:p>
    <w:p w:rsidR="002648B0" w:rsidRPr="00392FFD" w:rsidRDefault="002648B0" w:rsidP="00EC5046">
      <w:pPr>
        <w:rPr>
          <w:rFonts w:ascii="Times New Roman" w:hAnsi="Times New Roman"/>
          <w:sz w:val="24"/>
        </w:rPr>
      </w:pPr>
    </w:p>
    <w:p w:rsidR="002648B0" w:rsidRPr="00392FFD" w:rsidRDefault="00125707" w:rsidP="0023700C">
      <w:pPr>
        <w:pStyle w:val="Instructionsberschrift2"/>
        <w:numPr>
          <w:ilvl w:val="0"/>
          <w:numId w:val="0"/>
        </w:numPr>
        <w:ind w:left="357" w:hanging="357"/>
        <w:rPr>
          <w:rFonts w:ascii="Times New Roman" w:hAnsi="Times New Roman" w:cs="Times New Roman"/>
          <w:sz w:val="24"/>
          <w:u w:val="none"/>
        </w:rPr>
      </w:pPr>
      <w:bookmarkStart w:id="7" w:name="_Toc360188318"/>
      <w:bookmarkStart w:id="8" w:name="_Toc473560866"/>
      <w:bookmarkStart w:id="9" w:name="_Toc496022261"/>
      <w:r>
        <w:rPr>
          <w:rFonts w:ascii="Times New Roman" w:hAnsi="Times New Roman"/>
          <w:sz w:val="24"/>
          <w:u w:val="none"/>
        </w:rPr>
        <w:t>1.</w:t>
      </w:r>
      <w:r>
        <w:tab/>
      </w:r>
      <w:r>
        <w:rPr>
          <w:rFonts w:ascii="Times New Roman" w:hAnsi="Times New Roman"/>
          <w:sz w:val="24"/>
          <w:u w:val="none"/>
        </w:rPr>
        <w:t>Structure et conventions</w:t>
      </w:r>
      <w:bookmarkEnd w:id="7"/>
      <w:bookmarkEnd w:id="8"/>
      <w:bookmarkEnd w:id="9"/>
    </w:p>
    <w:p w:rsidR="002648B0" w:rsidRPr="00392FFD" w:rsidRDefault="00125707" w:rsidP="0023700C">
      <w:pPr>
        <w:pStyle w:val="Instructionsberschrift2"/>
        <w:numPr>
          <w:ilvl w:val="0"/>
          <w:numId w:val="0"/>
        </w:numPr>
        <w:ind w:left="357" w:hanging="357"/>
        <w:rPr>
          <w:rFonts w:ascii="Times New Roman" w:hAnsi="Times New Roman" w:cs="Times New Roman"/>
          <w:sz w:val="24"/>
          <w:u w:val="none"/>
        </w:rPr>
      </w:pPr>
      <w:bookmarkStart w:id="10" w:name="_Toc360188319"/>
      <w:bookmarkStart w:id="11" w:name="_Toc473560867"/>
      <w:bookmarkStart w:id="12" w:name="_Toc264038399"/>
      <w:bookmarkStart w:id="13" w:name="_Toc294018834"/>
      <w:bookmarkStart w:id="14" w:name="_Toc496022262"/>
      <w:r>
        <w:rPr>
          <w:rFonts w:ascii="Times New Roman" w:hAnsi="Times New Roman"/>
          <w:sz w:val="24"/>
          <w:u w:val="none"/>
        </w:rPr>
        <w:t>1.1.</w:t>
      </w:r>
      <w:r>
        <w:tab/>
      </w:r>
      <w:r>
        <w:rPr>
          <w:rFonts w:ascii="Times New Roman" w:hAnsi="Times New Roman"/>
          <w:sz w:val="24"/>
          <w:u w:val="none"/>
        </w:rPr>
        <w:t>Structure</w:t>
      </w:r>
      <w:bookmarkEnd w:id="10"/>
      <w:bookmarkEnd w:id="11"/>
      <w:bookmarkEnd w:id="14"/>
    </w:p>
    <w:p w:rsidR="002648B0" w:rsidRPr="00392FFD" w:rsidRDefault="00125707" w:rsidP="0023700C">
      <w:pPr>
        <w:pStyle w:val="InstructionsText2"/>
        <w:numPr>
          <w:ilvl w:val="0"/>
          <w:numId w:val="0"/>
        </w:numPr>
        <w:ind w:left="1353" w:hanging="360"/>
      </w:pPr>
      <w:r>
        <w:t>1.</w:t>
      </w:r>
      <w:r>
        <w:tab/>
        <w:t>Globalement, le cadre s’articule autour de cinq blocs de modèles:</w:t>
      </w:r>
    </w:p>
    <w:p w:rsidR="002648B0" w:rsidRPr="00392FFD" w:rsidRDefault="00125707" w:rsidP="0023700C">
      <w:pPr>
        <w:pStyle w:val="InstructionsText2"/>
        <w:numPr>
          <w:ilvl w:val="0"/>
          <w:numId w:val="0"/>
        </w:numPr>
        <w:ind w:left="1440" w:hanging="360"/>
      </w:pPr>
      <w:r>
        <w:t>a)</w:t>
      </w:r>
      <w:r>
        <w:tab/>
        <w:t>adéquation des fonds propres, synthèse des fonds propres règlementaires; mo</w:t>
      </w:r>
      <w:r>
        <w:t>n</w:t>
      </w:r>
      <w:r>
        <w:t>tant total d'exposition au risque;</w:t>
      </w:r>
    </w:p>
    <w:p w:rsidR="00436204" w:rsidRPr="00392FFD" w:rsidRDefault="00125707" w:rsidP="0023700C">
      <w:pPr>
        <w:pStyle w:val="InstructionsText2"/>
        <w:numPr>
          <w:ilvl w:val="0"/>
          <w:numId w:val="0"/>
        </w:numPr>
        <w:ind w:left="1440" w:hanging="360"/>
      </w:pPr>
      <w:r>
        <w:t>b)</w:t>
      </w:r>
      <w:r>
        <w:tab/>
        <w:t>solvabilité du groupe, synthèse du respect des exigences en matière de solvab</w:t>
      </w:r>
      <w:r>
        <w:t>i</w:t>
      </w:r>
      <w:r>
        <w:t>lité par les différentes entités incluses dans le périmètre de consolidation de l’entité déclarante;</w:t>
      </w:r>
    </w:p>
    <w:p w:rsidR="002648B0" w:rsidRPr="00392FFD" w:rsidRDefault="00125707" w:rsidP="0023700C">
      <w:pPr>
        <w:pStyle w:val="InstructionsText2"/>
        <w:numPr>
          <w:ilvl w:val="0"/>
          <w:numId w:val="0"/>
        </w:numPr>
        <w:ind w:left="1440" w:hanging="360"/>
      </w:pPr>
      <w:r>
        <w:t>c)</w:t>
      </w:r>
      <w:r>
        <w:tab/>
        <w:t>risque de crédit (y compris de la contrepartie, risques de dilution et de règl</w:t>
      </w:r>
      <w:r>
        <w:t>e</w:t>
      </w:r>
      <w:r>
        <w:t>ment);</w:t>
      </w:r>
    </w:p>
    <w:p w:rsidR="002648B0" w:rsidRPr="00392FFD" w:rsidRDefault="00125707" w:rsidP="0023700C">
      <w:pPr>
        <w:pStyle w:val="InstructionsText2"/>
        <w:numPr>
          <w:ilvl w:val="0"/>
          <w:numId w:val="0"/>
        </w:numPr>
        <w:ind w:left="1440" w:hanging="360"/>
      </w:pPr>
      <w:r>
        <w:t>d)</w:t>
      </w:r>
      <w:r>
        <w:tab/>
        <w:t>risque de marché (y compris le risque de position dans le portefeuille de nég</w:t>
      </w:r>
      <w:r>
        <w:t>o</w:t>
      </w:r>
      <w:r>
        <w:t>ciation, risque de change, risque sur matières premières et risque d’ajustement de l’évaluation de crédit);</w:t>
      </w:r>
    </w:p>
    <w:p w:rsidR="002648B0" w:rsidRPr="00392FFD" w:rsidRDefault="00125707" w:rsidP="0023700C">
      <w:pPr>
        <w:pStyle w:val="InstructionsText2"/>
        <w:numPr>
          <w:ilvl w:val="0"/>
          <w:numId w:val="0"/>
        </w:numPr>
        <w:ind w:left="1440" w:hanging="360"/>
      </w:pPr>
      <w:r>
        <w:t>e)</w:t>
      </w:r>
      <w:r>
        <w:tab/>
        <w:t>risque opérationnel.</w:t>
      </w:r>
    </w:p>
    <w:p w:rsidR="002648B0" w:rsidRPr="00392FFD" w:rsidRDefault="00125707" w:rsidP="0023700C">
      <w:pPr>
        <w:pStyle w:val="InstructionsText2"/>
        <w:numPr>
          <w:ilvl w:val="0"/>
          <w:numId w:val="0"/>
        </w:numPr>
        <w:ind w:left="1353" w:hanging="360"/>
      </w:pPr>
      <w:r>
        <w:t>2.</w:t>
      </w:r>
      <w:r>
        <w:tab/>
        <w:t>Des références légales sont fournies pour chaque modèle. La présente partie de la norme technique d’exécution contient des informations détaillées sur quelques aspects plus généraux de la déclaration de chaque bloc de modèles, des instructions concernant certaines positions, ainsi que des règles de valid</w:t>
      </w:r>
      <w:r>
        <w:t>a</w:t>
      </w:r>
      <w:r>
        <w:t>tion.</w:t>
      </w:r>
    </w:p>
    <w:p w:rsidR="005643EA" w:rsidRPr="00392FFD" w:rsidRDefault="00125707" w:rsidP="0023700C">
      <w:pPr>
        <w:pStyle w:val="InstructionsText2"/>
        <w:numPr>
          <w:ilvl w:val="0"/>
          <w:numId w:val="0"/>
        </w:numPr>
        <w:ind w:left="1353" w:hanging="360"/>
      </w:pPr>
      <w:r>
        <w:t>3.</w:t>
      </w:r>
      <w:r>
        <w:tab/>
        <w:t>Les établissements ne remplissent que les modèles pertinents, en fonction de l’approche adoptée pour le calcul des exigences de fonds propres.</w:t>
      </w:r>
    </w:p>
    <w:p w:rsidR="002648B0" w:rsidRPr="00392FFD" w:rsidRDefault="00125707" w:rsidP="0023700C">
      <w:pPr>
        <w:pStyle w:val="Instructionsberschrift2"/>
        <w:numPr>
          <w:ilvl w:val="0"/>
          <w:numId w:val="0"/>
        </w:numPr>
        <w:ind w:left="357" w:hanging="357"/>
        <w:rPr>
          <w:rFonts w:ascii="Times New Roman" w:hAnsi="Times New Roman" w:cs="Times New Roman"/>
          <w:sz w:val="24"/>
          <w:u w:val="none"/>
        </w:rPr>
      </w:pPr>
      <w:bookmarkStart w:id="15" w:name="_Toc360188320"/>
      <w:bookmarkStart w:id="16" w:name="_Toc473560868"/>
      <w:bookmarkStart w:id="17" w:name="_Toc496022263"/>
      <w:r>
        <w:rPr>
          <w:rFonts w:ascii="Times New Roman" w:hAnsi="Times New Roman"/>
          <w:sz w:val="24"/>
          <w:u w:val="none"/>
        </w:rPr>
        <w:t>1.2.</w:t>
      </w:r>
      <w:r>
        <w:tab/>
      </w:r>
      <w:r>
        <w:rPr>
          <w:rFonts w:ascii="Times New Roman" w:hAnsi="Times New Roman"/>
          <w:sz w:val="24"/>
          <w:u w:val="none"/>
        </w:rPr>
        <w:t>Convention de numérotation</w:t>
      </w:r>
      <w:bookmarkEnd w:id="15"/>
      <w:bookmarkEnd w:id="16"/>
      <w:bookmarkEnd w:id="17"/>
    </w:p>
    <w:p w:rsidR="002648B0" w:rsidRPr="00392FFD" w:rsidRDefault="00125707" w:rsidP="0023700C">
      <w:pPr>
        <w:pStyle w:val="InstructionsText2"/>
        <w:numPr>
          <w:ilvl w:val="0"/>
          <w:numId w:val="0"/>
        </w:numPr>
        <w:ind w:left="1353" w:hanging="360"/>
      </w:pPr>
      <w:r>
        <w:t>4.</w:t>
      </w:r>
      <w:r>
        <w:tab/>
        <w:t>Dans le cas de références à des colonnes, des lignes et des cellules dans les m</w:t>
      </w:r>
      <w:r>
        <w:t>o</w:t>
      </w:r>
      <w:r>
        <w:t>dèles, ce document respecte la convention définie dans le tableau ci-dessous. Ces codes numériques sont utilisés très fréquemment dans les règles de valid</w:t>
      </w:r>
      <w:r>
        <w:t>a</w:t>
      </w:r>
      <w:r>
        <w:t>tion.</w:t>
      </w:r>
    </w:p>
    <w:p w:rsidR="005643EA" w:rsidRPr="00392FFD" w:rsidRDefault="00125707" w:rsidP="0023700C">
      <w:pPr>
        <w:pStyle w:val="InstructionsText2"/>
        <w:numPr>
          <w:ilvl w:val="0"/>
          <w:numId w:val="0"/>
        </w:numPr>
        <w:ind w:left="1353" w:hanging="360"/>
      </w:pPr>
      <w:r>
        <w:t>5.</w:t>
      </w:r>
      <w:r>
        <w:tab/>
        <w:t>Les instructions suivent le système de notation suivant: {M</w:t>
      </w:r>
      <w:r>
        <w:t>o</w:t>
      </w:r>
      <w:r>
        <w:t>dèle;Ligne;Colonne}.</w:t>
      </w:r>
    </w:p>
    <w:p w:rsidR="002648B0" w:rsidRPr="00392FFD" w:rsidRDefault="00125707" w:rsidP="0023700C">
      <w:pPr>
        <w:pStyle w:val="InstructionsText2"/>
        <w:numPr>
          <w:ilvl w:val="0"/>
          <w:numId w:val="0"/>
        </w:numPr>
        <w:ind w:left="1353" w:hanging="360"/>
      </w:pPr>
      <w:r>
        <w:t>6.</w:t>
      </w:r>
      <w:r>
        <w:tab/>
        <w:t>En cas de validations dans un modèle pour lesquelles seuls les points de do</w:t>
      </w:r>
      <w:r>
        <w:t>n</w:t>
      </w:r>
      <w:r>
        <w:t>nées de ce modèle sont utilisés, les notes ne se rapportent pas à un modèle: {Ligne;Colonne}.</w:t>
      </w:r>
    </w:p>
    <w:p w:rsidR="005643EA" w:rsidRPr="00392FFD" w:rsidRDefault="00125707" w:rsidP="0023700C">
      <w:pPr>
        <w:pStyle w:val="InstructionsText2"/>
        <w:numPr>
          <w:ilvl w:val="0"/>
          <w:numId w:val="0"/>
        </w:numPr>
        <w:ind w:left="1353" w:hanging="360"/>
      </w:pPr>
      <w:r>
        <w:t>7.</w:t>
      </w:r>
      <w:r>
        <w:tab/>
        <w:t>Dans le cas des modèles constitués d’une colonne unique, il est fait référence aux seules lignes. {Modèle;Ligne}</w:t>
      </w:r>
    </w:p>
    <w:p w:rsidR="002648B0" w:rsidRPr="00392FFD" w:rsidRDefault="00125707" w:rsidP="0023700C">
      <w:pPr>
        <w:pStyle w:val="InstructionsText2"/>
        <w:numPr>
          <w:ilvl w:val="0"/>
          <w:numId w:val="0"/>
        </w:numPr>
        <w:ind w:left="1353" w:hanging="360"/>
      </w:pPr>
      <w:r>
        <w:lastRenderedPageBreak/>
        <w:t>8.</w:t>
      </w:r>
      <w:r>
        <w:tab/>
        <w:t>Un astérisque indique que la validation porte sur les lignes ou les colonnes me</w:t>
      </w:r>
      <w:r>
        <w:t>n</w:t>
      </w:r>
      <w:r>
        <w:t>tionnées auparavant.</w:t>
      </w:r>
    </w:p>
    <w:p w:rsidR="002648B0" w:rsidRPr="00392FFD" w:rsidRDefault="00125707" w:rsidP="0023700C">
      <w:pPr>
        <w:pStyle w:val="Instructionsberschrift2"/>
        <w:numPr>
          <w:ilvl w:val="0"/>
          <w:numId w:val="0"/>
        </w:numPr>
        <w:ind w:left="357" w:hanging="357"/>
        <w:rPr>
          <w:rFonts w:ascii="Times New Roman" w:hAnsi="Times New Roman" w:cs="Times New Roman"/>
          <w:sz w:val="24"/>
          <w:u w:val="none"/>
        </w:rPr>
      </w:pPr>
      <w:bookmarkStart w:id="18" w:name="_Toc360188321"/>
      <w:bookmarkStart w:id="19" w:name="_Toc473560869"/>
      <w:bookmarkStart w:id="20" w:name="_Toc496022264"/>
      <w:r>
        <w:rPr>
          <w:rFonts w:ascii="Times New Roman" w:hAnsi="Times New Roman"/>
          <w:sz w:val="24"/>
          <w:u w:val="none"/>
        </w:rPr>
        <w:t>1.3.</w:t>
      </w:r>
      <w:r>
        <w:tab/>
      </w:r>
      <w:r>
        <w:rPr>
          <w:rFonts w:ascii="Times New Roman" w:hAnsi="Times New Roman"/>
          <w:sz w:val="24"/>
          <w:u w:val="none"/>
        </w:rPr>
        <w:t>Convention de signes</w:t>
      </w:r>
      <w:bookmarkEnd w:id="12"/>
      <w:bookmarkEnd w:id="13"/>
      <w:bookmarkEnd w:id="18"/>
      <w:bookmarkEnd w:id="19"/>
      <w:bookmarkEnd w:id="20"/>
    </w:p>
    <w:p w:rsidR="002648B0" w:rsidRPr="00392FFD" w:rsidRDefault="00125707" w:rsidP="0023700C">
      <w:pPr>
        <w:pStyle w:val="InstructionsText2"/>
        <w:numPr>
          <w:ilvl w:val="0"/>
          <w:numId w:val="0"/>
        </w:numPr>
        <w:ind w:left="1353" w:hanging="360"/>
      </w:pPr>
      <w:r>
        <w:t>9.</w:t>
      </w:r>
      <w:r>
        <w:tab/>
        <w:t>Tout montant augmentant les fonds propres ou les exigences de fonds propres sera déclaré en tant que valeur positive. En revanche, tout montant réduisant le total des fonds propres ou des exigences de fonds propres sera déclaré en tant que valeur négative. Lorsqu’un signe négatif (-) précède l’intitulé d’un poste, aucune valeur positive ne doit être déclarée à ce poste.</w:t>
      </w:r>
    </w:p>
    <w:p w:rsidR="002648B0" w:rsidRPr="00392FFD" w:rsidRDefault="002648B0" w:rsidP="0023700C">
      <w:pPr>
        <w:pStyle w:val="InstructionsText2"/>
        <w:numPr>
          <w:ilvl w:val="0"/>
          <w:numId w:val="0"/>
        </w:numPr>
        <w:ind w:left="1353" w:hanging="360"/>
        <w:sectPr w:rsidR="002648B0" w:rsidRPr="00392FFD" w:rsidSect="00A801A9">
          <w:endnotePr>
            <w:numFmt w:val="decimal"/>
          </w:endnotePr>
          <w:pgSz w:w="11906" w:h="16838"/>
          <w:pgMar w:top="1417" w:right="1417" w:bottom="1134" w:left="1417" w:header="708" w:footer="708" w:gutter="0"/>
          <w:cols w:space="708"/>
          <w:rtlGutter/>
          <w:docGrid w:linePitch="360"/>
        </w:sectPr>
      </w:pPr>
      <w:bookmarkStart w:id="21" w:name="_Toc264033192"/>
      <w:bookmarkEnd w:id="21"/>
    </w:p>
    <w:p w:rsidR="002648B0" w:rsidRPr="00392FFD" w:rsidRDefault="002648B0" w:rsidP="00005FFC">
      <w:pPr>
        <w:rPr>
          <w:rFonts w:ascii="Times New Roman" w:hAnsi="Times New Roman"/>
          <w:sz w:val="24"/>
        </w:rPr>
      </w:pPr>
    </w:p>
    <w:p w:rsidR="002648B0" w:rsidRPr="00392FFD" w:rsidRDefault="002648B0" w:rsidP="00D64B66">
      <w:pPr>
        <w:pStyle w:val="Heading2"/>
        <w:rPr>
          <w:rFonts w:ascii="Times New Roman" w:hAnsi="Times New Roman"/>
        </w:rPr>
      </w:pPr>
      <w:bookmarkStart w:id="22" w:name="_Toc360188322"/>
      <w:bookmarkStart w:id="23" w:name="_Toc473560870"/>
      <w:bookmarkStart w:id="24" w:name="_Toc496022265"/>
      <w:r>
        <w:rPr>
          <w:rFonts w:ascii="Times New Roman" w:hAnsi="Times New Roman"/>
        </w:rPr>
        <w:t>PARTIE II: INSTRUCTIONS CONCERNANT LES MODÈLES</w:t>
      </w:r>
      <w:bookmarkEnd w:id="22"/>
      <w:bookmarkEnd w:id="23"/>
      <w:bookmarkEnd w:id="24"/>
    </w:p>
    <w:p w:rsidR="002648B0" w:rsidRPr="00392FFD" w:rsidRDefault="002648B0" w:rsidP="00D946DB">
      <w:pPr>
        <w:rPr>
          <w:rFonts w:ascii="Times New Roman" w:hAnsi="Times New Roman"/>
          <w:sz w:val="24"/>
        </w:rPr>
      </w:pPr>
    </w:p>
    <w:p w:rsidR="002648B0" w:rsidRPr="00392FFD" w:rsidRDefault="00125707" w:rsidP="0023700C">
      <w:pPr>
        <w:pStyle w:val="Instructionsberschrift2"/>
        <w:numPr>
          <w:ilvl w:val="0"/>
          <w:numId w:val="0"/>
        </w:numPr>
        <w:ind w:left="357" w:hanging="357"/>
        <w:rPr>
          <w:rFonts w:ascii="Times New Roman" w:hAnsi="Times New Roman" w:cs="Times New Roman"/>
          <w:sz w:val="24"/>
          <w:u w:val="none"/>
        </w:rPr>
      </w:pPr>
      <w:bookmarkStart w:id="25" w:name="_Toc360188323"/>
      <w:bookmarkStart w:id="26" w:name="_Toc473560871"/>
      <w:bookmarkStart w:id="27" w:name="_Toc496022266"/>
      <w:r>
        <w:rPr>
          <w:rFonts w:ascii="Times New Roman" w:hAnsi="Times New Roman"/>
          <w:sz w:val="24"/>
          <w:u w:val="none"/>
        </w:rPr>
        <w:t>1.</w:t>
      </w:r>
      <w:r>
        <w:tab/>
      </w:r>
      <w:r>
        <w:rPr>
          <w:rFonts w:ascii="Times New Roman" w:hAnsi="Times New Roman"/>
          <w:sz w:val="24"/>
          <w:u w:val="none"/>
        </w:rPr>
        <w:t>Synthèse concernant les modèles CA</w:t>
      </w:r>
      <w:bookmarkEnd w:id="25"/>
      <w:r>
        <w:rPr>
          <w:rFonts w:ascii="Times New Roman" w:hAnsi="Times New Roman"/>
          <w:sz w:val="24"/>
          <w:u w:val="none"/>
        </w:rPr>
        <w:t xml:space="preserve"> (adéquation des fonds propres)</w:t>
      </w:r>
      <w:bookmarkEnd w:id="26"/>
      <w:bookmarkEnd w:id="27"/>
    </w:p>
    <w:p w:rsidR="002648B0" w:rsidRPr="00392FFD" w:rsidRDefault="00125707" w:rsidP="0023700C">
      <w:pPr>
        <w:pStyle w:val="Instructionsberschrift2"/>
        <w:numPr>
          <w:ilvl w:val="0"/>
          <w:numId w:val="0"/>
        </w:numPr>
        <w:ind w:left="357" w:hanging="357"/>
        <w:rPr>
          <w:rFonts w:ascii="Times New Roman" w:hAnsi="Times New Roman" w:cs="Times New Roman"/>
          <w:sz w:val="24"/>
          <w:u w:val="none"/>
        </w:rPr>
      </w:pPr>
      <w:bookmarkStart w:id="28" w:name="_Toc308175819"/>
      <w:bookmarkStart w:id="29" w:name="_Toc360188324"/>
      <w:bookmarkStart w:id="30" w:name="_Toc473560872"/>
      <w:bookmarkStart w:id="31" w:name="_Toc496022267"/>
      <w:r>
        <w:rPr>
          <w:rFonts w:ascii="Times New Roman" w:hAnsi="Times New Roman"/>
          <w:sz w:val="24"/>
          <w:u w:val="none"/>
        </w:rPr>
        <w:t>1.1.</w:t>
      </w:r>
      <w:r>
        <w:tab/>
      </w:r>
      <w:r>
        <w:rPr>
          <w:rFonts w:ascii="Times New Roman" w:hAnsi="Times New Roman"/>
          <w:sz w:val="24"/>
          <w:u w:val="none"/>
        </w:rPr>
        <w:t>Remarques générales</w:t>
      </w:r>
      <w:bookmarkEnd w:id="28"/>
      <w:bookmarkEnd w:id="29"/>
      <w:bookmarkEnd w:id="30"/>
      <w:bookmarkEnd w:id="31"/>
    </w:p>
    <w:p w:rsidR="002648B0" w:rsidRPr="00392FFD" w:rsidRDefault="00125707" w:rsidP="0023700C">
      <w:pPr>
        <w:pStyle w:val="InstructionsText2"/>
        <w:numPr>
          <w:ilvl w:val="0"/>
          <w:numId w:val="0"/>
        </w:numPr>
        <w:ind w:left="1353" w:hanging="360"/>
      </w:pPr>
      <w:r>
        <w:t>10.</w:t>
      </w:r>
      <w:r>
        <w:tab/>
        <w:t>Les cinq modèles CA regroupent des informations sur les numérateurs du pr</w:t>
      </w:r>
      <w:r>
        <w:t>e</w:t>
      </w:r>
      <w:r>
        <w:t xml:space="preserve">mier pilier (fonds propres, fonds propres de catégorie 1, fonds propres de base de catégorie 1), le dénominateur (exigences de fonds propres) et les dispositions transitoires: </w:t>
      </w:r>
    </w:p>
    <w:p w:rsidR="005643EA" w:rsidRPr="00392FFD" w:rsidRDefault="00125707" w:rsidP="0023700C">
      <w:pPr>
        <w:pStyle w:val="InstructionsText2"/>
        <w:numPr>
          <w:ilvl w:val="0"/>
          <w:numId w:val="0"/>
        </w:numPr>
        <w:ind w:left="1440" w:hanging="360"/>
      </w:pPr>
      <w:r>
        <w:t>a)</w:t>
      </w:r>
      <w:r>
        <w:tab/>
        <w:t>Le modèle CA1 traite du montant des fonds propres des établissements, avec une ventilation des éléments nécessaires pour obtenir ce montant. Le montant des fonds propres obtenu intègre l’effet cumulé des dispositions transitoires par type de capitaux.</w:t>
      </w:r>
    </w:p>
    <w:p w:rsidR="005643EA" w:rsidRPr="00392FFD" w:rsidRDefault="00125707" w:rsidP="0023700C">
      <w:pPr>
        <w:pStyle w:val="InstructionsText2"/>
        <w:numPr>
          <w:ilvl w:val="0"/>
          <w:numId w:val="0"/>
        </w:numPr>
        <w:ind w:left="1440" w:hanging="360"/>
      </w:pPr>
      <w:r>
        <w:t>b)</w:t>
      </w:r>
      <w:r>
        <w:tab/>
        <w:t>Le modèle CA2 synthétise les montants totaux d’exposition au risque tels que définis à l’article 92, paragraphe 3, du règlement (UE) nº 575/2013 («CRR»).</w:t>
      </w:r>
    </w:p>
    <w:p w:rsidR="005643EA" w:rsidRPr="00392FFD" w:rsidRDefault="00125707" w:rsidP="0023700C">
      <w:pPr>
        <w:pStyle w:val="InstructionsText2"/>
        <w:numPr>
          <w:ilvl w:val="0"/>
          <w:numId w:val="0"/>
        </w:numPr>
        <w:ind w:left="1440" w:hanging="360"/>
      </w:pPr>
      <w:r>
        <w:t>c)</w:t>
      </w:r>
      <w:r>
        <w:tab/>
        <w:t>Le modèle CA3 contient les ratios pour lesquels le CRR a fixé une limite m</w:t>
      </w:r>
      <w:r>
        <w:t>i</w:t>
      </w:r>
      <w:r>
        <w:t>nimale, ainsi que d’autres données liées.</w:t>
      </w:r>
    </w:p>
    <w:p w:rsidR="005643EA" w:rsidRPr="00392FFD" w:rsidRDefault="00125707" w:rsidP="0023700C">
      <w:pPr>
        <w:pStyle w:val="InstructionsText2"/>
        <w:numPr>
          <w:ilvl w:val="0"/>
          <w:numId w:val="0"/>
        </w:numPr>
        <w:ind w:left="1440" w:hanging="360"/>
      </w:pPr>
      <w:r>
        <w:t>d)</w:t>
      </w:r>
      <w:r>
        <w:tab/>
        <w:t xml:space="preserve">Le modèle CA4 contient les éléments pour mémoire nécessaires au calcul des éléments de CA1, ainsi que des informations au sujet des coussins de fonds propres de la CRD. </w:t>
      </w:r>
    </w:p>
    <w:p w:rsidR="005643EA" w:rsidRPr="00392FFD" w:rsidRDefault="00125707" w:rsidP="0023700C">
      <w:pPr>
        <w:pStyle w:val="InstructionsText2"/>
        <w:numPr>
          <w:ilvl w:val="0"/>
          <w:numId w:val="0"/>
        </w:numPr>
        <w:ind w:left="1440" w:hanging="360"/>
      </w:pPr>
      <w:r>
        <w:t>e)</w:t>
      </w:r>
      <w:r>
        <w:tab/>
        <w:t>Le modèle CA5 contient les données nécessaires au calcul de l’effet des disp</w:t>
      </w:r>
      <w:r>
        <w:t>o</w:t>
      </w:r>
      <w:r>
        <w:t>sitions transitoires sur les fonds propres. Ce modèle disparaîtra à l’expiration des dispositions transitoires.</w:t>
      </w:r>
    </w:p>
    <w:p w:rsidR="00783881" w:rsidRPr="00392FFD" w:rsidRDefault="00125707" w:rsidP="0023700C">
      <w:pPr>
        <w:pStyle w:val="InstructionsText2"/>
        <w:numPr>
          <w:ilvl w:val="0"/>
          <w:numId w:val="0"/>
        </w:numPr>
        <w:ind w:left="1353" w:hanging="360"/>
      </w:pPr>
      <w:r>
        <w:t>11.</w:t>
      </w:r>
      <w:r>
        <w:tab/>
        <w:t>Les modèles s’appliquent à toutes les entités déclarantes, quelles que soient les normes comptables appliquées, bien que certains éléments du numérateur soient spécifiques aux entités ayant opté pour les règles d’évaluation de type IAS/IFRS. Généralement, les données du dénominateur sont liées au résultat f</w:t>
      </w:r>
      <w:r>
        <w:t>i</w:t>
      </w:r>
      <w:r>
        <w:t>nal déclaré dans le modèle correspondant, dans le cadre du calcul du montant total d’exposition au risque.</w:t>
      </w:r>
    </w:p>
    <w:p w:rsidR="005643EA" w:rsidRPr="00392FFD" w:rsidRDefault="00125707" w:rsidP="0023700C">
      <w:pPr>
        <w:pStyle w:val="InstructionsText2"/>
        <w:numPr>
          <w:ilvl w:val="0"/>
          <w:numId w:val="0"/>
        </w:numPr>
        <w:ind w:left="1353" w:hanging="360"/>
      </w:pPr>
      <w:r>
        <w:t>12.</w:t>
      </w:r>
      <w:r>
        <w:tab/>
        <w:t xml:space="preserve">Le total des fonds propres se compose de plusieurs types de fonds propres: les fonds propres de catégorie 1 (T1), constitués de la somme des fonds propres de base de catégorie 1 (CET1) et des fonds propres additionnels de catégorie 1 (AT1), ainsi que les fonds propres de catégorie 2 (T2). </w:t>
      </w:r>
    </w:p>
    <w:p w:rsidR="00783881" w:rsidRPr="00392FFD" w:rsidRDefault="00125707" w:rsidP="0023700C">
      <w:pPr>
        <w:pStyle w:val="InstructionsText2"/>
        <w:numPr>
          <w:ilvl w:val="0"/>
          <w:numId w:val="0"/>
        </w:numPr>
        <w:ind w:left="1353" w:hanging="360"/>
      </w:pPr>
      <w:r>
        <w:t>13.</w:t>
      </w:r>
      <w:r>
        <w:tab/>
        <w:t>Dans les modèles CA, les dispositions transitoires seront traitées comme suit:</w:t>
      </w:r>
    </w:p>
    <w:p w:rsidR="00783881" w:rsidRPr="00392FFD" w:rsidRDefault="00125707" w:rsidP="0023700C">
      <w:pPr>
        <w:pStyle w:val="InstructionsText2"/>
        <w:numPr>
          <w:ilvl w:val="0"/>
          <w:numId w:val="0"/>
        </w:numPr>
        <w:ind w:left="1440" w:hanging="360"/>
      </w:pPr>
      <w:r>
        <w:t>a)</w:t>
      </w:r>
      <w:r>
        <w:tab/>
        <w:t>Les éléments de CA1 sont généralement déclarés sans ajustements transitoires. Cela signifie que les chiffres des postes CA1 sont calculés en vertu des dispos</w:t>
      </w:r>
      <w:r>
        <w:t>i</w:t>
      </w:r>
      <w:r>
        <w:t xml:space="preserve">tions finales (comme s’il n’existait pas de dispositions transitoires), à l’exception des éléments synthétisant l’effet des dispositions transitoires. Pour </w:t>
      </w:r>
      <w:r>
        <w:lastRenderedPageBreak/>
        <w:t>chaque type de fonds propres (CET1, AT1 et T2), trois éléments doivent int</w:t>
      </w:r>
      <w:r>
        <w:t>é</w:t>
      </w:r>
      <w:r>
        <w:t>grer tous les ajustements opérés en raison des dispositions transitoires.</w:t>
      </w:r>
    </w:p>
    <w:p w:rsidR="00113EA5" w:rsidRPr="00392FFD" w:rsidRDefault="00125707" w:rsidP="0023700C">
      <w:pPr>
        <w:pStyle w:val="InstructionsText2"/>
        <w:numPr>
          <w:ilvl w:val="0"/>
          <w:numId w:val="0"/>
        </w:numPr>
        <w:ind w:left="1440" w:hanging="360"/>
      </w:pPr>
      <w:r>
        <w:t>b)</w:t>
      </w:r>
      <w:r>
        <w:tab/>
        <w:t>Les dispositions transitoires peuvent en outre avoir un impact sur l’insuffisance des AT1 et des T2 (c’est-à-dire la déduction excédentaire des AT1 ou des T2, régie respectivement par les articles 36, paragraphe 1, point j), et 56, point e), du CRR). En conséquence, les éléments contenant ces insuffisances peuvent indirectement refléter l’effet des dispositions transitoires.</w:t>
      </w:r>
    </w:p>
    <w:p w:rsidR="005643EA" w:rsidRPr="00392FFD" w:rsidRDefault="00125707" w:rsidP="0023700C">
      <w:pPr>
        <w:pStyle w:val="InstructionsText2"/>
        <w:numPr>
          <w:ilvl w:val="0"/>
          <w:numId w:val="0"/>
        </w:numPr>
        <w:ind w:left="1440" w:hanging="360"/>
      </w:pPr>
      <w:r>
        <w:t>c)</w:t>
      </w:r>
      <w:r>
        <w:tab/>
        <w:t xml:space="preserve">Le modèle CA5 est exclusivement réservé à la déclaration des dispositions transitoires. </w:t>
      </w:r>
    </w:p>
    <w:p w:rsidR="00783881" w:rsidRPr="00392FFD" w:rsidRDefault="00125707" w:rsidP="0023700C">
      <w:pPr>
        <w:pStyle w:val="InstructionsText2"/>
        <w:numPr>
          <w:ilvl w:val="0"/>
          <w:numId w:val="0"/>
        </w:numPr>
        <w:ind w:left="1353" w:hanging="360"/>
      </w:pPr>
      <w:r>
        <w:t>14.</w:t>
      </w:r>
      <w:r>
        <w:tab/>
        <w:t>Le traitement des exigences du deuxième pilier peut varier selon les États membres (l’article 104, paragraphe 2, de la CRD IV doit être transposé en droit national). Seul l’impact des exigences du deuxième pilier sur le ratio de solvab</w:t>
      </w:r>
      <w:r>
        <w:t>i</w:t>
      </w:r>
      <w:r>
        <w:t xml:space="preserve">lité ou le ratio cible sera mentionné dans le cadre de la déclaration de solvabilité en vertu du CRR. Une déclaration détaillée des exigences du deuxième pilier n’est pas prévue par l’article 99 du CRR. </w:t>
      </w:r>
    </w:p>
    <w:p w:rsidR="005643EA" w:rsidRPr="00392FFD" w:rsidRDefault="00125707" w:rsidP="0023700C">
      <w:pPr>
        <w:pStyle w:val="InstructionsText2"/>
        <w:numPr>
          <w:ilvl w:val="0"/>
          <w:numId w:val="0"/>
        </w:numPr>
        <w:ind w:left="1353" w:hanging="360"/>
      </w:pPr>
      <w:r>
        <w:t>a)</w:t>
      </w:r>
      <w:r>
        <w:tab/>
        <w:t>Les modèles CA1, CA2 ou CA5 ne traitent que du premier pilier.</w:t>
      </w:r>
    </w:p>
    <w:p w:rsidR="005643EA" w:rsidRPr="00392FFD" w:rsidRDefault="00125707" w:rsidP="0023700C">
      <w:pPr>
        <w:pStyle w:val="InstructionsText2"/>
        <w:numPr>
          <w:ilvl w:val="0"/>
          <w:numId w:val="0"/>
        </w:numPr>
        <w:ind w:left="1353" w:hanging="360"/>
      </w:pPr>
      <w:r>
        <w:t>b)</w:t>
      </w:r>
      <w:r>
        <w:tab/>
        <w:t>Le modèle CA3 aborde l’impact global des exigences supplémentaires du de</w:t>
      </w:r>
      <w:r>
        <w:t>u</w:t>
      </w:r>
      <w:r>
        <w:t xml:space="preserve">xième pilier sur le ratio de solvabilité. Le premier bloc se concentre sur l’impact des montants sur les ratios, tandis que l’autre bloc se concentre sur le ratio lui-même. Les deux blocs n’ont aucun autre lien avec les modèles CA1, CA2 ou CA5. </w:t>
      </w:r>
    </w:p>
    <w:p w:rsidR="005643EA" w:rsidRPr="00392FFD" w:rsidRDefault="00125707" w:rsidP="0023700C">
      <w:pPr>
        <w:pStyle w:val="InstructionsText2"/>
        <w:numPr>
          <w:ilvl w:val="0"/>
          <w:numId w:val="0"/>
        </w:numPr>
        <w:ind w:left="1353" w:hanging="360"/>
      </w:pPr>
      <w:r>
        <w:t>c)</w:t>
      </w:r>
      <w:r>
        <w:tab/>
        <w:t>Le modèle CA4 contient une cellule concernant les exigences supplémentaires de fonds propres relatives au deuxième pilier. Cette cellule n'est pas liée, par le biais des règles de validation, aux ratios de fonds propres du modèle CA3, et traduit les dispositions de l'article 104, paragraphe 2, de la CRD, qui mentionne explicitement les exigences supplémentaires de fonds propres comme étant une piste dans le cadre des décisions concernant le deuxième pilier.</w:t>
      </w:r>
    </w:p>
    <w:p w:rsidR="002648B0" w:rsidRPr="00392FFD" w:rsidRDefault="00125707" w:rsidP="0023700C">
      <w:pPr>
        <w:pStyle w:val="Instructionsberschrift2"/>
        <w:numPr>
          <w:ilvl w:val="0"/>
          <w:numId w:val="0"/>
        </w:numPr>
        <w:ind w:left="357" w:hanging="357"/>
        <w:rPr>
          <w:rFonts w:ascii="Times New Roman" w:hAnsi="Times New Roman" w:cs="Times New Roman"/>
          <w:sz w:val="24"/>
        </w:rPr>
      </w:pPr>
      <w:bookmarkStart w:id="32" w:name="_Toc473560873"/>
      <w:bookmarkStart w:id="33" w:name="_Toc308175820"/>
      <w:bookmarkStart w:id="34" w:name="_Toc360188325"/>
      <w:bookmarkStart w:id="35" w:name="_Toc496022268"/>
      <w:r>
        <w:rPr>
          <w:rFonts w:ascii="Times New Roman" w:hAnsi="Times New Roman"/>
          <w:sz w:val="24"/>
          <w:u w:val="none"/>
        </w:rPr>
        <w:t>1.2.</w:t>
      </w:r>
      <w:r>
        <w:tab/>
      </w:r>
      <w:r>
        <w:rPr>
          <w:rFonts w:ascii="Times New Roman" w:hAnsi="Times New Roman"/>
          <w:sz w:val="24"/>
        </w:rPr>
        <w:t>C 01.00 - FONDS PROPRES (CA1)</w:t>
      </w:r>
      <w:bookmarkEnd w:id="32"/>
      <w:bookmarkEnd w:id="35"/>
      <w:r>
        <w:rPr>
          <w:rFonts w:ascii="Times New Roman" w:hAnsi="Times New Roman"/>
          <w:sz w:val="24"/>
        </w:rPr>
        <w:t xml:space="preserve"> </w:t>
      </w:r>
      <w:bookmarkEnd w:id="33"/>
      <w:bookmarkEnd w:id="34"/>
    </w:p>
    <w:p w:rsidR="002648B0" w:rsidRPr="00392FFD" w:rsidRDefault="00125707" w:rsidP="0023700C">
      <w:pPr>
        <w:pStyle w:val="Instructionsberschrift2"/>
        <w:numPr>
          <w:ilvl w:val="0"/>
          <w:numId w:val="0"/>
        </w:numPr>
        <w:ind w:left="357" w:hanging="357"/>
        <w:rPr>
          <w:rFonts w:ascii="Times New Roman" w:hAnsi="Times New Roman" w:cs="Times New Roman"/>
          <w:sz w:val="24"/>
        </w:rPr>
      </w:pPr>
      <w:bookmarkStart w:id="36" w:name="_Toc308175821"/>
      <w:bookmarkStart w:id="37" w:name="_Toc310414968"/>
      <w:bookmarkStart w:id="38" w:name="_Toc360188326"/>
      <w:bookmarkStart w:id="39" w:name="_Toc473560874"/>
      <w:bookmarkStart w:id="40" w:name="_Toc496022269"/>
      <w:r>
        <w:rPr>
          <w:rFonts w:ascii="Times New Roman" w:hAnsi="Times New Roman"/>
          <w:sz w:val="24"/>
          <w:u w:val="none"/>
        </w:rPr>
        <w:t>1.2.1.</w:t>
      </w:r>
      <w:r>
        <w:tab/>
      </w:r>
      <w:r>
        <w:rPr>
          <w:rFonts w:ascii="Times New Roman" w:hAnsi="Times New Roman"/>
          <w:sz w:val="24"/>
        </w:rPr>
        <w:t xml:space="preserve">Instructions concernant certaines </w:t>
      </w:r>
      <w:bookmarkEnd w:id="36"/>
      <w:bookmarkEnd w:id="37"/>
      <w:r>
        <w:rPr>
          <w:rFonts w:ascii="Times New Roman" w:hAnsi="Times New Roman"/>
          <w:sz w:val="24"/>
        </w:rPr>
        <w:t>positions</w:t>
      </w:r>
      <w:bookmarkEnd w:id="38"/>
      <w:bookmarkEnd w:id="39"/>
      <w:bookmarkEnd w:id="40"/>
    </w:p>
    <w:p w:rsidR="002648B0" w:rsidRPr="00392FFD" w:rsidRDefault="002648B0" w:rsidP="00622B37">
      <w:pPr>
        <w:pStyle w:val="InstructionsText"/>
      </w:pPr>
    </w:p>
    <w:tbl>
      <w:tblPr>
        <w:tblW w:w="0" w:type="auto"/>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29"/>
        <w:gridCol w:w="7620"/>
      </w:tblGrid>
      <w:tr w:rsidR="002648B0" w:rsidRPr="00392FFD" w:rsidTr="000903FA">
        <w:tc>
          <w:tcPr>
            <w:tcW w:w="1129" w:type="dxa"/>
            <w:shd w:val="clear" w:color="auto" w:fill="D9D9D9"/>
          </w:tcPr>
          <w:p w:rsidR="005643EA" w:rsidRPr="00392FFD" w:rsidRDefault="002648B0" w:rsidP="00622B37">
            <w:pPr>
              <w:pStyle w:val="InstructionsText"/>
              <w:rPr>
                <w:rStyle w:val="InstructionsTabelleText"/>
                <w:rFonts w:ascii="Times New Roman" w:hAnsi="Times New Roman"/>
                <w:bCs/>
                <w:sz w:val="24"/>
              </w:rPr>
            </w:pPr>
            <w:r>
              <w:rPr>
                <w:rStyle w:val="InstructionsTabelleText"/>
                <w:rFonts w:ascii="Times New Roman" w:hAnsi="Times New Roman"/>
                <w:sz w:val="24"/>
              </w:rPr>
              <w:t>Ligne</w:t>
            </w:r>
          </w:p>
        </w:tc>
        <w:tc>
          <w:tcPr>
            <w:tcW w:w="7620" w:type="dxa"/>
            <w:shd w:val="clear" w:color="auto" w:fill="D9D9D9"/>
          </w:tcPr>
          <w:p w:rsidR="005643EA" w:rsidRPr="00392FFD" w:rsidRDefault="002648B0" w:rsidP="00622B37">
            <w:pPr>
              <w:pStyle w:val="InstructionsText"/>
              <w:rPr>
                <w:rStyle w:val="InstructionsTabelleText"/>
                <w:rFonts w:ascii="Times New Roman" w:hAnsi="Times New Roman"/>
                <w:bCs/>
                <w:sz w:val="24"/>
              </w:rPr>
            </w:pPr>
            <w:r>
              <w:rPr>
                <w:rStyle w:val="InstructionsTabelleText"/>
                <w:rFonts w:ascii="Times New Roman" w:hAnsi="Times New Roman"/>
                <w:sz w:val="24"/>
              </w:rPr>
              <w:t>Références légales et instructions</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010</w:t>
            </w:r>
          </w:p>
        </w:tc>
        <w:tc>
          <w:tcPr>
            <w:tcW w:w="7620" w:type="dxa"/>
          </w:tcPr>
          <w:p w:rsidR="00D7242F" w:rsidRPr="00392FFD" w:rsidRDefault="00C66473"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w:t>
            </w:r>
            <w:r>
              <w:tab/>
            </w:r>
            <w:r>
              <w:rPr>
                <w:rStyle w:val="InstructionsTabelleberschrift"/>
                <w:rFonts w:ascii="Times New Roman" w:hAnsi="Times New Roman"/>
                <w:sz w:val="24"/>
              </w:rPr>
              <w:t>Fonds propres</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118, et article 72 du CRR</w:t>
            </w:r>
          </w:p>
          <w:p w:rsidR="005643EA" w:rsidRPr="00392FFD" w:rsidRDefault="002648B0" w:rsidP="00622B37">
            <w:pPr>
              <w:pStyle w:val="InstructionsText"/>
              <w:rPr>
                <w:rStyle w:val="InstructionsTabelleberschrift"/>
                <w:rFonts w:ascii="Times New Roman" w:hAnsi="Times New Roman"/>
                <w:sz w:val="24"/>
              </w:rPr>
            </w:pPr>
            <w:r>
              <w:rPr>
                <w:rStyle w:val="FormatvorlageInstructionsTabelleText"/>
                <w:rFonts w:ascii="Times New Roman" w:hAnsi="Times New Roman"/>
                <w:sz w:val="24"/>
              </w:rPr>
              <w:t>Les fonds propres d’un établissement correspondent à la somme de ses fonds propres de catégorie 1 et de ses fonds propres de catégorie 2.</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015</w:t>
            </w:r>
          </w:p>
        </w:tc>
        <w:tc>
          <w:tcPr>
            <w:tcW w:w="7620" w:type="dxa"/>
          </w:tcPr>
          <w:p w:rsidR="005643EA" w:rsidRPr="00392FFD" w:rsidRDefault="00666996"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w:t>
            </w:r>
            <w:r>
              <w:tab/>
            </w:r>
            <w:r>
              <w:rPr>
                <w:rStyle w:val="InstructionsTabelleberschrift"/>
                <w:rFonts w:ascii="Times New Roman" w:hAnsi="Times New Roman"/>
                <w:sz w:val="24"/>
              </w:rPr>
              <w:t>Fonds propres de catégorie 1</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25 du CRR</w:t>
            </w:r>
          </w:p>
          <w:p w:rsidR="005643EA" w:rsidRPr="00392FFD" w:rsidRDefault="00666996" w:rsidP="00622B37">
            <w:pPr>
              <w:pStyle w:val="InstructionsText"/>
              <w:rPr>
                <w:rStyle w:val="InstructionsTabelleberschrift"/>
                <w:rFonts w:ascii="Times New Roman" w:hAnsi="Times New Roman"/>
                <w:sz w:val="24"/>
              </w:rPr>
            </w:pPr>
            <w:r>
              <w:rPr>
                <w:rStyle w:val="FormatvorlageInstructionsTabelleText"/>
                <w:rFonts w:ascii="Times New Roman" w:hAnsi="Times New Roman"/>
                <w:sz w:val="24"/>
              </w:rPr>
              <w:t xml:space="preserve">Les fonds propres de catégorie 1 d’un établissement correspondent à la somme de ses fonds propres de base de catégorie 1 et de ses fonds propres </w:t>
            </w:r>
            <w:r>
              <w:rPr>
                <w:rStyle w:val="FormatvorlageInstructionsTabelleText"/>
                <w:rFonts w:ascii="Times New Roman" w:hAnsi="Times New Roman"/>
                <w:sz w:val="24"/>
              </w:rPr>
              <w:lastRenderedPageBreak/>
              <w:t xml:space="preserve">additionnels de catégorie 1. </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020</w:t>
            </w:r>
          </w:p>
        </w:tc>
        <w:tc>
          <w:tcPr>
            <w:tcW w:w="7620" w:type="dxa"/>
          </w:tcPr>
          <w:p w:rsidR="005643EA" w:rsidRPr="00392FFD" w:rsidRDefault="00666996"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1.1.1.</w:t>
            </w:r>
            <w:r>
              <w:tab/>
            </w:r>
            <w:r>
              <w:rPr>
                <w:rStyle w:val="InstructionsTabelleberschrift"/>
                <w:rFonts w:ascii="Times New Roman" w:hAnsi="Times New Roman"/>
                <w:sz w:val="24"/>
              </w:rPr>
              <w:t>Fonds propres de base de catégorie 1 (CET1)</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50 du CRR</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030</w:t>
            </w:r>
          </w:p>
        </w:tc>
        <w:tc>
          <w:tcPr>
            <w:tcW w:w="7620" w:type="dxa"/>
          </w:tcPr>
          <w:p w:rsidR="005643EA" w:rsidRPr="0023700C" w:rsidRDefault="000120E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1.1.1.1</w:t>
            </w:r>
            <w:r>
              <w:tab/>
            </w:r>
            <w:r>
              <w:rPr>
                <w:rStyle w:val="InstructionsTabelleberschrift"/>
                <w:rFonts w:ascii="Times New Roman" w:hAnsi="Times New Roman"/>
                <w:sz w:val="24"/>
              </w:rPr>
              <w:t>Instruments de capital éligibles en tant que fonds propres CET1</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26, paragraphe 1, points a) et b), articles 27 à 30, article 36, par</w:t>
            </w:r>
            <w:r>
              <w:rPr>
                <w:rStyle w:val="FormatvorlageInstructionsTabelleText"/>
                <w:rFonts w:ascii="Times New Roman" w:hAnsi="Times New Roman"/>
                <w:sz w:val="24"/>
              </w:rPr>
              <w:t>a</w:t>
            </w:r>
            <w:r>
              <w:rPr>
                <w:rStyle w:val="FormatvorlageInstructionsTabelleText"/>
                <w:rFonts w:ascii="Times New Roman" w:hAnsi="Times New Roman"/>
                <w:sz w:val="24"/>
              </w:rPr>
              <w:t>graphe 1, point f), et article 42 du CRR</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040</w:t>
            </w:r>
          </w:p>
        </w:tc>
        <w:tc>
          <w:tcPr>
            <w:tcW w:w="7620" w:type="dxa"/>
          </w:tcPr>
          <w:p w:rsidR="005643EA" w:rsidRPr="00392FFD" w:rsidRDefault="00666996"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1.1.1.1.1</w:t>
            </w:r>
            <w:r>
              <w:tab/>
            </w:r>
            <w:r>
              <w:rPr>
                <w:rStyle w:val="InstructionsTabelleberschrift"/>
                <w:rFonts w:ascii="Times New Roman" w:hAnsi="Times New Roman"/>
                <w:sz w:val="24"/>
              </w:rPr>
              <w:t>Instruments de capital versés</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26, paragraphe 1, point a), et articles 27 à 31 du CRR</w:t>
            </w:r>
          </w:p>
          <w:p w:rsidR="00FE3BD8" w:rsidRPr="00392FFD" w:rsidRDefault="00543DBD"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Les instruments de capital de sociétés mutuelles ou coopératives ou d’établissements analogues (articles 27 et 29 du CRR) sont inclus.</w:t>
            </w:r>
          </w:p>
          <w:p w:rsidR="00FE3BD8"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La prime d’émission liée à ces instruments n’est pas incluse.</w:t>
            </w:r>
          </w:p>
          <w:p w:rsidR="005643EA" w:rsidRPr="00392FFD" w:rsidRDefault="00543DBD"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Les instruments de capital souscrits par les autorités publiques dans des s</w:t>
            </w:r>
            <w:r>
              <w:rPr>
                <w:rStyle w:val="FormatvorlageInstructionsTabelleText"/>
                <w:rFonts w:ascii="Times New Roman" w:hAnsi="Times New Roman"/>
                <w:sz w:val="24"/>
              </w:rPr>
              <w:t>i</w:t>
            </w:r>
            <w:r>
              <w:rPr>
                <w:rStyle w:val="FormatvorlageInstructionsTabelleText"/>
                <w:rFonts w:ascii="Times New Roman" w:hAnsi="Times New Roman"/>
                <w:sz w:val="24"/>
              </w:rPr>
              <w:t>tuations d’urgence sont inclus si toutes les conditions de l’article 31 du CRR sont remplies.</w:t>
            </w:r>
          </w:p>
        </w:tc>
      </w:tr>
      <w:tr w:rsidR="00216D67" w:rsidRPr="00392FFD" w:rsidTr="000903FA">
        <w:tc>
          <w:tcPr>
            <w:tcW w:w="1129" w:type="dxa"/>
          </w:tcPr>
          <w:p w:rsidR="00216D67" w:rsidRPr="00392FFD" w:rsidRDefault="00216D67"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045</w:t>
            </w:r>
          </w:p>
        </w:tc>
        <w:tc>
          <w:tcPr>
            <w:tcW w:w="7620" w:type="dxa"/>
          </w:tcPr>
          <w:p w:rsidR="00216D67" w:rsidRPr="00295225" w:rsidRDefault="00DD2C1E"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1.1.1.1.1*</w:t>
            </w:r>
            <w:r>
              <w:tab/>
            </w:r>
            <w:r>
              <w:rPr>
                <w:rStyle w:val="InstructionsTabelleberschrift"/>
                <w:rFonts w:ascii="Times New Roman" w:hAnsi="Times New Roman"/>
                <w:sz w:val="24"/>
              </w:rPr>
              <w:t>Dont: Instruments de capital souscrits par les autorités publiques dans des situations d'urgence</w:t>
            </w:r>
          </w:p>
          <w:p w:rsidR="00216D67" w:rsidRPr="00392FFD" w:rsidRDefault="00216D67"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 31 du CRR</w:t>
            </w:r>
          </w:p>
          <w:p w:rsidR="00216D67" w:rsidRPr="00392FFD" w:rsidRDefault="00216D67" w:rsidP="00622B37">
            <w:pPr>
              <w:pStyle w:val="InstructionsText"/>
              <w:rPr>
                <w:rStyle w:val="InstructionsTabelleberschrift"/>
                <w:rFonts w:ascii="Times New Roman" w:hAnsi="Times New Roman"/>
                <w:sz w:val="24"/>
              </w:rPr>
            </w:pPr>
            <w:r>
              <w:rPr>
                <w:rStyle w:val="InstructionsTabelleberschrift"/>
                <w:rFonts w:ascii="Times New Roman" w:hAnsi="Times New Roman"/>
                <w:b w:val="0"/>
                <w:sz w:val="24"/>
                <w:u w:val="none"/>
              </w:rPr>
              <w:t>Les instruments de capital souscrits par les autorités publiques dans des s</w:t>
            </w:r>
            <w:r>
              <w:rPr>
                <w:rStyle w:val="InstructionsTabelleberschrift"/>
                <w:rFonts w:ascii="Times New Roman" w:hAnsi="Times New Roman"/>
                <w:b w:val="0"/>
                <w:sz w:val="24"/>
                <w:u w:val="none"/>
              </w:rPr>
              <w:t>i</w:t>
            </w:r>
            <w:r>
              <w:rPr>
                <w:rStyle w:val="InstructionsTabelleberschrift"/>
                <w:rFonts w:ascii="Times New Roman" w:hAnsi="Times New Roman"/>
                <w:b w:val="0"/>
                <w:sz w:val="24"/>
                <w:u w:val="none"/>
              </w:rPr>
              <w:t>tuations d’urgence sont inclus dans les fonds propres CET1 si toutes les conditions de l’article 31 du CRR sont remplies.</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050</w:t>
            </w:r>
          </w:p>
        </w:tc>
        <w:tc>
          <w:tcPr>
            <w:tcW w:w="7620" w:type="dxa"/>
          </w:tcPr>
          <w:p w:rsidR="005643EA" w:rsidRPr="00295225" w:rsidRDefault="00666996"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1.1.1.1.2*</w:t>
            </w:r>
            <w:r>
              <w:tab/>
            </w:r>
            <w:r>
              <w:rPr>
                <w:rStyle w:val="InstructionsTabelleberschrift"/>
                <w:rFonts w:ascii="Times New Roman" w:hAnsi="Times New Roman"/>
                <w:sz w:val="24"/>
              </w:rPr>
              <w:t>Pour mémoire: Instruments de capital non éligibles</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28, paragraphe 1, points b), l) et m), du CRR</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Dans ces points, les conditions traduisent diverses situations réversibles pour le capital. Dès lors, le montant déclaré ici peut être éligible au cours des p</w:t>
            </w:r>
            <w:r>
              <w:rPr>
                <w:rStyle w:val="FormatvorlageInstructionsTabelleText"/>
                <w:rFonts w:ascii="Times New Roman" w:hAnsi="Times New Roman"/>
                <w:sz w:val="24"/>
              </w:rPr>
              <w:t>é</w:t>
            </w:r>
            <w:r>
              <w:rPr>
                <w:rStyle w:val="FormatvorlageInstructionsTabelleText"/>
                <w:rFonts w:ascii="Times New Roman" w:hAnsi="Times New Roman"/>
                <w:sz w:val="24"/>
              </w:rPr>
              <w:t>riodes suivantes.</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n’intègre pas la prime d’émission liée à ces instr</w:t>
            </w:r>
            <w:r>
              <w:rPr>
                <w:rStyle w:val="FormatvorlageInstructionsTabelleText"/>
                <w:rFonts w:ascii="Times New Roman" w:hAnsi="Times New Roman"/>
                <w:sz w:val="24"/>
              </w:rPr>
              <w:t>u</w:t>
            </w:r>
            <w:r>
              <w:rPr>
                <w:rStyle w:val="FormatvorlageInstructionsTabelleText"/>
                <w:rFonts w:ascii="Times New Roman" w:hAnsi="Times New Roman"/>
                <w:sz w:val="24"/>
              </w:rPr>
              <w:t>ments.</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060</w:t>
            </w:r>
          </w:p>
        </w:tc>
        <w:tc>
          <w:tcPr>
            <w:tcW w:w="7620" w:type="dxa"/>
          </w:tcPr>
          <w:p w:rsidR="005643EA" w:rsidRPr="00295225" w:rsidRDefault="00666996"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1.1.1.1.3</w:t>
            </w:r>
            <w:r>
              <w:tab/>
            </w:r>
            <w:r>
              <w:rPr>
                <w:rStyle w:val="InstructionsTabelleberschrift"/>
                <w:rFonts w:ascii="Times New Roman" w:hAnsi="Times New Roman"/>
                <w:sz w:val="24"/>
              </w:rPr>
              <w:t>Prime d'émission</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124, et article 26, paragraphe 1, point b), du CRR</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 xml:space="preserve">Le terme «prime d’émission» a la même signification que celle utilisée par la norme comptable applicable. </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 xml:space="preserve">Le montant à déclarer à ce poste est la part liée aux «Instruments de capital versés». </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070</w:t>
            </w:r>
          </w:p>
        </w:tc>
        <w:tc>
          <w:tcPr>
            <w:tcW w:w="7620" w:type="dxa"/>
          </w:tcPr>
          <w:p w:rsidR="005643EA" w:rsidRPr="00295225" w:rsidRDefault="00666996"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1.1.1.1.4</w:t>
            </w:r>
            <w:r>
              <w:tab/>
            </w:r>
            <w:r>
              <w:rPr>
                <w:rStyle w:val="InstructionsTabelleberschrift"/>
                <w:rFonts w:ascii="Times New Roman" w:hAnsi="Times New Roman"/>
                <w:sz w:val="24"/>
              </w:rPr>
              <w:t>(-) Propres instruments CET1</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36, paragraphe 1, point f), et article 42 du CRR</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Propres instruments de fonds propres de base de catégorie 1 détenus par l’établissement ou le groupe à la date de déclaration. Poste soumis aux e</w:t>
            </w:r>
            <w:r>
              <w:rPr>
                <w:rStyle w:val="FormatvorlageInstructionsTabelleText"/>
                <w:rFonts w:ascii="Times New Roman" w:hAnsi="Times New Roman"/>
                <w:sz w:val="24"/>
              </w:rPr>
              <w:t>x</w:t>
            </w:r>
            <w:r>
              <w:rPr>
                <w:rStyle w:val="FormatvorlageInstructionsTabelleText"/>
                <w:rFonts w:ascii="Times New Roman" w:hAnsi="Times New Roman"/>
                <w:sz w:val="24"/>
              </w:rPr>
              <w:t>ceptions de l’article 42 du CRR.</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La détention d’actions intégrées aux «Instruments de capital non éligibles» ne figurera pas dans cette ligne.</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intègre la prime d’émission liée aux actions propres.</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Les points 1.1.1.1.4 à 1.1.1.1.4.3 ne comprennent pas les instruments de fonds propres de base de catégorie 1 que l’établissement a l’obligation réelle ou éventuelle d’acquérir. Ces instruments de fonds propres de base de cat</w:t>
            </w:r>
            <w:r>
              <w:rPr>
                <w:rStyle w:val="FormatvorlageInstructionsTabelleText"/>
                <w:rFonts w:ascii="Times New Roman" w:hAnsi="Times New Roman"/>
                <w:sz w:val="24"/>
              </w:rPr>
              <w:t>é</w:t>
            </w:r>
            <w:r>
              <w:rPr>
                <w:rStyle w:val="FormatvorlageInstructionsTabelleText"/>
                <w:rFonts w:ascii="Times New Roman" w:hAnsi="Times New Roman"/>
                <w:sz w:val="24"/>
              </w:rPr>
              <w:t>gorie 1 que l’établissement a l’obligation réelle ou éventuelle d’acquérir s</w:t>
            </w:r>
            <w:r>
              <w:rPr>
                <w:rStyle w:val="FormatvorlageInstructionsTabelleText"/>
                <w:rFonts w:ascii="Times New Roman" w:hAnsi="Times New Roman"/>
                <w:sz w:val="24"/>
              </w:rPr>
              <w:t>e</w:t>
            </w:r>
            <w:r>
              <w:rPr>
                <w:rStyle w:val="FormatvorlageInstructionsTabelleText"/>
                <w:rFonts w:ascii="Times New Roman" w:hAnsi="Times New Roman"/>
                <w:sz w:val="24"/>
              </w:rPr>
              <w:t>ront déclarés séparément au point 1.1.1.1.5.</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080</w:t>
            </w:r>
          </w:p>
        </w:tc>
        <w:tc>
          <w:tcPr>
            <w:tcW w:w="7620" w:type="dxa"/>
          </w:tcPr>
          <w:p w:rsidR="005643EA" w:rsidRPr="00295225" w:rsidRDefault="00666996"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1.1.1.1.4.1</w:t>
            </w:r>
            <w:r>
              <w:tab/>
            </w:r>
            <w:r>
              <w:rPr>
                <w:rStyle w:val="InstructionsTabelleberschrift"/>
                <w:rFonts w:ascii="Times New Roman" w:hAnsi="Times New Roman"/>
                <w:sz w:val="24"/>
              </w:rPr>
              <w:t>(-) Détentions directes d'instruments CET1</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36, paragraphe 1, point f), et article 42 du CRR</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 xml:space="preserve">Instruments de fonds propres de base de catégorie 1 inclus au point 1.1.1.1, détenus par les établissements du groupe consolidé. </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intègre les détentions dans le portefeuille de négoci</w:t>
            </w:r>
            <w:r>
              <w:rPr>
                <w:rStyle w:val="FormatvorlageInstructionsTabelleText"/>
                <w:rFonts w:ascii="Times New Roman" w:hAnsi="Times New Roman"/>
                <w:sz w:val="24"/>
              </w:rPr>
              <w:t>a</w:t>
            </w:r>
            <w:r>
              <w:rPr>
                <w:rStyle w:val="FormatvorlageInstructionsTabelleText"/>
                <w:rFonts w:ascii="Times New Roman" w:hAnsi="Times New Roman"/>
                <w:sz w:val="24"/>
              </w:rPr>
              <w:t>tion, calculées sur la base de la position longue nette, conformément à l’article 42, point a), du CRR.</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090</w:t>
            </w:r>
          </w:p>
        </w:tc>
        <w:tc>
          <w:tcPr>
            <w:tcW w:w="7620" w:type="dxa"/>
          </w:tcPr>
          <w:p w:rsidR="005643EA" w:rsidRPr="00295225" w:rsidRDefault="00666996"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1.1.1.1.4.2</w:t>
            </w:r>
            <w:r>
              <w:tab/>
            </w:r>
            <w:r>
              <w:rPr>
                <w:rStyle w:val="InstructionsTabelleberschrift"/>
                <w:rFonts w:ascii="Times New Roman" w:hAnsi="Times New Roman"/>
                <w:sz w:val="24"/>
              </w:rPr>
              <w:t>(-) Détentions indirectes d'instruments CET1</w:t>
            </w:r>
          </w:p>
          <w:p w:rsidR="005643EA" w:rsidRPr="00392FFD" w:rsidRDefault="00805255"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114, article 36, paragraphe 1, point f), et a</w:t>
            </w:r>
            <w:r>
              <w:rPr>
                <w:rStyle w:val="FormatvorlageInstructionsTabelleText"/>
                <w:rFonts w:ascii="Times New Roman" w:hAnsi="Times New Roman"/>
                <w:sz w:val="24"/>
              </w:rPr>
              <w:t>r</w:t>
            </w:r>
            <w:r>
              <w:rPr>
                <w:rStyle w:val="FormatvorlageInstructionsTabelleText"/>
                <w:rFonts w:ascii="Times New Roman" w:hAnsi="Times New Roman"/>
                <w:sz w:val="24"/>
              </w:rPr>
              <w:t>ticle 42 du CRR</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091</w:t>
            </w:r>
          </w:p>
          <w:p w:rsidR="005643EA" w:rsidRPr="00392FFD" w:rsidRDefault="005643EA" w:rsidP="00622B37">
            <w:pPr>
              <w:pStyle w:val="InstructionsText"/>
              <w:rPr>
                <w:rStyle w:val="FormatvorlageInstructionsTabelleText"/>
                <w:rFonts w:ascii="Times New Roman" w:hAnsi="Times New Roman"/>
                <w:sz w:val="24"/>
              </w:rPr>
            </w:pPr>
          </w:p>
        </w:tc>
        <w:tc>
          <w:tcPr>
            <w:tcW w:w="7620" w:type="dxa"/>
          </w:tcPr>
          <w:p w:rsidR="005643EA" w:rsidRPr="00295225" w:rsidRDefault="00666996"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1.1.1.1.4.3</w:t>
            </w:r>
            <w:r>
              <w:tab/>
            </w:r>
            <w:r>
              <w:rPr>
                <w:rStyle w:val="InstructionsTabelleberschrift"/>
                <w:rFonts w:ascii="Times New Roman" w:hAnsi="Times New Roman"/>
                <w:sz w:val="24"/>
              </w:rPr>
              <w:t>(-) Détentions synthétiques d'instruments CET1</w:t>
            </w:r>
          </w:p>
          <w:p w:rsidR="005643EA" w:rsidRPr="00295225" w:rsidRDefault="00805255" w:rsidP="00622B37">
            <w:pPr>
              <w:pStyle w:val="InstructionsText"/>
              <w:rPr>
                <w:rStyle w:val="InstructionsTabelleberschrift"/>
                <w:rFonts w:ascii="Times New Roman" w:hAnsi="Times New Roman"/>
                <w:b w:val="0"/>
                <w:sz w:val="24"/>
                <w:u w:val="none"/>
              </w:rPr>
            </w:pPr>
            <w:r>
              <w:rPr>
                <w:rStyle w:val="FormatvorlageInstructionsTabelleText"/>
                <w:rFonts w:ascii="Times New Roman" w:hAnsi="Times New Roman"/>
                <w:sz w:val="24"/>
              </w:rPr>
              <w:t>Article 4, paragraphe 1, point 126, article 36, paragraphe 1, point f), et a</w:t>
            </w:r>
            <w:r>
              <w:rPr>
                <w:rStyle w:val="FormatvorlageInstructionsTabelleText"/>
                <w:rFonts w:ascii="Times New Roman" w:hAnsi="Times New Roman"/>
                <w:sz w:val="24"/>
              </w:rPr>
              <w:t>r</w:t>
            </w:r>
            <w:r>
              <w:rPr>
                <w:rStyle w:val="FormatvorlageInstructionsTabelleText"/>
                <w:rFonts w:ascii="Times New Roman" w:hAnsi="Times New Roman"/>
                <w:sz w:val="24"/>
              </w:rPr>
              <w:t>ticle 42 du CRR</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092</w:t>
            </w:r>
          </w:p>
        </w:tc>
        <w:tc>
          <w:tcPr>
            <w:tcW w:w="7620" w:type="dxa"/>
          </w:tcPr>
          <w:p w:rsidR="005643EA" w:rsidRPr="00392FFD" w:rsidRDefault="00666996"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1.1.1.1.5</w:t>
            </w:r>
            <w:r>
              <w:tab/>
            </w:r>
            <w:r>
              <w:rPr>
                <w:rStyle w:val="InstructionsTabelleberschrift"/>
                <w:rFonts w:ascii="Times New Roman" w:hAnsi="Times New Roman"/>
                <w:sz w:val="24"/>
              </w:rPr>
              <w:t>(–) Obligations réelles ou éventuelles d'acquérir ses propres instruments CET1</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36, paragraphe 1, point f), et article 42 du CRR</w:t>
            </w:r>
          </w:p>
          <w:p w:rsidR="005643EA" w:rsidRPr="00295225" w:rsidRDefault="002648B0" w:rsidP="00622B37">
            <w:pPr>
              <w:pStyle w:val="InstructionsText"/>
              <w:rPr>
                <w:rStyle w:val="InstructionsTabelleberschrift"/>
                <w:rFonts w:ascii="Times New Roman" w:hAnsi="Times New Roman"/>
                <w:b w:val="0"/>
                <w:bCs w:val="0"/>
                <w:sz w:val="24"/>
                <w:u w:val="none"/>
              </w:rPr>
            </w:pPr>
            <w:r>
              <w:rPr>
                <w:rStyle w:val="InstructionsTabelleberschrift"/>
                <w:rFonts w:ascii="Times New Roman" w:hAnsi="Times New Roman"/>
                <w:b w:val="0"/>
                <w:sz w:val="24"/>
                <w:u w:val="none"/>
              </w:rPr>
              <w:t>Conformément à l'article 36, paragraphe 1, point f) du CRR, «</w:t>
            </w:r>
            <w:r>
              <w:t>les propres instruments de fonds propres de base de catégorie 1 que l'établissement a l'obligation réelle ou éventuelle d'acquérir en vertu d'une obligation contra</w:t>
            </w:r>
            <w:r>
              <w:t>c</w:t>
            </w:r>
            <w:r>
              <w:t>tuelle existante» seront déduits.</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130</w:t>
            </w:r>
          </w:p>
        </w:tc>
        <w:tc>
          <w:tcPr>
            <w:tcW w:w="7620" w:type="dxa"/>
          </w:tcPr>
          <w:p w:rsidR="005643EA" w:rsidRPr="00295225" w:rsidRDefault="00666996"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1.1.1.2</w:t>
            </w:r>
            <w:r>
              <w:tab/>
            </w:r>
            <w:r>
              <w:rPr>
                <w:rStyle w:val="InstructionsTabelleberschrift"/>
                <w:rFonts w:ascii="Times New Roman" w:hAnsi="Times New Roman"/>
                <w:sz w:val="24"/>
              </w:rPr>
              <w:t>Résultats non distribués</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26, paragraphe 1, point c), et article 26, paragraphe 2, du CRR</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Les résultats non distribués incluent les bénéfices non distribués de l’exercice précédent ainsi que les bénéfices intermédiaires ou de fin d’exercice éligibles.</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140</w:t>
            </w:r>
          </w:p>
        </w:tc>
        <w:tc>
          <w:tcPr>
            <w:tcW w:w="7620" w:type="dxa"/>
          </w:tcPr>
          <w:p w:rsidR="005643EA" w:rsidRPr="00295225" w:rsidRDefault="00666996"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1.1.1.2.1</w:t>
            </w:r>
            <w:r>
              <w:tab/>
            </w:r>
            <w:r>
              <w:rPr>
                <w:rStyle w:val="InstructionsTabelleberschrift"/>
                <w:rFonts w:ascii="Times New Roman" w:hAnsi="Times New Roman"/>
                <w:sz w:val="24"/>
              </w:rPr>
              <w:t>Résultats non distribués des exercices précédents</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123, et article 26, paragraphe 1, point c), du CRR</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L’article 4, paragraphe 1, point 123, du CRR définit les résultats non distr</w:t>
            </w:r>
            <w:r>
              <w:rPr>
                <w:rStyle w:val="FormatvorlageInstructionsTabelleText"/>
                <w:rFonts w:ascii="Times New Roman" w:hAnsi="Times New Roman"/>
                <w:sz w:val="24"/>
              </w:rPr>
              <w:t>i</w:t>
            </w:r>
            <w:r>
              <w:rPr>
                <w:rStyle w:val="FormatvorlageInstructionsTabelleText"/>
                <w:rFonts w:ascii="Times New Roman" w:hAnsi="Times New Roman"/>
                <w:sz w:val="24"/>
              </w:rPr>
              <w:t>bués comme «les profits et les pertes reportés par affectation du résultat final au sens du référentiel comptable applicable».</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150</w:t>
            </w:r>
          </w:p>
        </w:tc>
        <w:tc>
          <w:tcPr>
            <w:tcW w:w="7620" w:type="dxa"/>
          </w:tcPr>
          <w:p w:rsidR="005643EA" w:rsidRPr="00295225" w:rsidRDefault="00666996"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1.1.1.2.2</w:t>
            </w:r>
            <w:r>
              <w:tab/>
            </w:r>
            <w:r>
              <w:rPr>
                <w:rStyle w:val="InstructionsTabelleberschrift"/>
                <w:rFonts w:ascii="Times New Roman" w:hAnsi="Times New Roman"/>
                <w:sz w:val="24"/>
              </w:rPr>
              <w:t>Profits ou pertes éligibles</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121, article 26, paragraphe 2, et article 36, p</w:t>
            </w:r>
            <w:r>
              <w:rPr>
                <w:rStyle w:val="FormatvorlageInstructionsTabelleText"/>
                <w:rFonts w:ascii="Times New Roman" w:hAnsi="Times New Roman"/>
                <w:sz w:val="24"/>
              </w:rPr>
              <w:t>a</w:t>
            </w:r>
            <w:r>
              <w:rPr>
                <w:rStyle w:val="FormatvorlageInstructionsTabelleText"/>
                <w:rFonts w:ascii="Times New Roman" w:hAnsi="Times New Roman"/>
                <w:sz w:val="24"/>
              </w:rPr>
              <w:lastRenderedPageBreak/>
              <w:t>ragraphe 1, point a), du CRR</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 xml:space="preserve">L’article 26, paragraphe 2 du CRR permet d’inclure dans les résultats non distribués les bénéfices intermédiaires ou de fin d’exercice, sous réserve de l’autorisation préalable de l’autorité compétente et pour autant que certaines conditions soient remplies. </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Par ailleurs, les pertes seront déduites des fonds propres de base de catégorie 1, comme indiqué à l’article 36, paragraphe 1, point a) du CRR.</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160</w:t>
            </w:r>
          </w:p>
        </w:tc>
        <w:tc>
          <w:tcPr>
            <w:tcW w:w="7620" w:type="dxa"/>
          </w:tcPr>
          <w:p w:rsidR="005643EA" w:rsidRPr="00295225" w:rsidRDefault="00666996"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1.1.1.2.2.1</w:t>
            </w:r>
            <w:r>
              <w:tab/>
            </w:r>
            <w:r>
              <w:rPr>
                <w:rStyle w:val="InstructionsTabelleberschrift"/>
                <w:rFonts w:ascii="Times New Roman" w:hAnsi="Times New Roman"/>
                <w:sz w:val="24"/>
              </w:rPr>
              <w:t>Profits ou pertes attribuables aux propriétaires de la s</w:t>
            </w:r>
            <w:r>
              <w:rPr>
                <w:rStyle w:val="InstructionsTabelleberschrift"/>
                <w:rFonts w:ascii="Times New Roman" w:hAnsi="Times New Roman"/>
                <w:sz w:val="24"/>
              </w:rPr>
              <w:t>o</w:t>
            </w:r>
            <w:r>
              <w:rPr>
                <w:rStyle w:val="InstructionsTabelleberschrift"/>
                <w:rFonts w:ascii="Times New Roman" w:hAnsi="Times New Roman"/>
                <w:sz w:val="24"/>
              </w:rPr>
              <w:t>ciété mère</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26, paragraphe 2, et article 36, paragraphe 1, point a), du CRR</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est le profit ou la perte déclaré dans le compte de r</w:t>
            </w:r>
            <w:r>
              <w:rPr>
                <w:rStyle w:val="FormatvorlageInstructionsTabelleText"/>
                <w:rFonts w:ascii="Times New Roman" w:hAnsi="Times New Roman"/>
                <w:sz w:val="24"/>
              </w:rPr>
              <w:t>é</w:t>
            </w:r>
            <w:r>
              <w:rPr>
                <w:rStyle w:val="FormatvorlageInstructionsTabelleText"/>
                <w:rFonts w:ascii="Times New Roman" w:hAnsi="Times New Roman"/>
                <w:sz w:val="24"/>
              </w:rPr>
              <w:t>sultat comptable.</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170</w:t>
            </w:r>
          </w:p>
        </w:tc>
        <w:tc>
          <w:tcPr>
            <w:tcW w:w="7620" w:type="dxa"/>
          </w:tcPr>
          <w:p w:rsidR="005643EA" w:rsidRPr="00392FFD" w:rsidRDefault="00666996"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1.1.1.2.2.2</w:t>
            </w:r>
            <w:r>
              <w:tab/>
            </w:r>
            <w:r>
              <w:rPr>
                <w:rStyle w:val="InstructionsTabelleberschrift"/>
                <w:rFonts w:ascii="Times New Roman" w:hAnsi="Times New Roman"/>
                <w:sz w:val="24"/>
              </w:rPr>
              <w:t>(-) Part du bénéfice intermédiaire ou de fin d’exercice non éligible</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26, point 2, du CRR</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Cette ligne demeure vide lorsque l’établissement a déclaré une perte pour la période de référence. En effet, les pertes sont intégralement déduites des fonds propres de base de catégorie 1.</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Si l’établissement affiche un bénéfice, la part non éligible de ce bénéfice, en vertu de l’article 26, paragraphe 2, du CRR (à savoir les bénéfices non aud</w:t>
            </w:r>
            <w:r>
              <w:rPr>
                <w:rStyle w:val="FormatvorlageInstructionsTabelleText"/>
                <w:rFonts w:ascii="Times New Roman" w:hAnsi="Times New Roman"/>
                <w:sz w:val="24"/>
              </w:rPr>
              <w:t>i</w:t>
            </w:r>
            <w:r>
              <w:rPr>
                <w:rStyle w:val="FormatvorlageInstructionsTabelleText"/>
                <w:rFonts w:ascii="Times New Roman" w:hAnsi="Times New Roman"/>
                <w:sz w:val="24"/>
              </w:rPr>
              <w:t>tés et les charges ou dividendes prévisibles), sera déclarée.</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Remarque: en cas de bénéfices, le montant à déduire correspondra au moins aux dividendes intermédiaires.</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180</w:t>
            </w:r>
          </w:p>
        </w:tc>
        <w:tc>
          <w:tcPr>
            <w:tcW w:w="7620" w:type="dxa"/>
          </w:tcPr>
          <w:p w:rsidR="005643EA" w:rsidRPr="00295225" w:rsidRDefault="00666996"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1.1.1.3</w:t>
            </w:r>
            <w:r>
              <w:tab/>
            </w:r>
            <w:r>
              <w:rPr>
                <w:rStyle w:val="InstructionsTabelleberschrift"/>
                <w:rFonts w:ascii="Times New Roman" w:hAnsi="Times New Roman"/>
                <w:sz w:val="24"/>
              </w:rPr>
              <w:t>Autres éléments du résultat global cumulés</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100, et article 26, paragraphe 1, point d), du CRR</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sera net de toute charge d’impôt prévisible au moment du calcul, avant l’application des filtres prudentiels. Le montant à déclarer sera déterminé conformément à l’article 13, paragraphe 4, du règlement d</w:t>
            </w:r>
            <w:r>
              <w:rPr>
                <w:rStyle w:val="FormatvorlageInstructionsTabelleText"/>
                <w:rFonts w:ascii="Times New Roman" w:hAnsi="Times New Roman"/>
                <w:sz w:val="24"/>
              </w:rPr>
              <w:t>é</w:t>
            </w:r>
            <w:r>
              <w:rPr>
                <w:rStyle w:val="FormatvorlageInstructionsTabelleText"/>
                <w:rFonts w:ascii="Times New Roman" w:hAnsi="Times New Roman"/>
                <w:sz w:val="24"/>
              </w:rPr>
              <w:t xml:space="preserve">légué (UE) nº 241/2014 de la Commission. </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200</w:t>
            </w:r>
          </w:p>
        </w:tc>
        <w:tc>
          <w:tcPr>
            <w:tcW w:w="7620" w:type="dxa"/>
          </w:tcPr>
          <w:p w:rsidR="005643EA" w:rsidRPr="00295225" w:rsidRDefault="00666996"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1.1.1.4</w:t>
            </w:r>
            <w:r>
              <w:tab/>
            </w:r>
            <w:r>
              <w:rPr>
                <w:rStyle w:val="InstructionsTabelleberschrift"/>
                <w:rFonts w:ascii="Times New Roman" w:hAnsi="Times New Roman"/>
                <w:sz w:val="24"/>
              </w:rPr>
              <w:t>Autres réserves</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117, et article 26, paragraphe 1, point e), du CRR</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Dans le CRR, les autres réserves sont définies comme étant des «réserves au sens du référentiel comptable applicable soumises à des obligations d’information en vertu de ce référentiel, à l’exclusion des montants déjà i</w:t>
            </w:r>
            <w:r>
              <w:rPr>
                <w:rStyle w:val="FormatvorlageInstructionsTabelleText"/>
                <w:rFonts w:ascii="Times New Roman" w:hAnsi="Times New Roman"/>
                <w:sz w:val="24"/>
              </w:rPr>
              <w:t>n</w:t>
            </w:r>
            <w:r>
              <w:rPr>
                <w:rStyle w:val="FormatvorlageInstructionsTabelleText"/>
                <w:rFonts w:ascii="Times New Roman" w:hAnsi="Times New Roman"/>
                <w:sz w:val="24"/>
              </w:rPr>
              <w:t>clus dans les autres éléments du résultat global cumulés ou dans les résultats non distribués».</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sera net de toute charge d’impôt prévisible au moment du calcul.</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210</w:t>
            </w:r>
          </w:p>
        </w:tc>
        <w:tc>
          <w:tcPr>
            <w:tcW w:w="7620" w:type="dxa"/>
          </w:tcPr>
          <w:p w:rsidR="005643EA" w:rsidRPr="00295225" w:rsidRDefault="00666996"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1.1.1.5</w:t>
            </w:r>
            <w:r>
              <w:tab/>
            </w:r>
            <w:r>
              <w:rPr>
                <w:rStyle w:val="InstructionsTabelleberschrift"/>
                <w:rFonts w:ascii="Times New Roman" w:hAnsi="Times New Roman"/>
                <w:sz w:val="24"/>
              </w:rPr>
              <w:t>Fonds pour risques bancaires généraux</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 xml:space="preserve">Article 4, paragraphe 1, point 112, et article 26, paragraphe 1, point f), du </w:t>
            </w:r>
            <w:r>
              <w:rPr>
                <w:rStyle w:val="FormatvorlageInstructionsTabelleText"/>
                <w:rFonts w:ascii="Times New Roman" w:hAnsi="Times New Roman"/>
                <w:sz w:val="24"/>
              </w:rPr>
              <w:lastRenderedPageBreak/>
              <w:t>CRR</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L’article 38 de la directive 86/635/CEE définit les fonds pour risques ba</w:t>
            </w:r>
            <w:r>
              <w:rPr>
                <w:rStyle w:val="FormatvorlageInstructionsTabelleText"/>
                <w:rFonts w:ascii="Times New Roman" w:hAnsi="Times New Roman"/>
                <w:sz w:val="24"/>
              </w:rPr>
              <w:t>n</w:t>
            </w:r>
            <w:r>
              <w:rPr>
                <w:rStyle w:val="FormatvorlageInstructionsTabelleText"/>
                <w:rFonts w:ascii="Times New Roman" w:hAnsi="Times New Roman"/>
                <w:sz w:val="24"/>
              </w:rPr>
              <w:t>caires généraux comme «les montants que l’établissement de crédit décide d’affecter à la couverture de tels risques, lorsque des raisons de prudence l’imposent eu égard aux risques particuliers inhérents aux opérations ba</w:t>
            </w:r>
            <w:r>
              <w:rPr>
                <w:rStyle w:val="FormatvorlageInstructionsTabelleText"/>
                <w:rFonts w:ascii="Times New Roman" w:hAnsi="Times New Roman"/>
                <w:sz w:val="24"/>
              </w:rPr>
              <w:t>n</w:t>
            </w:r>
            <w:r>
              <w:rPr>
                <w:rStyle w:val="FormatvorlageInstructionsTabelleText"/>
                <w:rFonts w:ascii="Times New Roman" w:hAnsi="Times New Roman"/>
                <w:sz w:val="24"/>
              </w:rPr>
              <w:t>caires.»</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sera net de toute charge d’impôt prévisible au moment du calcul.</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220</w:t>
            </w:r>
          </w:p>
        </w:tc>
        <w:tc>
          <w:tcPr>
            <w:tcW w:w="7620" w:type="dxa"/>
          </w:tcPr>
          <w:p w:rsidR="005643EA" w:rsidRPr="00295225" w:rsidRDefault="00666996"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1.1.1.6</w:t>
            </w:r>
            <w:r>
              <w:tab/>
            </w:r>
            <w:r>
              <w:rPr>
                <w:rStyle w:val="InstructionsTabelleberschrift"/>
                <w:rFonts w:ascii="Times New Roman" w:hAnsi="Times New Roman"/>
                <w:sz w:val="24"/>
              </w:rPr>
              <w:t>Ajustements transitoires relatifs aux instruments de capital CET1 bénéficiant d'une clause d'antériorité</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483, paragraphes 1 à 3, et articles 484 à 487 du CRR</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Montant des instruments de capital restant à titre transitoire éligibles en tant que fonds propres de base de catégorie 1 en vertu d’une clause d’antériorité. Le montant à déclarer provient directement du modèle CA5.</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230</w:t>
            </w:r>
          </w:p>
        </w:tc>
        <w:tc>
          <w:tcPr>
            <w:tcW w:w="7620" w:type="dxa"/>
          </w:tcPr>
          <w:p w:rsidR="005643EA" w:rsidRPr="00295225" w:rsidRDefault="00666996"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1.1.1.7</w:t>
            </w:r>
            <w:r>
              <w:tab/>
            </w:r>
            <w:r>
              <w:rPr>
                <w:rStyle w:val="InstructionsTabelleberschrift"/>
                <w:rFonts w:ascii="Times New Roman" w:hAnsi="Times New Roman"/>
                <w:sz w:val="24"/>
              </w:rPr>
              <w:t>Intérêts minoritaires pris en compte dans les fonds propres CET1</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point 120, et article 84 du CRR</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Somme de tous les montants d’intérêts minoritaires de filiales inclus dans les fonds propres de base de catégorie 1 consolidés.</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240</w:t>
            </w:r>
          </w:p>
        </w:tc>
        <w:tc>
          <w:tcPr>
            <w:tcW w:w="7620" w:type="dxa"/>
          </w:tcPr>
          <w:p w:rsidR="005643EA" w:rsidRPr="00295225" w:rsidRDefault="002648B0"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1.1.1.8</w:t>
            </w:r>
            <w:r>
              <w:tab/>
            </w:r>
            <w:r>
              <w:rPr>
                <w:rStyle w:val="InstructionsTabelleberschrift"/>
                <w:rFonts w:ascii="Times New Roman" w:hAnsi="Times New Roman"/>
                <w:sz w:val="24"/>
              </w:rPr>
              <w:t>Ajustements transitoires découlant d'intérêts minoritaires su</w:t>
            </w:r>
            <w:r>
              <w:rPr>
                <w:rStyle w:val="InstructionsTabelleberschrift"/>
                <w:rFonts w:ascii="Times New Roman" w:hAnsi="Times New Roman"/>
                <w:sz w:val="24"/>
              </w:rPr>
              <w:t>p</w:t>
            </w:r>
            <w:r>
              <w:rPr>
                <w:rStyle w:val="InstructionsTabelleberschrift"/>
                <w:rFonts w:ascii="Times New Roman" w:hAnsi="Times New Roman"/>
                <w:sz w:val="24"/>
              </w:rPr>
              <w:t>plémentaires</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Articles 479 et 480 du CRR</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Ajustements apportés aux intérêts minoritaires en raison de dispositions transitoires. Cet élément est directement issu du modèle CA5.</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250</w:t>
            </w:r>
          </w:p>
        </w:tc>
        <w:tc>
          <w:tcPr>
            <w:tcW w:w="7620" w:type="dxa"/>
          </w:tcPr>
          <w:p w:rsidR="005643EA" w:rsidRPr="00295225" w:rsidRDefault="002648B0"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1.1.1.9</w:t>
            </w:r>
            <w:r>
              <w:tab/>
            </w:r>
            <w:r>
              <w:rPr>
                <w:rStyle w:val="InstructionsTabelleberschrift"/>
                <w:rFonts w:ascii="Times New Roman" w:hAnsi="Times New Roman"/>
                <w:sz w:val="24"/>
              </w:rPr>
              <w:t>Ajustements des CET1 découlant de filtres prudentiels</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 xml:space="preserve">Articles 32 à 35 du CRR </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260</w:t>
            </w:r>
          </w:p>
        </w:tc>
        <w:tc>
          <w:tcPr>
            <w:tcW w:w="7620" w:type="dxa"/>
          </w:tcPr>
          <w:p w:rsidR="005643EA" w:rsidRPr="00295225" w:rsidRDefault="002648B0"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1.1.1.9.1</w:t>
            </w:r>
            <w:r>
              <w:tab/>
            </w:r>
            <w:r>
              <w:rPr>
                <w:rStyle w:val="InstructionsTabelleberschrift"/>
                <w:rFonts w:ascii="Times New Roman" w:hAnsi="Times New Roman"/>
                <w:sz w:val="24"/>
              </w:rPr>
              <w:t>(-) Augmentations de la valeur des capitaux propres résu</w:t>
            </w:r>
            <w:r>
              <w:rPr>
                <w:rStyle w:val="InstructionsTabelleberschrift"/>
                <w:rFonts w:ascii="Times New Roman" w:hAnsi="Times New Roman"/>
                <w:sz w:val="24"/>
              </w:rPr>
              <w:t>l</w:t>
            </w:r>
            <w:r>
              <w:rPr>
                <w:rStyle w:val="InstructionsTabelleberschrift"/>
                <w:rFonts w:ascii="Times New Roman" w:hAnsi="Times New Roman"/>
                <w:sz w:val="24"/>
              </w:rPr>
              <w:t>tant d’actifs titrisés</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32, point 1, du CRR</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correspond à l’augmentation de la valeur des cap</w:t>
            </w:r>
            <w:r>
              <w:rPr>
                <w:rStyle w:val="FormatvorlageInstructionsTabelleText"/>
                <w:rFonts w:ascii="Times New Roman" w:hAnsi="Times New Roman"/>
                <w:sz w:val="24"/>
              </w:rPr>
              <w:t>i</w:t>
            </w:r>
            <w:r>
              <w:rPr>
                <w:rStyle w:val="FormatvorlageInstructionsTabelleText"/>
                <w:rFonts w:ascii="Times New Roman" w:hAnsi="Times New Roman"/>
                <w:sz w:val="24"/>
              </w:rPr>
              <w:t>taux propres d’un établissement résultant d’actifs titrisés, selon le référentiel comptable applicable.</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Ce poste peut par exemple inclure les produits futurs sur marge d’intérêt qui résultent en une plus-value pour l’établissement, ou, lorsque l’établissement est l’initiateur de la titrisation, les gains nets résultant de la capitalisation de produits futurs des actifs titrisés qui fournissent du r</w:t>
            </w:r>
            <w:r>
              <w:rPr>
                <w:rStyle w:val="FormatvorlageInstructionsTabelleText"/>
                <w:rFonts w:ascii="Times New Roman" w:hAnsi="Times New Roman"/>
                <w:sz w:val="24"/>
              </w:rPr>
              <w:t>e</w:t>
            </w:r>
            <w:r>
              <w:rPr>
                <w:rStyle w:val="FormatvorlageInstructionsTabelleText"/>
                <w:rFonts w:ascii="Times New Roman" w:hAnsi="Times New Roman"/>
                <w:sz w:val="24"/>
              </w:rPr>
              <w:t>haussement de crédit à certaines positions de la titrisation.</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270</w:t>
            </w:r>
          </w:p>
        </w:tc>
        <w:tc>
          <w:tcPr>
            <w:tcW w:w="7620"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1.1.1.9.2</w:t>
            </w:r>
            <w:r>
              <w:tab/>
            </w:r>
            <w:r>
              <w:rPr>
                <w:rStyle w:val="InstructionsTabelleberschrift"/>
                <w:rFonts w:ascii="Times New Roman" w:hAnsi="Times New Roman"/>
                <w:sz w:val="24"/>
              </w:rPr>
              <w:t>Réserves de couverture de flux de trésorerie</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33, paragraphe 1, point a), du CRR</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déclaré peut être aussi bien positif que négatif. Il sera positif lorsque les couvertures de flux de trésorerie résultent en une perte (c’est-à-</w:t>
            </w:r>
            <w:r>
              <w:rPr>
                <w:rStyle w:val="FormatvorlageInstructionsTabelleText"/>
                <w:rFonts w:ascii="Times New Roman" w:hAnsi="Times New Roman"/>
                <w:sz w:val="24"/>
              </w:rPr>
              <w:lastRenderedPageBreak/>
              <w:t>dire lorsqu’elles réduisent les capitaux propres comptables), et vice versa. Par conséquent, le signe sera l’inverse de celui utilisé dans les états fina</w:t>
            </w:r>
            <w:r>
              <w:rPr>
                <w:rStyle w:val="FormatvorlageInstructionsTabelleText"/>
                <w:rFonts w:ascii="Times New Roman" w:hAnsi="Times New Roman"/>
                <w:sz w:val="24"/>
              </w:rPr>
              <w:t>n</w:t>
            </w:r>
            <w:r>
              <w:rPr>
                <w:rStyle w:val="FormatvorlageInstructionsTabelleText"/>
                <w:rFonts w:ascii="Times New Roman" w:hAnsi="Times New Roman"/>
                <w:sz w:val="24"/>
              </w:rPr>
              <w:t>ciers.</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sera net de toute charge d’impôt prévisible au moment du calcul.</w:t>
            </w:r>
          </w:p>
        </w:tc>
      </w:tr>
      <w:tr w:rsidR="002648B0" w:rsidRPr="00392FFD" w:rsidTr="000903FA">
        <w:tc>
          <w:tcPr>
            <w:tcW w:w="1129"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280</w:t>
            </w:r>
          </w:p>
        </w:tc>
        <w:tc>
          <w:tcPr>
            <w:tcW w:w="7620" w:type="dxa"/>
          </w:tcPr>
          <w:p w:rsidR="005643EA" w:rsidRPr="00295225" w:rsidRDefault="002648B0"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1.1.1.9.3</w:t>
            </w:r>
            <w:r>
              <w:tab/>
            </w:r>
            <w:r>
              <w:rPr>
                <w:rStyle w:val="InstructionsTabelleberschrift"/>
                <w:rFonts w:ascii="Times New Roman" w:hAnsi="Times New Roman"/>
                <w:sz w:val="24"/>
              </w:rPr>
              <w:t>Profits et pertes cumulatifs attribuables aux variations du risque de crédit propre pour les passifs évalués à la juste valeur</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33, paragraphe 1, point b), du CRR</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déclaré peut être aussi bien positif que négatif. Il sera positif en cas de perte liée à l’évolution du propre risque de crédit de l’établissement (soit lorsqu’il y a réduction des capitaux propres comptables), et vice versa. Par conséquent, le signe sera l’inverse de celui utilisé dans les états fina</w:t>
            </w:r>
            <w:r>
              <w:rPr>
                <w:rStyle w:val="FormatvorlageInstructionsTabelleText"/>
                <w:rFonts w:ascii="Times New Roman" w:hAnsi="Times New Roman"/>
                <w:sz w:val="24"/>
              </w:rPr>
              <w:t>n</w:t>
            </w:r>
            <w:r>
              <w:rPr>
                <w:rStyle w:val="FormatvorlageInstructionsTabelleText"/>
                <w:rFonts w:ascii="Times New Roman" w:hAnsi="Times New Roman"/>
                <w:sz w:val="24"/>
              </w:rPr>
              <w:t>ciers.</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bénéfice non audité n’est pas intégré dans ce poste.</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285</w:t>
            </w:r>
          </w:p>
        </w:tc>
        <w:tc>
          <w:tcPr>
            <w:tcW w:w="7620" w:type="dxa"/>
          </w:tcPr>
          <w:p w:rsidR="005643EA" w:rsidRPr="00295225" w:rsidRDefault="00855D5F"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1.1.1.9.4</w:t>
            </w:r>
            <w:r>
              <w:tab/>
            </w:r>
            <w:r>
              <w:rPr>
                <w:rStyle w:val="InstructionsTabelleberschrift"/>
                <w:rFonts w:ascii="Times New Roman" w:hAnsi="Times New Roman"/>
                <w:sz w:val="24"/>
              </w:rPr>
              <w:t>Profits et pertes en juste valeur résultant du propre risque de crédit de l'établissement lié aux instruments dérivés au passif</w:t>
            </w:r>
          </w:p>
          <w:p w:rsidR="005643EA" w:rsidRPr="00392FFD" w:rsidRDefault="00855D5F"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33, paragraphe 1, point c), et article 33, paragraphe 2,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déclaré peut être aussi bien positif que négatif. Il sera positif en cas de perte liée à l’évolution du propre risque de crédit de l’établissement, et vice versa. Par conséquent, le signe sera l’inverse de celui utilisé dans les états financiers.</w:t>
            </w:r>
          </w:p>
          <w:p w:rsidR="005643EA" w:rsidRPr="00295225" w:rsidRDefault="00666996" w:rsidP="00622B37">
            <w:pPr>
              <w:pStyle w:val="InstructionsText"/>
              <w:rPr>
                <w:rStyle w:val="InstructionsTabelleberschrift"/>
                <w:rFonts w:ascii="Times New Roman" w:hAnsi="Times New Roman"/>
                <w:b w:val="0"/>
                <w:sz w:val="24"/>
                <w:u w:val="none"/>
              </w:rPr>
            </w:pPr>
            <w:r>
              <w:rPr>
                <w:rStyle w:val="FormatvorlageInstructionsTabelleText"/>
                <w:rFonts w:ascii="Times New Roman" w:hAnsi="Times New Roman"/>
                <w:sz w:val="24"/>
              </w:rPr>
              <w:t>Le bénéfice non audité n’est pas intégré dans ce poste.</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290</w:t>
            </w:r>
          </w:p>
        </w:tc>
        <w:tc>
          <w:tcPr>
            <w:tcW w:w="7620" w:type="dxa"/>
          </w:tcPr>
          <w:p w:rsidR="005643EA" w:rsidRPr="00295225" w:rsidRDefault="00855D5F"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1.1.1.9.5</w:t>
            </w:r>
            <w:r>
              <w:tab/>
            </w:r>
            <w:r>
              <w:rPr>
                <w:rStyle w:val="InstructionsTabelleberschrift"/>
                <w:rFonts w:ascii="Times New Roman" w:hAnsi="Times New Roman"/>
                <w:sz w:val="24"/>
              </w:rPr>
              <w:t>(-) Corrections de valeur découlant des exigences d’évaluation prudente</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Articles 34 et 105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Ajustements de la juste valeur des expositions incluses dans le portefeuille de négociation ou dans le portefeuille hors négociation en raison des normes plus strictes d’évaluation prudente prévues à l’article 105 du CRR.</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300</w:t>
            </w:r>
          </w:p>
        </w:tc>
        <w:tc>
          <w:tcPr>
            <w:tcW w:w="7620" w:type="dxa"/>
          </w:tcPr>
          <w:p w:rsidR="005643EA" w:rsidRPr="00295225" w:rsidRDefault="00855D5F"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1.1.1.10</w:t>
            </w:r>
            <w:r>
              <w:tab/>
            </w:r>
            <w:r>
              <w:rPr>
                <w:rStyle w:val="InstructionsTabelleberschrift"/>
                <w:rFonts w:ascii="Times New Roman" w:hAnsi="Times New Roman"/>
                <w:sz w:val="24"/>
              </w:rPr>
              <w:t>(–) Goodwill</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113, article 36, paragraphe 1, point b), et a</w:t>
            </w:r>
            <w:r>
              <w:rPr>
                <w:rStyle w:val="FormatvorlageInstructionsTabelleText"/>
                <w:rFonts w:ascii="Times New Roman" w:hAnsi="Times New Roman"/>
                <w:sz w:val="24"/>
              </w:rPr>
              <w:t>r</w:t>
            </w:r>
            <w:r>
              <w:rPr>
                <w:rStyle w:val="FormatvorlageInstructionsTabelleText"/>
                <w:rFonts w:ascii="Times New Roman" w:hAnsi="Times New Roman"/>
                <w:sz w:val="24"/>
              </w:rPr>
              <w:t>ticle 37 du CRR</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310</w:t>
            </w:r>
          </w:p>
        </w:tc>
        <w:tc>
          <w:tcPr>
            <w:tcW w:w="7620" w:type="dxa"/>
          </w:tcPr>
          <w:p w:rsidR="005643EA" w:rsidRPr="00295225" w:rsidRDefault="00855D5F"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1.1.1.10.1</w:t>
            </w:r>
            <w:r>
              <w:tab/>
            </w:r>
            <w:r>
              <w:rPr>
                <w:rStyle w:val="InstructionsTabelleberschrift"/>
                <w:rFonts w:ascii="Times New Roman" w:hAnsi="Times New Roman"/>
                <w:sz w:val="24"/>
              </w:rPr>
              <w:t>(-) Goodwill pris en compte en tant qu’immobilisation i</w:t>
            </w:r>
            <w:r>
              <w:rPr>
                <w:rStyle w:val="InstructionsTabelleberschrift"/>
                <w:rFonts w:ascii="Times New Roman" w:hAnsi="Times New Roman"/>
                <w:sz w:val="24"/>
              </w:rPr>
              <w:t>n</w:t>
            </w:r>
            <w:r>
              <w:rPr>
                <w:rStyle w:val="InstructionsTabelleberschrift"/>
                <w:rFonts w:ascii="Times New Roman" w:hAnsi="Times New Roman"/>
                <w:sz w:val="24"/>
              </w:rPr>
              <w:t>corporelle</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113, et article 36, paragraphe 1, point b),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terme «goodwill» a la même signification que celle utilisée par la norme comptable applicable.</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sera identique à celui figurant au bilan.</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320</w:t>
            </w:r>
          </w:p>
        </w:tc>
        <w:tc>
          <w:tcPr>
            <w:tcW w:w="7620" w:type="dxa"/>
          </w:tcPr>
          <w:p w:rsidR="005643EA" w:rsidRPr="00392FFD" w:rsidRDefault="00855D5F"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1.1.1.10.2</w:t>
            </w:r>
            <w:r>
              <w:tab/>
            </w:r>
            <w:r>
              <w:rPr>
                <w:rStyle w:val="InstructionsTabelleberschrift"/>
                <w:rFonts w:ascii="Times New Roman" w:hAnsi="Times New Roman"/>
                <w:sz w:val="24"/>
              </w:rPr>
              <w:t>(-) Goodwill inclus dans l’évaluation des investissements importants</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37, point b), et article 43 du CRR</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330</w:t>
            </w:r>
          </w:p>
        </w:tc>
        <w:tc>
          <w:tcPr>
            <w:tcW w:w="7620" w:type="dxa"/>
          </w:tcPr>
          <w:p w:rsidR="005643EA" w:rsidRPr="00295225" w:rsidRDefault="00AD70F1"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1.1.1.10.3</w:t>
            </w:r>
            <w:r>
              <w:tab/>
            </w:r>
            <w:r>
              <w:rPr>
                <w:rStyle w:val="InstructionsTabelleberschrift"/>
                <w:rFonts w:ascii="Times New Roman" w:hAnsi="Times New Roman"/>
                <w:sz w:val="24"/>
              </w:rPr>
              <w:t>Passifs d’impôt différé associés au goodwill</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37, point a),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Montant des passifs d’impôt différé qui seraient annulés si le goodwill fa</w:t>
            </w:r>
            <w:r>
              <w:rPr>
                <w:rStyle w:val="FormatvorlageInstructionsTabelleText"/>
                <w:rFonts w:ascii="Times New Roman" w:hAnsi="Times New Roman"/>
                <w:sz w:val="24"/>
              </w:rPr>
              <w:t>i</w:t>
            </w:r>
            <w:r>
              <w:rPr>
                <w:rStyle w:val="FormatvorlageInstructionsTabelleText"/>
                <w:rFonts w:ascii="Times New Roman" w:hAnsi="Times New Roman"/>
                <w:sz w:val="24"/>
              </w:rPr>
              <w:t>sait l’objet d’une réduction de valeur ou était décomptabilisé conform</w:t>
            </w:r>
            <w:r>
              <w:rPr>
                <w:rStyle w:val="FormatvorlageInstructionsTabelleText"/>
                <w:rFonts w:ascii="Times New Roman" w:hAnsi="Times New Roman"/>
                <w:sz w:val="24"/>
              </w:rPr>
              <w:t>é</w:t>
            </w:r>
            <w:r>
              <w:rPr>
                <w:rStyle w:val="FormatvorlageInstructionsTabelleText"/>
                <w:rFonts w:ascii="Times New Roman" w:hAnsi="Times New Roman"/>
                <w:sz w:val="24"/>
              </w:rPr>
              <w:t>ment au référentiel comptable applicable.</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340</w:t>
            </w:r>
          </w:p>
        </w:tc>
        <w:tc>
          <w:tcPr>
            <w:tcW w:w="7620" w:type="dxa"/>
          </w:tcPr>
          <w:p w:rsidR="005643EA" w:rsidRPr="007E39E6" w:rsidRDefault="00AD70F1"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1.1.1.11</w:t>
            </w:r>
            <w:r>
              <w:tab/>
            </w:r>
            <w:r>
              <w:rPr>
                <w:rStyle w:val="InstructionsTabelleberschrift"/>
                <w:rFonts w:ascii="Times New Roman" w:hAnsi="Times New Roman"/>
                <w:sz w:val="24"/>
              </w:rPr>
              <w:t>(–) Autres immobilisations incorporelles</w:t>
            </w:r>
          </w:p>
          <w:p w:rsidR="009339C1"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115, article 36, paragraphe 1, point b), et a</w:t>
            </w:r>
            <w:r>
              <w:rPr>
                <w:rStyle w:val="FormatvorlageInstructionsTabelleText"/>
                <w:rFonts w:ascii="Times New Roman" w:hAnsi="Times New Roman"/>
                <w:sz w:val="24"/>
              </w:rPr>
              <w:t>r</w:t>
            </w:r>
            <w:r>
              <w:rPr>
                <w:rStyle w:val="FormatvorlageInstructionsTabelleText"/>
                <w:rFonts w:ascii="Times New Roman" w:hAnsi="Times New Roman"/>
                <w:sz w:val="24"/>
              </w:rPr>
              <w:t>ticle 37, point a), du CRR</w:t>
            </w:r>
          </w:p>
          <w:p w:rsidR="005643EA" w:rsidRPr="00392FFD" w:rsidRDefault="009339C1"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Les autres immobilisations incorporelles représentent les immobilisations incorporelles au sens du référentiel comptable applicable, moins le goodwill, au sens lui aussi du référentiel comptable applicable.</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350</w:t>
            </w:r>
          </w:p>
        </w:tc>
        <w:tc>
          <w:tcPr>
            <w:tcW w:w="7620" w:type="dxa"/>
          </w:tcPr>
          <w:p w:rsidR="005643EA" w:rsidRPr="007E39E6" w:rsidRDefault="00AD70F1"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1.1.1.11.1</w:t>
            </w:r>
            <w:r>
              <w:tab/>
            </w:r>
            <w:r>
              <w:rPr>
                <w:rStyle w:val="InstructionsTabelleberschrift"/>
                <w:rFonts w:ascii="Times New Roman" w:hAnsi="Times New Roman"/>
                <w:sz w:val="24"/>
              </w:rPr>
              <w:t>(-) Autres immobilisations incorporelles avant déduction des passifs d’impôt différé</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115, et article 36, paragraphe 1, point b),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Les autres immobilisations incorporelles représentent les immobilisations incorporelles au sens du référentiel comptable applicable, moins le goodwill, au sens lui aussi du référentiel comptable applicable.</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pour ce poste correspond au montant figurant au bilan au titre d’immobilisations incorporelles autres que le goodwill.</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360</w:t>
            </w:r>
          </w:p>
        </w:tc>
        <w:tc>
          <w:tcPr>
            <w:tcW w:w="7620" w:type="dxa"/>
          </w:tcPr>
          <w:p w:rsidR="005643EA" w:rsidRPr="00392FFD" w:rsidRDefault="00AD70F1"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1.1.1.11.2</w:t>
            </w:r>
            <w:r>
              <w:tab/>
            </w:r>
            <w:r>
              <w:rPr>
                <w:rStyle w:val="InstructionsTabelleberschrift"/>
                <w:rFonts w:ascii="Times New Roman" w:hAnsi="Times New Roman"/>
                <w:sz w:val="24"/>
              </w:rPr>
              <w:t>Passifs d’impôt différé associés aux autres immobilisations incorporelles</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37, point a),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Montant des passifs d’impôt différé qui seraient annulés si les immobilis</w:t>
            </w:r>
            <w:r>
              <w:rPr>
                <w:rStyle w:val="FormatvorlageInstructionsTabelleText"/>
                <w:rFonts w:ascii="Times New Roman" w:hAnsi="Times New Roman"/>
                <w:sz w:val="24"/>
              </w:rPr>
              <w:t>a</w:t>
            </w:r>
            <w:r>
              <w:rPr>
                <w:rStyle w:val="FormatvorlageInstructionsTabelleText"/>
                <w:rFonts w:ascii="Times New Roman" w:hAnsi="Times New Roman"/>
                <w:sz w:val="24"/>
              </w:rPr>
              <w:t>tions incorporelles autres que le goodwill faisaient l’objet d’une réduction de valeur ou étaient décomptabilisées conformément au référentiel comptable applicable.</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370</w:t>
            </w:r>
          </w:p>
        </w:tc>
        <w:tc>
          <w:tcPr>
            <w:tcW w:w="7620" w:type="dxa"/>
          </w:tcPr>
          <w:p w:rsidR="005643EA" w:rsidRPr="007E39E6" w:rsidRDefault="00F9591C"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1.1.1.12</w:t>
            </w:r>
            <w:r>
              <w:tab/>
            </w:r>
            <w:r>
              <w:rPr>
                <w:rStyle w:val="InstructionsTabelleberschrift"/>
                <w:rFonts w:ascii="Times New Roman" w:hAnsi="Times New Roman"/>
                <w:sz w:val="24"/>
              </w:rPr>
              <w:t>(–) Actifs d'impôt différé dépendant de bénéfices futurs et ne résultant pas de différences temporelles après déduction des passifs d'impôt associés</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36, paragraphe 1, point c), et article 38 du CRR</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380</w:t>
            </w:r>
          </w:p>
        </w:tc>
        <w:tc>
          <w:tcPr>
            <w:tcW w:w="7620" w:type="dxa"/>
          </w:tcPr>
          <w:p w:rsidR="005643EA" w:rsidRPr="007E39E6" w:rsidRDefault="00F9591C"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1.1.1.13</w:t>
            </w:r>
            <w:r>
              <w:tab/>
            </w:r>
            <w:r>
              <w:rPr>
                <w:rStyle w:val="InstructionsTabelleberschrift"/>
                <w:rFonts w:ascii="Times New Roman" w:hAnsi="Times New Roman"/>
                <w:sz w:val="24"/>
              </w:rPr>
              <w:t>(–) Insuffisance des ajustements pour risque de crédit par rapport aux pertes anticipées selon l'approche NI</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36, paragraphe 1, point d), et articles 40, 158 et 159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n'est pas réduit par une augmentation du montant des actifs d'impôt différé dépendant de bénéfices futurs, ou par d'autres effets fiscaux supplémentaires, qui auraient lieu si les provisions atteignaient le n</w:t>
            </w:r>
            <w:r>
              <w:rPr>
                <w:rStyle w:val="FormatvorlageInstructionsTabelleText"/>
                <w:rFonts w:ascii="Times New Roman" w:hAnsi="Times New Roman"/>
                <w:sz w:val="24"/>
              </w:rPr>
              <w:t>i</w:t>
            </w:r>
            <w:r>
              <w:rPr>
                <w:rStyle w:val="FormatvorlageInstructionsTabelleText"/>
                <w:rFonts w:ascii="Times New Roman" w:hAnsi="Times New Roman"/>
                <w:sz w:val="24"/>
              </w:rPr>
              <w:t>veau des pertes attendues (article 40 du CRR).</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390</w:t>
            </w:r>
          </w:p>
        </w:tc>
        <w:tc>
          <w:tcPr>
            <w:tcW w:w="7620" w:type="dxa"/>
          </w:tcPr>
          <w:p w:rsidR="005643EA" w:rsidRPr="007E39E6" w:rsidRDefault="00F9591C"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1.1.1.14</w:t>
            </w:r>
            <w:r>
              <w:tab/>
            </w:r>
            <w:r>
              <w:rPr>
                <w:rStyle w:val="InstructionsTabelleberschrift"/>
                <w:rFonts w:ascii="Times New Roman" w:hAnsi="Times New Roman"/>
                <w:sz w:val="24"/>
              </w:rPr>
              <w:t>(–) Actifs de fonds de pension à prestations définies</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109, article 36, paragraphe 1, point e), et a</w:t>
            </w:r>
            <w:r>
              <w:rPr>
                <w:rStyle w:val="FormatvorlageInstructionsTabelleText"/>
                <w:rFonts w:ascii="Times New Roman" w:hAnsi="Times New Roman"/>
                <w:sz w:val="24"/>
              </w:rPr>
              <w:t>r</w:t>
            </w:r>
            <w:r>
              <w:rPr>
                <w:rStyle w:val="FormatvorlageInstructionsTabelleText"/>
                <w:rFonts w:ascii="Times New Roman" w:hAnsi="Times New Roman"/>
                <w:sz w:val="24"/>
              </w:rPr>
              <w:t>ticle 41 du CRR</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400</w:t>
            </w:r>
          </w:p>
        </w:tc>
        <w:tc>
          <w:tcPr>
            <w:tcW w:w="7620" w:type="dxa"/>
          </w:tcPr>
          <w:p w:rsidR="005643EA" w:rsidRPr="007E39E6" w:rsidRDefault="00F9591C"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1.1.1.14.1</w:t>
            </w:r>
            <w:r>
              <w:tab/>
            </w:r>
            <w:r>
              <w:rPr>
                <w:rStyle w:val="InstructionsTabelleberschrift"/>
                <w:rFonts w:ascii="Times New Roman" w:hAnsi="Times New Roman"/>
                <w:sz w:val="24"/>
              </w:rPr>
              <w:t xml:space="preserve">(–) Actifs de fonds de pension à prestations définies </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109 et article 36, paragraphe 1, point e)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Les actifs de fonds de pension à prestations définies sont définis comme les «actifs d’un fonds ou d’un plan de pension à prestations définies, selon le cas, nets du montant des obligations au titre du même fonds ou plan».</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pour ce poste correspond au montant figurant au bilan (en cas de déclaration distincte).</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410</w:t>
            </w:r>
          </w:p>
        </w:tc>
        <w:tc>
          <w:tcPr>
            <w:tcW w:w="7620" w:type="dxa"/>
          </w:tcPr>
          <w:p w:rsidR="005643EA" w:rsidRPr="007E39E6" w:rsidRDefault="00F9591C"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1.1.1.14.2</w:t>
            </w:r>
            <w:r>
              <w:tab/>
            </w:r>
            <w:r>
              <w:rPr>
                <w:rStyle w:val="InstructionsTabelleberschrift"/>
                <w:rFonts w:ascii="Times New Roman" w:hAnsi="Times New Roman"/>
                <w:sz w:val="24"/>
              </w:rPr>
              <w:t>Passifs d’impôt différé associés aux actifs de fonds de pe</w:t>
            </w:r>
            <w:r>
              <w:rPr>
                <w:rStyle w:val="InstructionsTabelleberschrift"/>
                <w:rFonts w:ascii="Times New Roman" w:hAnsi="Times New Roman"/>
                <w:sz w:val="24"/>
              </w:rPr>
              <w:t>n</w:t>
            </w:r>
            <w:r>
              <w:rPr>
                <w:rStyle w:val="InstructionsTabelleberschrift"/>
                <w:rFonts w:ascii="Times New Roman" w:hAnsi="Times New Roman"/>
                <w:sz w:val="24"/>
              </w:rPr>
              <w:t>sion à prestations définies</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points 108 et 109, et article 41, paragraphe 1, point a),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Montant des passifs d’impôt différé associés qui seraient annulés si les actifs de fonds de pension à prestations définies faisaient l’objet d’une réduction de valeur ou étaient décomptabilisés conformément au référentiel comptable applicable.</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420</w:t>
            </w:r>
          </w:p>
        </w:tc>
        <w:tc>
          <w:tcPr>
            <w:tcW w:w="7620" w:type="dxa"/>
          </w:tcPr>
          <w:p w:rsidR="005643EA" w:rsidRPr="007E39E6" w:rsidRDefault="00F9591C"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1.1.1.14.3</w:t>
            </w:r>
            <w:r>
              <w:tab/>
            </w:r>
            <w:r>
              <w:rPr>
                <w:rStyle w:val="InstructionsTabelleberschrift"/>
                <w:rFonts w:ascii="Times New Roman" w:hAnsi="Times New Roman"/>
                <w:sz w:val="24"/>
              </w:rPr>
              <w:t>Actifs de fonds de pension à prestations définies dont l’établissement peut disposer sans contrainte</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109, et article 41, paragraphe 1, point b),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Ce poste ne présente un montant que si l’autorité compétente a préalabl</w:t>
            </w:r>
            <w:r>
              <w:rPr>
                <w:rStyle w:val="FormatvorlageInstructionsTabelleText"/>
                <w:rFonts w:ascii="Times New Roman" w:hAnsi="Times New Roman"/>
                <w:sz w:val="24"/>
              </w:rPr>
              <w:t>e</w:t>
            </w:r>
            <w:r>
              <w:rPr>
                <w:rStyle w:val="FormatvorlageInstructionsTabelleText"/>
                <w:rFonts w:ascii="Times New Roman" w:hAnsi="Times New Roman"/>
                <w:sz w:val="24"/>
              </w:rPr>
              <w:t>ment donné son consentement à ce que le montant des actifs de fonds de pension à prestations définies à déduire soit réduit.</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Les actifs de cette ligne sont soumis à une pondération de risque selon les exigences de risque de crédit.</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430</w:t>
            </w:r>
          </w:p>
        </w:tc>
        <w:tc>
          <w:tcPr>
            <w:tcW w:w="7620" w:type="dxa"/>
          </w:tcPr>
          <w:p w:rsidR="005643EA" w:rsidRPr="007E39E6" w:rsidRDefault="00F9591C"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1.1.1.15</w:t>
            </w:r>
            <w:r>
              <w:tab/>
            </w:r>
            <w:r>
              <w:rPr>
                <w:rStyle w:val="InstructionsTabelleberschrift"/>
                <w:rFonts w:ascii="Times New Roman" w:hAnsi="Times New Roman"/>
                <w:sz w:val="24"/>
              </w:rPr>
              <w:t>(-) Détentions croisées de fonds propres CET1</w:t>
            </w:r>
          </w:p>
          <w:p w:rsidR="005643EA" w:rsidRPr="00392FFD" w:rsidRDefault="00805255"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122, article 36, paragraphe 1, point g), et a</w:t>
            </w:r>
            <w:r>
              <w:rPr>
                <w:rStyle w:val="FormatvorlageInstructionsTabelleText"/>
                <w:rFonts w:ascii="Times New Roman" w:hAnsi="Times New Roman"/>
                <w:sz w:val="24"/>
              </w:rPr>
              <w:t>r</w:t>
            </w:r>
            <w:r>
              <w:rPr>
                <w:rStyle w:val="FormatvorlageInstructionsTabelleText"/>
                <w:rFonts w:ascii="Times New Roman" w:hAnsi="Times New Roman"/>
                <w:sz w:val="24"/>
              </w:rPr>
              <w:t>ticle 44 du CRR</w:t>
            </w:r>
          </w:p>
          <w:p w:rsidR="007E39E6"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Détention d’instruments de fonds propres de base de catégorie 1 d’entités du secteur financier (telles que définies à l’article 4, point 27, du CRR) lorsqu’il existe une détention croisée que l’autorité compétente juge destinée à a</w:t>
            </w:r>
            <w:r>
              <w:rPr>
                <w:rStyle w:val="FormatvorlageInstructionsTabelleText"/>
                <w:rFonts w:ascii="Times New Roman" w:hAnsi="Times New Roman"/>
                <w:sz w:val="24"/>
              </w:rPr>
              <w:t>c</w:t>
            </w:r>
            <w:r>
              <w:rPr>
                <w:rStyle w:val="FormatvorlageInstructionsTabelleText"/>
                <w:rFonts w:ascii="Times New Roman" w:hAnsi="Times New Roman"/>
                <w:sz w:val="24"/>
              </w:rPr>
              <w:t>croître artificiellement les fonds propres de l’établissement.</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sera calculé sur la base des positions longues brutes et intègrera les éléments de fonds propres de catégorie 1 d’entités relevant du secteur de l’assurance.</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440</w:t>
            </w:r>
          </w:p>
        </w:tc>
        <w:tc>
          <w:tcPr>
            <w:tcW w:w="7620" w:type="dxa"/>
          </w:tcPr>
          <w:p w:rsidR="005643EA" w:rsidRPr="007E39E6" w:rsidRDefault="006022CB"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1.1.1.16</w:t>
            </w:r>
            <w:r>
              <w:tab/>
            </w:r>
            <w:r>
              <w:rPr>
                <w:rStyle w:val="InstructionsTabelleberschrift"/>
                <w:rFonts w:ascii="Times New Roman" w:hAnsi="Times New Roman"/>
                <w:sz w:val="24"/>
              </w:rPr>
              <w:t xml:space="preserve">(-) Excédent de déduction d’éléments AT1 sur les fonds propres AT1 </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36, paragraphe 1, point j),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provient directement du poste CA1 «Éléments devant être déduits des éléments de fonds propres additionnels de catégorie 1 qui excèdent les fonds propres additionnels de catégorie 1 de l'établissement». Ce montant sera déduit des fonds propres de base de catégorie 1.</w:t>
            </w:r>
          </w:p>
        </w:tc>
      </w:tr>
      <w:tr w:rsidR="00666996" w:rsidRPr="00392FFD" w:rsidTr="000903FA">
        <w:tc>
          <w:tcPr>
            <w:tcW w:w="1129" w:type="dxa"/>
          </w:tcPr>
          <w:p w:rsidR="00666996" w:rsidRPr="00392FFD" w:rsidRDefault="00BA1C6C"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450</w:t>
            </w:r>
          </w:p>
        </w:tc>
        <w:tc>
          <w:tcPr>
            <w:tcW w:w="7620" w:type="dxa"/>
          </w:tcPr>
          <w:p w:rsidR="005643EA" w:rsidRPr="007E39E6" w:rsidRDefault="006022CB"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1.1.1.17</w:t>
            </w:r>
            <w:r>
              <w:tab/>
            </w:r>
            <w:r>
              <w:rPr>
                <w:rStyle w:val="InstructionsTabelleberschrift"/>
                <w:rFonts w:ascii="Times New Roman" w:hAnsi="Times New Roman"/>
                <w:sz w:val="24"/>
              </w:rPr>
              <w:t>(-) Participations qualifiées hors du secteur financier qui peuvent subsidiairement être soumises à une pondération de risque de 1 250 %</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36, article 36, paragraphe 1, point k) i), et a</w:t>
            </w:r>
            <w:r>
              <w:rPr>
                <w:rStyle w:val="FormatvorlageInstructionsTabelleText"/>
                <w:rFonts w:ascii="Times New Roman" w:hAnsi="Times New Roman"/>
                <w:sz w:val="24"/>
              </w:rPr>
              <w:t>r</w:t>
            </w:r>
            <w:r>
              <w:rPr>
                <w:rStyle w:val="FormatvorlageInstructionsTabelleText"/>
                <w:rFonts w:ascii="Times New Roman" w:hAnsi="Times New Roman"/>
                <w:sz w:val="24"/>
              </w:rPr>
              <w:t>ticles 89 à 91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Une participation qualifiée est définie comme «le fait de détenir dans une entreprise, directement ou indirectement, au moins 10 % du capital ou des droits de vote, ou toute autre possibilité d’exercer une influence notable sur la gestion de cette entreprise».</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Conformément à l’article 36, paragraphe 1, point k) i), du CRR, ces partic</w:t>
            </w:r>
            <w:r>
              <w:rPr>
                <w:rStyle w:val="FormatvorlageInstructionsTabelleText"/>
                <w:rFonts w:ascii="Times New Roman" w:hAnsi="Times New Roman"/>
                <w:sz w:val="24"/>
              </w:rPr>
              <w:t>i</w:t>
            </w:r>
            <w:r>
              <w:rPr>
                <w:rStyle w:val="FormatvorlageInstructionsTabelleText"/>
                <w:rFonts w:ascii="Times New Roman" w:hAnsi="Times New Roman"/>
                <w:sz w:val="24"/>
              </w:rPr>
              <w:t>pations peuvent soit être déduites des fonds propres de base de catégorie 1 (en utilisant ce poste), soit recevoir une pondération de 1 250 %.</w:t>
            </w:r>
          </w:p>
        </w:tc>
      </w:tr>
      <w:tr w:rsidR="00666996" w:rsidRPr="00392FFD" w:rsidTr="000903FA">
        <w:tc>
          <w:tcPr>
            <w:tcW w:w="1129" w:type="dxa"/>
          </w:tcPr>
          <w:p w:rsidR="00666996" w:rsidRPr="00392FFD" w:rsidRDefault="00BA1C6C"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460</w:t>
            </w:r>
          </w:p>
        </w:tc>
        <w:tc>
          <w:tcPr>
            <w:tcW w:w="7620" w:type="dxa"/>
          </w:tcPr>
          <w:p w:rsidR="005643EA" w:rsidRPr="007E39E6" w:rsidRDefault="006022CB"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1.1.1.18</w:t>
            </w:r>
            <w:r>
              <w:tab/>
            </w:r>
            <w:r>
              <w:rPr>
                <w:rStyle w:val="InstructionsTabelleberschrift"/>
                <w:rFonts w:ascii="Times New Roman" w:hAnsi="Times New Roman"/>
                <w:sz w:val="24"/>
              </w:rPr>
              <w:t>(-) Positions de titrisation qui peuvent subsidiairement être soumises à une pondération de risque de 1 250 %</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36, paragraphe 1, point k) ii), article 243, paragraphe 1, point b), a</w:t>
            </w:r>
            <w:r>
              <w:rPr>
                <w:rStyle w:val="FormatvorlageInstructionsTabelleText"/>
                <w:rFonts w:ascii="Times New Roman" w:hAnsi="Times New Roman"/>
                <w:sz w:val="24"/>
              </w:rPr>
              <w:t>r</w:t>
            </w:r>
            <w:r>
              <w:rPr>
                <w:rStyle w:val="FormatvorlageInstructionsTabelleText"/>
                <w:rFonts w:ascii="Times New Roman" w:hAnsi="Times New Roman"/>
                <w:sz w:val="24"/>
              </w:rPr>
              <w:t>ticle 244, paragraphe 1, point b), article 258 et article 266, paragraphe 3,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Positions de titrisation qui peuvent soit recevoir une pondération de risque de 1 250 % soit être déduites des fonds propres de base de catégorie 1 (a</w:t>
            </w:r>
            <w:r>
              <w:rPr>
                <w:rStyle w:val="FormatvorlageInstructionsTabelleText"/>
                <w:rFonts w:ascii="Times New Roman" w:hAnsi="Times New Roman"/>
                <w:sz w:val="24"/>
              </w:rPr>
              <w:t>r</w:t>
            </w:r>
            <w:r>
              <w:rPr>
                <w:rStyle w:val="FormatvorlageInstructionsTabelleText"/>
                <w:rFonts w:ascii="Times New Roman" w:hAnsi="Times New Roman"/>
                <w:sz w:val="24"/>
              </w:rPr>
              <w:t>ticle 36, paragraphe 1, point k) ii) du CRR). Dans le dernier cas, ces pos</w:t>
            </w:r>
            <w:r>
              <w:rPr>
                <w:rStyle w:val="FormatvorlageInstructionsTabelleText"/>
                <w:rFonts w:ascii="Times New Roman" w:hAnsi="Times New Roman"/>
                <w:sz w:val="24"/>
              </w:rPr>
              <w:t>i</w:t>
            </w:r>
            <w:r>
              <w:rPr>
                <w:rStyle w:val="FormatvorlageInstructionsTabelleText"/>
                <w:rFonts w:ascii="Times New Roman" w:hAnsi="Times New Roman"/>
                <w:sz w:val="24"/>
              </w:rPr>
              <w:t>tions seront déclarées dans ce poste.</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470</w:t>
            </w:r>
          </w:p>
        </w:tc>
        <w:tc>
          <w:tcPr>
            <w:tcW w:w="7620" w:type="dxa"/>
          </w:tcPr>
          <w:p w:rsidR="005643EA" w:rsidRPr="007E39E6" w:rsidRDefault="006022CB"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1.1.1.19</w:t>
            </w:r>
            <w:r>
              <w:tab/>
            </w:r>
            <w:r>
              <w:rPr>
                <w:rStyle w:val="InstructionsTabelleberschrift"/>
                <w:rFonts w:ascii="Times New Roman" w:hAnsi="Times New Roman"/>
                <w:sz w:val="24"/>
              </w:rPr>
              <w:t>(-) Positions de négociation non dénouées qui peuvent su</w:t>
            </w:r>
            <w:r>
              <w:rPr>
                <w:rStyle w:val="InstructionsTabelleberschrift"/>
                <w:rFonts w:ascii="Times New Roman" w:hAnsi="Times New Roman"/>
                <w:sz w:val="24"/>
              </w:rPr>
              <w:t>b</w:t>
            </w:r>
            <w:r>
              <w:rPr>
                <w:rStyle w:val="InstructionsTabelleberschrift"/>
                <w:rFonts w:ascii="Times New Roman" w:hAnsi="Times New Roman"/>
                <w:sz w:val="24"/>
              </w:rPr>
              <w:t>sidiairement être soumises à une pondération de risque de 1 250 %</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36, paragraphe 1, point k) iii), et article 379, paragraphe 3,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Les positions de négociation non dénouées reçoivent une pondération de risque de 1 250 % après 5 jours suivant le second volet contractuel de pai</w:t>
            </w:r>
            <w:r>
              <w:rPr>
                <w:rStyle w:val="FormatvorlageInstructionsTabelleText"/>
                <w:rFonts w:ascii="Times New Roman" w:hAnsi="Times New Roman"/>
                <w:sz w:val="24"/>
              </w:rPr>
              <w:t>e</w:t>
            </w:r>
            <w:r>
              <w:rPr>
                <w:rStyle w:val="FormatvorlageInstructionsTabelleText"/>
                <w:rFonts w:ascii="Times New Roman" w:hAnsi="Times New Roman"/>
                <w:sz w:val="24"/>
              </w:rPr>
              <w:t>ment ou de livraison jusqu’à l’extinction de la transaction, conformément aux exigences de fonds propres pour le risque de règlement. À défaut, les établissements peuvent déduire ces positions de leurs éléments de fonds propres de base de catégorie 1 conformément à l’article 36, paragraphe 1, point k) iii) du CRR. Dans le dernier cas, ces positions seront déclarées dans ce poste.</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471</w:t>
            </w:r>
          </w:p>
        </w:tc>
        <w:tc>
          <w:tcPr>
            <w:tcW w:w="7620" w:type="dxa"/>
          </w:tcPr>
          <w:p w:rsidR="005643EA" w:rsidRPr="007E39E6" w:rsidRDefault="006022C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1.1.1.20</w:t>
            </w:r>
            <w:r>
              <w:tab/>
            </w:r>
            <w:r>
              <w:rPr>
                <w:rStyle w:val="InstructionsTabelleberschrift"/>
                <w:rFonts w:ascii="Times New Roman" w:hAnsi="Times New Roman"/>
                <w:sz w:val="24"/>
              </w:rPr>
              <w:t>(-) Positions d'un panier pour lesquelles un établissement n'est pas en mesure de déterminer la pondération de risque selon l'a</w:t>
            </w:r>
            <w:r>
              <w:rPr>
                <w:rStyle w:val="InstructionsTabelleberschrift"/>
                <w:rFonts w:ascii="Times New Roman" w:hAnsi="Times New Roman"/>
                <w:sz w:val="24"/>
              </w:rPr>
              <w:t>p</w:t>
            </w:r>
            <w:r>
              <w:rPr>
                <w:rStyle w:val="InstructionsTabelleberschrift"/>
                <w:rFonts w:ascii="Times New Roman" w:hAnsi="Times New Roman"/>
                <w:sz w:val="24"/>
              </w:rPr>
              <w:t>proche NI, et qui peuvent subsidiairement être soumises à une pondér</w:t>
            </w:r>
            <w:r>
              <w:rPr>
                <w:rStyle w:val="InstructionsTabelleberschrift"/>
                <w:rFonts w:ascii="Times New Roman" w:hAnsi="Times New Roman"/>
                <w:sz w:val="24"/>
              </w:rPr>
              <w:t>a</w:t>
            </w:r>
            <w:r>
              <w:rPr>
                <w:rStyle w:val="InstructionsTabelleberschrift"/>
                <w:rFonts w:ascii="Times New Roman" w:hAnsi="Times New Roman"/>
                <w:sz w:val="24"/>
              </w:rPr>
              <w:t>tion de risque de 1 250 %</w:t>
            </w:r>
          </w:p>
          <w:p w:rsidR="005643EA" w:rsidRPr="00392FFD" w:rsidRDefault="00666996"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 36, paragraphe 1, point k) iv), et article 153, paragraphe 8, du CRR</w:t>
            </w:r>
          </w:p>
          <w:p w:rsidR="005643EA" w:rsidRPr="00392FFD" w:rsidRDefault="00666996" w:rsidP="00622B37">
            <w:pPr>
              <w:pStyle w:val="InstructionsText"/>
              <w:rPr>
                <w:rStyle w:val="InstructionsTabelleberschrift"/>
                <w:rFonts w:ascii="Times New Roman" w:hAnsi="Times New Roman"/>
                <w:b w:val="0"/>
                <w:sz w:val="24"/>
                <w:u w:val="none"/>
              </w:rPr>
            </w:pPr>
            <w:r>
              <w:rPr>
                <w:rStyle w:val="FormatvorlageInstructionsTabelleText"/>
                <w:rFonts w:ascii="Times New Roman" w:hAnsi="Times New Roman"/>
                <w:sz w:val="24"/>
              </w:rPr>
              <w:t>Conformément à l’article 36, paragraphe 1, point k) iv) du CRR, elles pe</w:t>
            </w:r>
            <w:r>
              <w:rPr>
                <w:rStyle w:val="FormatvorlageInstructionsTabelleText"/>
                <w:rFonts w:ascii="Times New Roman" w:hAnsi="Times New Roman"/>
                <w:sz w:val="24"/>
              </w:rPr>
              <w:t>u</w:t>
            </w:r>
            <w:r>
              <w:rPr>
                <w:rStyle w:val="FormatvorlageInstructionsTabelleText"/>
                <w:rFonts w:ascii="Times New Roman" w:hAnsi="Times New Roman"/>
                <w:sz w:val="24"/>
              </w:rPr>
              <w:t>vent soit être déduites des fonds propres de base de catégorie 1 (en utilisant ce poste), soit recevoir une pondération de 1 250 %.</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472</w:t>
            </w:r>
          </w:p>
        </w:tc>
        <w:tc>
          <w:tcPr>
            <w:tcW w:w="7620" w:type="dxa"/>
          </w:tcPr>
          <w:p w:rsidR="005643EA" w:rsidRPr="007E39E6" w:rsidRDefault="006022C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1.1.1.21</w:t>
            </w:r>
            <w:r>
              <w:tab/>
            </w:r>
            <w:r>
              <w:rPr>
                <w:rStyle w:val="InstructionsTabelleberschrift"/>
                <w:rFonts w:ascii="Times New Roman" w:hAnsi="Times New Roman"/>
                <w:sz w:val="24"/>
              </w:rPr>
              <w:t>(-) Expositions sous forme d'actions selon une approche fondée sur les modèles internes qui peuvent subsidiairement être so</w:t>
            </w:r>
            <w:r>
              <w:rPr>
                <w:rStyle w:val="InstructionsTabelleberschrift"/>
                <w:rFonts w:ascii="Times New Roman" w:hAnsi="Times New Roman"/>
                <w:sz w:val="24"/>
              </w:rPr>
              <w:t>u</w:t>
            </w:r>
            <w:r>
              <w:rPr>
                <w:rStyle w:val="InstructionsTabelleberschrift"/>
                <w:rFonts w:ascii="Times New Roman" w:hAnsi="Times New Roman"/>
                <w:sz w:val="24"/>
              </w:rPr>
              <w:t>mises à une pondération de risque de 1 250 %</w:t>
            </w:r>
          </w:p>
          <w:p w:rsidR="005643EA" w:rsidRPr="00392FFD" w:rsidRDefault="00666996"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lastRenderedPageBreak/>
              <w:t>Article 36, paragraphe 1, point k) v), et article 155, paragraphe 4, du CRR</w:t>
            </w:r>
          </w:p>
          <w:p w:rsidR="005643EA" w:rsidRPr="00392FFD" w:rsidRDefault="00666996" w:rsidP="00622B37">
            <w:pPr>
              <w:pStyle w:val="InstructionsText"/>
              <w:rPr>
                <w:rStyle w:val="InstructionsTabelleberschrift"/>
                <w:rFonts w:ascii="Times New Roman" w:hAnsi="Times New Roman"/>
                <w:b w:val="0"/>
                <w:sz w:val="24"/>
                <w:u w:val="none"/>
              </w:rPr>
            </w:pPr>
            <w:r>
              <w:rPr>
                <w:rStyle w:val="FormatvorlageInstructionsTabelleText"/>
                <w:rFonts w:ascii="Times New Roman" w:hAnsi="Times New Roman"/>
                <w:sz w:val="24"/>
              </w:rPr>
              <w:t>Conformément à l'article 36, paragraphe 1, point k) v), du CRR, elles pe</w:t>
            </w:r>
            <w:r>
              <w:rPr>
                <w:rStyle w:val="FormatvorlageInstructionsTabelleText"/>
                <w:rFonts w:ascii="Times New Roman" w:hAnsi="Times New Roman"/>
                <w:sz w:val="24"/>
              </w:rPr>
              <w:t>u</w:t>
            </w:r>
            <w:r>
              <w:rPr>
                <w:rStyle w:val="FormatvorlageInstructionsTabelleText"/>
                <w:rFonts w:ascii="Times New Roman" w:hAnsi="Times New Roman"/>
                <w:sz w:val="24"/>
              </w:rPr>
              <w:t>vent soit être déduites des fonds propres de base de catégorie 1 (en utilisant ce poste), soit recevoir une pondération de 1 250 %.</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480</w:t>
            </w:r>
          </w:p>
        </w:tc>
        <w:tc>
          <w:tcPr>
            <w:tcW w:w="7620" w:type="dxa"/>
          </w:tcPr>
          <w:p w:rsidR="005643EA" w:rsidRPr="007E39E6" w:rsidRDefault="006022CB"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1.1.1.22</w:t>
            </w:r>
            <w:r>
              <w:tab/>
            </w:r>
            <w:r>
              <w:rPr>
                <w:rStyle w:val="InstructionsTabelleberschrift"/>
                <w:rFonts w:ascii="Times New Roman" w:hAnsi="Times New Roman"/>
                <w:sz w:val="24"/>
              </w:rPr>
              <w:t>(-) Instruments CET1 d’entités du secteur financier dans lesquelles l’établissement ne détient pas d’investissement important</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27, article 36, paragraphe 1, point h), articles 43 à 46, article 49, paragraphes 2) et 3), et article 79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Part des détentions détenues par l’établissement dans des instruments d’entités du secteur financier (telles que définies à l’article 4, paragraphe 1, point 27, du CRR) dans lesquelles il ne détient pas d’investissement impo</w:t>
            </w:r>
            <w:r>
              <w:rPr>
                <w:rStyle w:val="FormatvorlageInstructionsTabelleText"/>
                <w:rFonts w:ascii="Times New Roman" w:hAnsi="Times New Roman"/>
                <w:sz w:val="24"/>
              </w:rPr>
              <w:t>r</w:t>
            </w:r>
            <w:r>
              <w:rPr>
                <w:rStyle w:val="FormatvorlageInstructionsTabelleText"/>
                <w:rFonts w:ascii="Times New Roman" w:hAnsi="Times New Roman"/>
                <w:sz w:val="24"/>
              </w:rPr>
              <w:t>tant qui doit être déduite des fonds propres de catégorie 1.</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En cas de consolidation, il existe des alternatives à cette déduction (article 49, paragraphes 2 et 3).</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490</w:t>
            </w:r>
          </w:p>
        </w:tc>
        <w:tc>
          <w:tcPr>
            <w:tcW w:w="7620" w:type="dxa"/>
          </w:tcPr>
          <w:p w:rsidR="005643EA" w:rsidRPr="007E39E6" w:rsidRDefault="006022CB"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1.1.1.23</w:t>
            </w:r>
            <w:r>
              <w:tab/>
            </w:r>
            <w:r>
              <w:rPr>
                <w:rStyle w:val="InstructionsTabelleberschrift"/>
                <w:rFonts w:ascii="Times New Roman" w:hAnsi="Times New Roman"/>
                <w:sz w:val="24"/>
              </w:rPr>
              <w:t>(-) Actifs d’impôt différé déductibles dépendant de bén</w:t>
            </w:r>
            <w:r>
              <w:rPr>
                <w:rStyle w:val="InstructionsTabelleberschrift"/>
                <w:rFonts w:ascii="Times New Roman" w:hAnsi="Times New Roman"/>
                <w:sz w:val="24"/>
              </w:rPr>
              <w:t>é</w:t>
            </w:r>
            <w:r>
              <w:rPr>
                <w:rStyle w:val="InstructionsTabelleberschrift"/>
                <w:rFonts w:ascii="Times New Roman" w:hAnsi="Times New Roman"/>
                <w:sz w:val="24"/>
              </w:rPr>
              <w:t>fices futurs et résultant de différences temporelles</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36, paragraphe 1, point c), article 38 et article 48, paragraphe 1, point a),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Part des actifs d’impôt différé dépendant de bénéfices futurs et résultant de différences temporelles (sans la part des passifs d’impôt différé associés i</w:t>
            </w:r>
            <w:r>
              <w:rPr>
                <w:rStyle w:val="FormatvorlageInstructionsTabelleText"/>
                <w:rFonts w:ascii="Times New Roman" w:hAnsi="Times New Roman"/>
                <w:sz w:val="24"/>
              </w:rPr>
              <w:t>m</w:t>
            </w:r>
            <w:r>
              <w:rPr>
                <w:rStyle w:val="FormatvorlageInstructionsTabelleText"/>
                <w:rFonts w:ascii="Times New Roman" w:hAnsi="Times New Roman"/>
                <w:sz w:val="24"/>
              </w:rPr>
              <w:t>putés aux actifs d’impôt différé résultant de différences temporelles, co</w:t>
            </w:r>
            <w:r>
              <w:rPr>
                <w:rStyle w:val="FormatvorlageInstructionsTabelleText"/>
                <w:rFonts w:ascii="Times New Roman" w:hAnsi="Times New Roman"/>
                <w:sz w:val="24"/>
              </w:rPr>
              <w:t>n</w:t>
            </w:r>
            <w:r>
              <w:rPr>
                <w:rStyle w:val="FormatvorlageInstructionsTabelleText"/>
                <w:rFonts w:ascii="Times New Roman" w:hAnsi="Times New Roman"/>
                <w:sz w:val="24"/>
              </w:rPr>
              <w:t>formément à l’article 38, paragraphe 5, point b), du CRR) qui doit être d</w:t>
            </w:r>
            <w:r>
              <w:rPr>
                <w:rStyle w:val="FormatvorlageInstructionsTabelleText"/>
                <w:rFonts w:ascii="Times New Roman" w:hAnsi="Times New Roman"/>
                <w:sz w:val="24"/>
              </w:rPr>
              <w:t>é</w:t>
            </w:r>
            <w:r>
              <w:rPr>
                <w:rStyle w:val="FormatvorlageInstructionsTabelleText"/>
                <w:rFonts w:ascii="Times New Roman" w:hAnsi="Times New Roman"/>
                <w:sz w:val="24"/>
              </w:rPr>
              <w:t>duite, en appliquant le seuil de 10 % visé à l’article 48, paragraphe 1, point a), du CRR.</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500</w:t>
            </w:r>
          </w:p>
        </w:tc>
        <w:tc>
          <w:tcPr>
            <w:tcW w:w="7620" w:type="dxa"/>
          </w:tcPr>
          <w:p w:rsidR="005643EA" w:rsidRPr="007E39E6" w:rsidRDefault="006022CB"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1.1.1.24</w:t>
            </w:r>
            <w:r>
              <w:tab/>
            </w:r>
            <w:r>
              <w:rPr>
                <w:rStyle w:val="InstructionsTabelleberschrift"/>
                <w:rFonts w:ascii="Times New Roman" w:hAnsi="Times New Roman"/>
                <w:sz w:val="24"/>
              </w:rPr>
              <w:t>(-) Instruments CET1 d'entités du secteur financier dans lesquelles l'établissement détient un investissement important</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27, article 36, paragraphe 1, point i), articles 43 et 45, article 47, article 48, paragraphe 1, point b), article 49, paragraphes 1 à 3, et article 79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Part des détentions détenues par l’établissement dans des instruments de fonds propres de base de catégorie 1 d’entités du secteur financier (telles que définies à l’article 4, paragraphe 1, point 27, du CRR) dans lesquelles il d</w:t>
            </w:r>
            <w:r>
              <w:rPr>
                <w:rStyle w:val="FormatvorlageInstructionsTabelleText"/>
                <w:rFonts w:ascii="Times New Roman" w:hAnsi="Times New Roman"/>
                <w:sz w:val="24"/>
              </w:rPr>
              <w:t>é</w:t>
            </w:r>
            <w:r>
              <w:rPr>
                <w:rStyle w:val="FormatvorlageInstructionsTabelleText"/>
                <w:rFonts w:ascii="Times New Roman" w:hAnsi="Times New Roman"/>
                <w:sz w:val="24"/>
              </w:rPr>
              <w:t>tient un investissement important qui doit être déduite, en appliquant le seuil de 10 % visé à l’article 48, paragraphe 1, point b),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En cas de consolidation, il existe des alternatives à cette déduction (article 49, paragraphes 1, 2 et 3).</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510</w:t>
            </w:r>
          </w:p>
        </w:tc>
        <w:tc>
          <w:tcPr>
            <w:tcW w:w="7620" w:type="dxa"/>
          </w:tcPr>
          <w:p w:rsidR="005643EA" w:rsidRPr="007E39E6" w:rsidRDefault="006022CB"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1.1.1.25</w:t>
            </w:r>
            <w:r>
              <w:tab/>
            </w:r>
            <w:r>
              <w:rPr>
                <w:rStyle w:val="InstructionsTabelleberschrift"/>
                <w:rFonts w:ascii="Times New Roman" w:hAnsi="Times New Roman"/>
                <w:sz w:val="24"/>
              </w:rPr>
              <w:t>(-) Montant dépassant le seuil de 17,65 %</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48, point 1,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Part des actifs d'impôt différé dépendant de bénéfices futurs et résultant de différences temporelles, ainsi que les détentions directes et indirectes dét</w:t>
            </w:r>
            <w:r>
              <w:rPr>
                <w:rStyle w:val="FormatvorlageInstructionsTabelleText"/>
                <w:rFonts w:ascii="Times New Roman" w:hAnsi="Times New Roman"/>
                <w:sz w:val="24"/>
              </w:rPr>
              <w:t>e</w:t>
            </w:r>
            <w:r>
              <w:rPr>
                <w:rStyle w:val="FormatvorlageInstructionsTabelleText"/>
                <w:rFonts w:ascii="Times New Roman" w:hAnsi="Times New Roman"/>
                <w:sz w:val="24"/>
              </w:rPr>
              <w:t>nues par l'établissement dans des instruments de fonds propres de base de catégorie 1 d'entités du secteur financier (telles que définies à l'article 4, p</w:t>
            </w:r>
            <w:r>
              <w:rPr>
                <w:rStyle w:val="FormatvorlageInstructionsTabelleText"/>
                <w:rFonts w:ascii="Times New Roman" w:hAnsi="Times New Roman"/>
                <w:sz w:val="24"/>
              </w:rPr>
              <w:t>a</w:t>
            </w:r>
            <w:r>
              <w:rPr>
                <w:rStyle w:val="FormatvorlageInstructionsTabelleText"/>
                <w:rFonts w:ascii="Times New Roman" w:hAnsi="Times New Roman"/>
                <w:sz w:val="24"/>
              </w:rPr>
              <w:t xml:space="preserve">ragraphe 1, point 27, du CRR) dans lesquelles il détient un investissement </w:t>
            </w:r>
            <w:r>
              <w:rPr>
                <w:rStyle w:val="FormatvorlageInstructionsTabelleText"/>
                <w:rFonts w:ascii="Times New Roman" w:hAnsi="Times New Roman"/>
                <w:sz w:val="24"/>
              </w:rPr>
              <w:lastRenderedPageBreak/>
              <w:t>important qui doit être déduite, en appliquant le seuil de 17,65% visé à l'a</w:t>
            </w:r>
            <w:r>
              <w:rPr>
                <w:rStyle w:val="FormatvorlageInstructionsTabelleText"/>
                <w:rFonts w:ascii="Times New Roman" w:hAnsi="Times New Roman"/>
                <w:sz w:val="24"/>
              </w:rPr>
              <w:t>r</w:t>
            </w:r>
            <w:r>
              <w:rPr>
                <w:rStyle w:val="FormatvorlageInstructionsTabelleText"/>
                <w:rFonts w:ascii="Times New Roman" w:hAnsi="Times New Roman"/>
                <w:sz w:val="24"/>
              </w:rPr>
              <w:t>ticle 48, paragraphe 1, du CRR.</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520</w:t>
            </w:r>
          </w:p>
        </w:tc>
        <w:tc>
          <w:tcPr>
            <w:tcW w:w="7620" w:type="dxa"/>
          </w:tcPr>
          <w:p w:rsidR="005643EA" w:rsidRPr="007E39E6" w:rsidRDefault="006022CB"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1.1.1.26</w:t>
            </w:r>
            <w:r>
              <w:tab/>
            </w:r>
            <w:r>
              <w:rPr>
                <w:rStyle w:val="InstructionsTabelleberschrift"/>
                <w:rFonts w:ascii="Times New Roman" w:hAnsi="Times New Roman"/>
                <w:sz w:val="24"/>
              </w:rPr>
              <w:t>Autres ajustements transitoires applicables aux fonds propres CET1</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Articles 469 à 472, article 478 et article 481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Ajustements aux déductions dues aux dispositions transitoires. Le montant à déclarer provient directement du modèle CA5.</w:t>
            </w:r>
          </w:p>
        </w:tc>
      </w:tr>
      <w:tr w:rsidR="00A232F8" w:rsidRPr="00392FFD" w:rsidTr="000903FA">
        <w:tc>
          <w:tcPr>
            <w:tcW w:w="1129" w:type="dxa"/>
          </w:tcPr>
          <w:p w:rsidR="005643EA" w:rsidRPr="00392FFD" w:rsidRDefault="007E39E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524</w:t>
            </w:r>
          </w:p>
        </w:tc>
        <w:tc>
          <w:tcPr>
            <w:tcW w:w="7620" w:type="dxa"/>
          </w:tcPr>
          <w:p w:rsidR="005643EA" w:rsidRPr="00392FFD" w:rsidRDefault="006022C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1.1.1.27</w:t>
            </w:r>
            <w:r>
              <w:tab/>
            </w:r>
            <w:r>
              <w:rPr>
                <w:rStyle w:val="InstructionsTabelleberschrift"/>
                <w:rFonts w:ascii="Times New Roman" w:hAnsi="Times New Roman"/>
                <w:sz w:val="24"/>
              </w:rPr>
              <w:t>(-) Déductions supplémentaires de fonds propres CET1 en vertu de l’article 3 du CRR</w:t>
            </w:r>
          </w:p>
          <w:p w:rsidR="005643EA" w:rsidRPr="00392FFD" w:rsidRDefault="00A232F8"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 3 du CRR</w:t>
            </w:r>
          </w:p>
        </w:tc>
      </w:tr>
      <w:tr w:rsidR="00666996" w:rsidRPr="00392FFD" w:rsidTr="000903FA">
        <w:tc>
          <w:tcPr>
            <w:tcW w:w="1129" w:type="dxa"/>
          </w:tcPr>
          <w:p w:rsidR="005643EA" w:rsidRPr="00392FFD" w:rsidRDefault="00A232F8"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529</w:t>
            </w:r>
          </w:p>
        </w:tc>
        <w:tc>
          <w:tcPr>
            <w:tcW w:w="7620" w:type="dxa"/>
          </w:tcPr>
          <w:p w:rsidR="005643EA" w:rsidRPr="00392FFD" w:rsidRDefault="006022C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1.1.1.28</w:t>
            </w:r>
            <w:r>
              <w:tab/>
            </w:r>
            <w:r>
              <w:rPr>
                <w:rStyle w:val="InstructionsTabelleberschrift"/>
                <w:rFonts w:ascii="Times New Roman" w:hAnsi="Times New Roman"/>
                <w:sz w:val="24"/>
              </w:rPr>
              <w:t>Éléments de fonds propres CET1 ou déductions - autres</w:t>
            </w:r>
          </w:p>
          <w:p w:rsidR="005643EA" w:rsidRPr="00392FFD" w:rsidRDefault="00666996"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Cette ligne est destinée à permettre une certaine flexibilité uniquement à des fins de déclaration. Elle ne sera remplie que dans les rares cas où aucune d</w:t>
            </w:r>
            <w:r>
              <w:rPr>
                <w:rStyle w:val="InstructionsTabelleberschrift"/>
                <w:rFonts w:ascii="Times New Roman" w:hAnsi="Times New Roman"/>
                <w:b w:val="0"/>
                <w:sz w:val="24"/>
                <w:u w:val="none"/>
              </w:rPr>
              <w:t>é</w:t>
            </w:r>
            <w:r>
              <w:rPr>
                <w:rStyle w:val="InstructionsTabelleberschrift"/>
                <w:rFonts w:ascii="Times New Roman" w:hAnsi="Times New Roman"/>
                <w:b w:val="0"/>
                <w:sz w:val="24"/>
                <w:u w:val="none"/>
              </w:rPr>
              <w:t>cision finale n’a été prise pour la déclaration d’éléments/de déductions sp</w:t>
            </w:r>
            <w:r>
              <w:rPr>
                <w:rStyle w:val="InstructionsTabelleberschrift"/>
                <w:rFonts w:ascii="Times New Roman" w:hAnsi="Times New Roman"/>
                <w:b w:val="0"/>
                <w:sz w:val="24"/>
                <w:u w:val="none"/>
              </w:rPr>
              <w:t>é</w:t>
            </w:r>
            <w:r>
              <w:rPr>
                <w:rStyle w:val="InstructionsTabelleberschrift"/>
                <w:rFonts w:ascii="Times New Roman" w:hAnsi="Times New Roman"/>
                <w:b w:val="0"/>
                <w:sz w:val="24"/>
                <w:u w:val="none"/>
              </w:rPr>
              <w:t xml:space="preserve">cifiques de fonds propres dans le modèle CA1 actuel. En conséquence, cette ligne ne sera remplie que lorsqu’un élément ou une déduction de fonds propres de base de catégorie 1 ne peut être imputé dans une des lignes 020 à 524. </w:t>
            </w:r>
          </w:p>
          <w:p w:rsidR="005643EA" w:rsidRPr="007E39E6" w:rsidRDefault="00666996"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Cette cellule n'est pas utilisée pour le calcul des ratios de solvabilité des éléments/des déductions de fonds propres qui ne sont pas couverts par le CRR (par ex. attribution d'éléments/déductions de fonds propres nationaux hors du périmètre du CRR).</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530</w:t>
            </w:r>
          </w:p>
        </w:tc>
        <w:tc>
          <w:tcPr>
            <w:tcW w:w="7620" w:type="dxa"/>
          </w:tcPr>
          <w:p w:rsidR="005643EA" w:rsidRPr="007E39E6" w:rsidRDefault="006022CB"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1.1.2.</w:t>
            </w:r>
            <w:r>
              <w:tab/>
            </w:r>
            <w:r>
              <w:rPr>
                <w:rStyle w:val="InstructionsTabelleberschrift"/>
                <w:rFonts w:ascii="Times New Roman" w:hAnsi="Times New Roman"/>
                <w:sz w:val="24"/>
              </w:rPr>
              <w:t>FONDS PROPRES ADDITIONNELS DE CATÉGORIE 1</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61 du CRR</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540</w:t>
            </w:r>
          </w:p>
        </w:tc>
        <w:tc>
          <w:tcPr>
            <w:tcW w:w="7620" w:type="dxa"/>
          </w:tcPr>
          <w:p w:rsidR="005643EA" w:rsidRPr="007E39E6" w:rsidRDefault="006022CB"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1.1.2.1</w:t>
            </w:r>
            <w:r>
              <w:tab/>
            </w:r>
            <w:r>
              <w:rPr>
                <w:rStyle w:val="InstructionsTabelleberschrift"/>
                <w:rFonts w:ascii="Times New Roman" w:hAnsi="Times New Roman"/>
                <w:sz w:val="24"/>
              </w:rPr>
              <w:t>Instruments de capital éligibles en tant que fonds propres AT1</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51, point a), articles 52 à 54, article 56, point a), et article 57 du CRR</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550</w:t>
            </w:r>
          </w:p>
        </w:tc>
        <w:tc>
          <w:tcPr>
            <w:tcW w:w="7620" w:type="dxa"/>
          </w:tcPr>
          <w:p w:rsidR="005643EA" w:rsidRPr="007E39E6" w:rsidRDefault="006022CB"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1.1.2.1.1</w:t>
            </w:r>
            <w:r>
              <w:tab/>
            </w:r>
            <w:r>
              <w:rPr>
                <w:rStyle w:val="InstructionsTabelleberschrift"/>
                <w:rFonts w:ascii="Times New Roman" w:hAnsi="Times New Roman"/>
                <w:sz w:val="24"/>
              </w:rPr>
              <w:t>Instruments de capital versés</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51, point a), et articles 52 à 54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n’intègre pas la prime d’émission liée à ces instr</w:t>
            </w:r>
            <w:r>
              <w:rPr>
                <w:rStyle w:val="FormatvorlageInstructionsTabelleText"/>
                <w:rFonts w:ascii="Times New Roman" w:hAnsi="Times New Roman"/>
                <w:sz w:val="24"/>
              </w:rPr>
              <w:t>u</w:t>
            </w:r>
            <w:r>
              <w:rPr>
                <w:rStyle w:val="FormatvorlageInstructionsTabelleText"/>
                <w:rFonts w:ascii="Times New Roman" w:hAnsi="Times New Roman"/>
                <w:sz w:val="24"/>
              </w:rPr>
              <w:t>ments.</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560</w:t>
            </w:r>
          </w:p>
        </w:tc>
        <w:tc>
          <w:tcPr>
            <w:tcW w:w="7620" w:type="dxa"/>
          </w:tcPr>
          <w:p w:rsidR="005643EA" w:rsidRPr="007E39E6" w:rsidRDefault="006022CB"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1.1.2.1.2 (*)</w:t>
            </w:r>
            <w:r>
              <w:tab/>
            </w:r>
            <w:r>
              <w:rPr>
                <w:rStyle w:val="InstructionsTabelleberschrift"/>
                <w:rFonts w:ascii="Times New Roman" w:hAnsi="Times New Roman"/>
                <w:sz w:val="24"/>
              </w:rPr>
              <w:t>Pour mémoire: Instruments de capital non éligibles</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52, paragraphe 1, points c), e) et f),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Dans ces points, les conditions traduisent diverses situations réversibles pour le capital. Dès lors, le montant déclaré ici peut être éligible au cours des p</w:t>
            </w:r>
            <w:r>
              <w:rPr>
                <w:rStyle w:val="FormatvorlageInstructionsTabelleText"/>
                <w:rFonts w:ascii="Times New Roman" w:hAnsi="Times New Roman"/>
                <w:sz w:val="24"/>
              </w:rPr>
              <w:t>é</w:t>
            </w:r>
            <w:r>
              <w:rPr>
                <w:rStyle w:val="FormatvorlageInstructionsTabelleText"/>
                <w:rFonts w:ascii="Times New Roman" w:hAnsi="Times New Roman"/>
                <w:sz w:val="24"/>
              </w:rPr>
              <w:t>riodes suivantes.</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n’intègre pas la prime d’émission liée à ces instr</w:t>
            </w:r>
            <w:r>
              <w:rPr>
                <w:rStyle w:val="FormatvorlageInstructionsTabelleText"/>
                <w:rFonts w:ascii="Times New Roman" w:hAnsi="Times New Roman"/>
                <w:sz w:val="24"/>
              </w:rPr>
              <w:t>u</w:t>
            </w:r>
            <w:r>
              <w:rPr>
                <w:rStyle w:val="FormatvorlageInstructionsTabelleText"/>
                <w:rFonts w:ascii="Times New Roman" w:hAnsi="Times New Roman"/>
                <w:sz w:val="24"/>
              </w:rPr>
              <w:t>ments.</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570</w:t>
            </w:r>
          </w:p>
        </w:tc>
        <w:tc>
          <w:tcPr>
            <w:tcW w:w="7620" w:type="dxa"/>
          </w:tcPr>
          <w:p w:rsidR="005643EA" w:rsidRPr="007E39E6" w:rsidRDefault="006022CB"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1.1.2.1.3</w:t>
            </w:r>
            <w:r>
              <w:tab/>
            </w:r>
            <w:r>
              <w:rPr>
                <w:rStyle w:val="InstructionsTabelleberschrift"/>
                <w:rFonts w:ascii="Times New Roman" w:hAnsi="Times New Roman"/>
                <w:sz w:val="24"/>
              </w:rPr>
              <w:t>Prime d'émission</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51, point b),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 xml:space="preserve">Le terme «prime d’émission» a la même signification que celle utilisée par </w:t>
            </w:r>
            <w:r>
              <w:rPr>
                <w:rStyle w:val="FormatvorlageInstructionsTabelleText"/>
                <w:rFonts w:ascii="Times New Roman" w:hAnsi="Times New Roman"/>
                <w:sz w:val="24"/>
              </w:rPr>
              <w:lastRenderedPageBreak/>
              <w:t xml:space="preserve">la norme comptable applicable. </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à ce poste est la part liée aux «Instruments de capital versés».</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580</w:t>
            </w:r>
          </w:p>
        </w:tc>
        <w:tc>
          <w:tcPr>
            <w:tcW w:w="7620" w:type="dxa"/>
          </w:tcPr>
          <w:p w:rsidR="005643EA" w:rsidRPr="007E39E6" w:rsidRDefault="006022CB"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1.1.2.1.4</w:t>
            </w:r>
            <w:r>
              <w:tab/>
            </w:r>
            <w:r>
              <w:rPr>
                <w:rStyle w:val="InstructionsTabelleberschrift"/>
                <w:rFonts w:ascii="Times New Roman" w:hAnsi="Times New Roman"/>
                <w:sz w:val="24"/>
              </w:rPr>
              <w:t>(-) Propres instruments AT1</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52, paragraphe 1, point b), article 56, point a), et article 57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Propres instruments de fonds propres additionnels de catégorie 1 détenus par l’établissement ou le groupe déclarant à la date de déclaration. Poste soumis aux exceptions de l’article 57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La détention d’actions intégrées aux «Instruments de capital non éligibles» ne figurera pas dans cette ligne.</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intègre la prime d’émission liée aux actions propres.</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Les points 1.1.2.1.4 à 1.1.2.1.4.3 ne comprennent pas les instruments de fonds propres de base de catégorie 1 que l’établissement a l’obligation réelle ou éventuelle d’acquérir. Ces instruments de fonds propres additionnels de catégorie 1 que l’établissement a l’obligation réelle ou éventuelle d’acquérir seront déclarés séparément au point 1.1.2.1.5.</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590</w:t>
            </w:r>
          </w:p>
        </w:tc>
        <w:tc>
          <w:tcPr>
            <w:tcW w:w="7620" w:type="dxa"/>
          </w:tcPr>
          <w:p w:rsidR="005643EA" w:rsidRPr="007E39E6" w:rsidRDefault="006022CB"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1.1.2.1.4.1</w:t>
            </w:r>
            <w:r>
              <w:tab/>
            </w:r>
            <w:r>
              <w:rPr>
                <w:rStyle w:val="InstructionsTabelleberschrift"/>
                <w:rFonts w:ascii="Times New Roman" w:hAnsi="Times New Roman"/>
                <w:sz w:val="24"/>
              </w:rPr>
              <w:t>(-) Détentions directes d'instruments AT1</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114, article 52, paragraphe 1, point b), article 56, point a), et article 57 du CRR</w:t>
            </w:r>
          </w:p>
          <w:p w:rsidR="005643EA" w:rsidRPr="007E39E6"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 xml:space="preserve">Instruments de fonds propres additionnels de catégorie 1 inclus au point 1.1.2.1.1, détenus par les établissements du groupe consolidé. </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620</w:t>
            </w:r>
          </w:p>
        </w:tc>
        <w:tc>
          <w:tcPr>
            <w:tcW w:w="7620" w:type="dxa"/>
          </w:tcPr>
          <w:p w:rsidR="005643EA" w:rsidRPr="007E39E6" w:rsidRDefault="006455B0"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1.1.2.1.4.2</w:t>
            </w:r>
            <w:r>
              <w:tab/>
            </w:r>
            <w:r>
              <w:rPr>
                <w:rStyle w:val="InstructionsTabelleberschrift"/>
                <w:rFonts w:ascii="Times New Roman" w:hAnsi="Times New Roman"/>
                <w:sz w:val="24"/>
              </w:rPr>
              <w:t>(-) Détentions indirectes d'instruments AT1</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52, paragraphe 1, point b) ii), article 56, point a), et article 57 du CRR</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621</w:t>
            </w:r>
          </w:p>
        </w:tc>
        <w:tc>
          <w:tcPr>
            <w:tcW w:w="7620" w:type="dxa"/>
          </w:tcPr>
          <w:p w:rsidR="005643EA" w:rsidRPr="007E39E6" w:rsidRDefault="006455B0" w:rsidP="00622B37">
            <w:pPr>
              <w:pStyle w:val="InstructionsText"/>
            </w:pPr>
            <w:r>
              <w:rPr>
                <w:rStyle w:val="InstructionsTabelleberschrift"/>
                <w:rFonts w:ascii="Times New Roman" w:hAnsi="Times New Roman"/>
                <w:sz w:val="24"/>
              </w:rPr>
              <w:t>1.1.2.1.4.3</w:t>
            </w:r>
            <w:r>
              <w:tab/>
            </w:r>
            <w:r>
              <w:rPr>
                <w:rStyle w:val="InstructionsTabelleberschrift"/>
                <w:rFonts w:ascii="Times New Roman" w:hAnsi="Times New Roman"/>
                <w:sz w:val="24"/>
              </w:rPr>
              <w:t>(-) Détentions synthétiques d'instruments AT1</w:t>
            </w:r>
          </w:p>
          <w:p w:rsidR="005643EA" w:rsidRPr="007E39E6" w:rsidRDefault="00805255" w:rsidP="00622B37">
            <w:pPr>
              <w:pStyle w:val="InstructionsText"/>
              <w:rPr>
                <w:rStyle w:val="InstructionsTabelleberschrift"/>
                <w:rFonts w:ascii="Times New Roman" w:hAnsi="Times New Roman"/>
                <w:b w:val="0"/>
                <w:bCs w:val="0"/>
                <w:sz w:val="24"/>
                <w:u w:val="none"/>
              </w:rPr>
            </w:pPr>
            <w:r>
              <w:t>Article 4, paragraphe 1, point 126, article 52, paragraphe 1, point b), article 56, point a), et article 57 du CRR</w:t>
            </w:r>
          </w:p>
        </w:tc>
      </w:tr>
      <w:tr w:rsidR="00666996" w:rsidRPr="00392FFD" w:rsidTr="000903FA">
        <w:tc>
          <w:tcPr>
            <w:tcW w:w="1129" w:type="dxa"/>
          </w:tcPr>
          <w:p w:rsidR="005643EA" w:rsidRPr="00392FFD" w:rsidRDefault="007E39E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622</w:t>
            </w:r>
          </w:p>
        </w:tc>
        <w:tc>
          <w:tcPr>
            <w:tcW w:w="7620" w:type="dxa"/>
          </w:tcPr>
          <w:p w:rsidR="005643EA" w:rsidRPr="007E39E6" w:rsidRDefault="006455B0"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1.1.2.1.5</w:t>
            </w:r>
            <w:r>
              <w:tab/>
            </w:r>
            <w:r>
              <w:rPr>
                <w:rStyle w:val="InstructionsTabelleberschrift"/>
                <w:rFonts w:ascii="Times New Roman" w:hAnsi="Times New Roman"/>
                <w:sz w:val="24"/>
              </w:rPr>
              <w:t>(–) Obligations réelles ou éventuelles d'acquérir ses propres instruments AT1</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56, point a), et article 57 du CRR</w:t>
            </w:r>
          </w:p>
          <w:p w:rsidR="005643EA" w:rsidRPr="00392FFD" w:rsidRDefault="00666996" w:rsidP="00622B37">
            <w:pPr>
              <w:pStyle w:val="InstructionsText"/>
              <w:rPr>
                <w:rStyle w:val="InstructionsTabelleberschrift"/>
                <w:rFonts w:ascii="Times New Roman" w:hAnsi="Times New Roman"/>
                <w:sz w:val="24"/>
              </w:rPr>
            </w:pPr>
            <w:r>
              <w:rPr>
                <w:rStyle w:val="InstructionsTabelleberschrift"/>
                <w:rFonts w:ascii="Times New Roman" w:hAnsi="Times New Roman"/>
                <w:b w:val="0"/>
                <w:sz w:val="24"/>
                <w:u w:val="none"/>
              </w:rPr>
              <w:t>Conformément à l'article 56, point a), du CRR, «</w:t>
            </w:r>
            <w:r>
              <w:t>les instruments de fonds propres additionnels de catégorie 1 qu'un établissement est susceptible de devoir acheter en vertu d'une obligation contractuelle existante» seront d</w:t>
            </w:r>
            <w:r>
              <w:t>é</w:t>
            </w:r>
            <w:r>
              <w:t>duits.</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660</w:t>
            </w:r>
          </w:p>
        </w:tc>
        <w:tc>
          <w:tcPr>
            <w:tcW w:w="7620" w:type="dxa"/>
          </w:tcPr>
          <w:p w:rsidR="005643EA" w:rsidRPr="007E39E6" w:rsidRDefault="006455B0"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1.1.2.2</w:t>
            </w:r>
            <w:r>
              <w:tab/>
            </w:r>
            <w:r>
              <w:rPr>
                <w:rStyle w:val="InstructionsTabelleberschrift"/>
                <w:rFonts w:ascii="Times New Roman" w:hAnsi="Times New Roman"/>
                <w:sz w:val="24"/>
              </w:rPr>
              <w:t>Ajustements transitoires relatifs aux instruments de capital AT1 bénéficiant d'une clause d'antériorité</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483, paragraphes 4 et 5, articles 484 à 487, articles 489 et 491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Montant des instruments de capital restant à titre transitoire éligibles en tant que fonds propres additionnels de catégorie 1 en vertu d’une clause d’antériorité. Le montant à déclarer provient directement du modèle CA5.</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670</w:t>
            </w:r>
          </w:p>
        </w:tc>
        <w:tc>
          <w:tcPr>
            <w:tcW w:w="7620" w:type="dxa"/>
          </w:tcPr>
          <w:p w:rsidR="005643EA" w:rsidRPr="007E39E6" w:rsidRDefault="006455B0"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1.1.2.3</w:t>
            </w:r>
            <w:r>
              <w:tab/>
            </w:r>
            <w:r>
              <w:rPr>
                <w:rStyle w:val="InstructionsTabelleberschrift"/>
                <w:rFonts w:ascii="Times New Roman" w:hAnsi="Times New Roman"/>
                <w:sz w:val="24"/>
              </w:rPr>
              <w:t>Instruments émis par des filiales pris en compte dans les fonds propres AT1</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Articles 83, 85 et 86 du CRR</w:t>
            </w:r>
          </w:p>
          <w:p w:rsidR="00477CB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Somme de tous les fonds propres de catégorie 1 reconnaissables de filiales qui sont inclus dans les fonds propres additionnels de catégorie 1 consolidés.</w:t>
            </w:r>
          </w:p>
          <w:p w:rsidR="00106FC5" w:rsidRPr="00392FFD" w:rsidRDefault="00106FC5"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Les fonds propres additionnels de catégorie 1 reconnaissables émis par une entité ad hoc (article 83 du CRR) sont inclus.</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680</w:t>
            </w:r>
          </w:p>
        </w:tc>
        <w:tc>
          <w:tcPr>
            <w:tcW w:w="7620" w:type="dxa"/>
          </w:tcPr>
          <w:p w:rsidR="005643EA" w:rsidRPr="007E39E6" w:rsidRDefault="006455B0"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1.1.2.4</w:t>
            </w:r>
            <w:r>
              <w:tab/>
            </w:r>
            <w:r>
              <w:rPr>
                <w:rStyle w:val="InstructionsTabelleberschrift"/>
                <w:rFonts w:ascii="Times New Roman" w:hAnsi="Times New Roman"/>
                <w:sz w:val="24"/>
              </w:rPr>
              <w:t>Ajustements transitoires découlant de la prise en compte d'in</w:t>
            </w:r>
            <w:r>
              <w:rPr>
                <w:rStyle w:val="InstructionsTabelleberschrift"/>
                <w:rFonts w:ascii="Times New Roman" w:hAnsi="Times New Roman"/>
                <w:sz w:val="24"/>
              </w:rPr>
              <w:t>s</w:t>
            </w:r>
            <w:r>
              <w:rPr>
                <w:rStyle w:val="InstructionsTabelleberschrift"/>
                <w:rFonts w:ascii="Times New Roman" w:hAnsi="Times New Roman"/>
                <w:sz w:val="24"/>
              </w:rPr>
              <w:t>truments émis par des filiales dans les fonds propres AT1</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480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Ajustements des fonds propres de catégorie 1 reconnaissables inclus dans les fonds propres additionnels de catégorie 1 en raison de dispositions trans</w:t>
            </w:r>
            <w:r>
              <w:rPr>
                <w:rStyle w:val="FormatvorlageInstructionsTabelleText"/>
                <w:rFonts w:ascii="Times New Roman" w:hAnsi="Times New Roman"/>
                <w:sz w:val="24"/>
              </w:rPr>
              <w:t>i</w:t>
            </w:r>
            <w:r>
              <w:rPr>
                <w:rStyle w:val="FormatvorlageInstructionsTabelleText"/>
                <w:rFonts w:ascii="Times New Roman" w:hAnsi="Times New Roman"/>
                <w:sz w:val="24"/>
              </w:rPr>
              <w:t>toires. Cet élément est directement issu du modèle CA5.</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690</w:t>
            </w:r>
          </w:p>
        </w:tc>
        <w:tc>
          <w:tcPr>
            <w:tcW w:w="7620" w:type="dxa"/>
          </w:tcPr>
          <w:p w:rsidR="005643EA" w:rsidRPr="007E39E6" w:rsidRDefault="006455B0"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1.1.2.5</w:t>
            </w:r>
            <w:r>
              <w:tab/>
            </w:r>
            <w:r>
              <w:rPr>
                <w:rStyle w:val="InstructionsTabelleberschrift"/>
                <w:rFonts w:ascii="Times New Roman" w:hAnsi="Times New Roman"/>
                <w:sz w:val="24"/>
              </w:rPr>
              <w:t>(-) Détentions croisées de fonds propres AT1</w:t>
            </w:r>
          </w:p>
          <w:p w:rsidR="005643EA" w:rsidRPr="00392FFD" w:rsidRDefault="00805255"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122, article 56, point b), et article 58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Détention d’instruments de fonds propres additionnels de catégorie 1 d’entités du secteur financier (telles que définies à l’article 4, paragraphe 1, point 27, du CRR) lorsqu’il existe une détention croisée que l’autorité co</w:t>
            </w:r>
            <w:r>
              <w:rPr>
                <w:rStyle w:val="FormatvorlageInstructionsTabelleText"/>
                <w:rFonts w:ascii="Times New Roman" w:hAnsi="Times New Roman"/>
                <w:sz w:val="24"/>
              </w:rPr>
              <w:t>m</w:t>
            </w:r>
            <w:r>
              <w:rPr>
                <w:rStyle w:val="FormatvorlageInstructionsTabelleText"/>
                <w:rFonts w:ascii="Times New Roman" w:hAnsi="Times New Roman"/>
                <w:sz w:val="24"/>
              </w:rPr>
              <w:t>pétente juge destinée à accroître artificiellement les fonds propres de l’établissement.</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sera calculé sur la base des positions longues brutes et intègrera les éléments de fonds propres additionnels de catégorie 1 d’entités relevant du secteur de l’assurance.</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700</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1.1.2.6</w:t>
            </w:r>
            <w:r>
              <w:tab/>
            </w:r>
            <w:r>
              <w:rPr>
                <w:rStyle w:val="InstructionsTabelleberschrift"/>
                <w:rFonts w:ascii="Times New Roman" w:hAnsi="Times New Roman"/>
                <w:sz w:val="24"/>
              </w:rPr>
              <w:t>(-) Instruments AT1 d’entités du secteur financier dans lesquelles l’établissement ne détient pas d’investissement important</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27), article 56, point c), et articles 59, 60 et 79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Part des détentions détenues par l’établissement dans des instruments d’entités du secteur financier (telles que définies à l’article 4, paragraphe 1, point 27, du CRR) dans lesquelles il ne détient pas d’investissement impo</w:t>
            </w:r>
            <w:r>
              <w:rPr>
                <w:rStyle w:val="FormatvorlageInstructionsTabelleText"/>
                <w:rFonts w:ascii="Times New Roman" w:hAnsi="Times New Roman"/>
                <w:sz w:val="24"/>
              </w:rPr>
              <w:t>r</w:t>
            </w:r>
            <w:r>
              <w:rPr>
                <w:rStyle w:val="FormatvorlageInstructionsTabelleText"/>
                <w:rFonts w:ascii="Times New Roman" w:hAnsi="Times New Roman"/>
                <w:sz w:val="24"/>
              </w:rPr>
              <w:t>tant qui doit être déduite des fonds propres additionnels de catégorie 1.</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710</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1.1.2.7</w:t>
            </w:r>
            <w:r>
              <w:tab/>
            </w:r>
            <w:r>
              <w:rPr>
                <w:rStyle w:val="InstructionsTabelleberschrift"/>
                <w:rFonts w:ascii="Times New Roman" w:hAnsi="Times New Roman"/>
                <w:sz w:val="24"/>
              </w:rPr>
              <w:t>(-) Instruments AT1 d'entités du secteur financier dans lesquelles l'établissement détient un investissement important</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27, article 56, point d), et articles 59 et 79 du CRR</w:t>
            </w:r>
          </w:p>
          <w:p w:rsidR="005643EA" w:rsidRPr="00392FFD" w:rsidRDefault="009B511B"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Les détentions détenues par l’établissement dans des instruments de fonds propres additionnels de catégorie 1 d’entités du secteur financier (telles que définies à l’article 4, paragraphe 1, point 27, du CRR) dans lesquelles il d</w:t>
            </w:r>
            <w:r>
              <w:rPr>
                <w:rStyle w:val="FormatvorlageInstructionsTabelleText"/>
                <w:rFonts w:ascii="Times New Roman" w:hAnsi="Times New Roman"/>
                <w:sz w:val="24"/>
              </w:rPr>
              <w:t>é</w:t>
            </w:r>
            <w:r>
              <w:rPr>
                <w:rStyle w:val="FormatvorlageInstructionsTabelleText"/>
                <w:rFonts w:ascii="Times New Roman" w:hAnsi="Times New Roman"/>
                <w:sz w:val="24"/>
              </w:rPr>
              <w:t>tient un investissement important seront intégralement déduites.</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720</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1.1.2.8</w:t>
            </w:r>
            <w:r>
              <w:tab/>
            </w:r>
            <w:r>
              <w:rPr>
                <w:rStyle w:val="InstructionsTabelleberschrift"/>
                <w:rFonts w:ascii="Times New Roman" w:hAnsi="Times New Roman"/>
                <w:sz w:val="24"/>
              </w:rPr>
              <w:t xml:space="preserve">(-) Excédent de déduction d’éléments T2 sur les fonds propres T2 </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56, point e), du CRR</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 xml:space="preserve">Le montant à déclarer provient directement du poste CA1 «Éléments devant </w:t>
            </w:r>
            <w:r>
              <w:rPr>
                <w:rStyle w:val="FormatvorlageInstructionsTabelleText"/>
                <w:rFonts w:ascii="Times New Roman" w:hAnsi="Times New Roman"/>
                <w:sz w:val="24"/>
              </w:rPr>
              <w:lastRenderedPageBreak/>
              <w:t>être déduits des éléments de fonds propres de catégorie 2 qui excèdent les fonds propres de catégorie 2 de l'établissement».</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730</w:t>
            </w:r>
          </w:p>
        </w:tc>
        <w:tc>
          <w:tcPr>
            <w:tcW w:w="7620" w:type="dxa"/>
          </w:tcPr>
          <w:p w:rsidR="005643EA" w:rsidRPr="00392FFD" w:rsidRDefault="00A86EB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1.1.2.9</w:t>
            </w:r>
            <w:r>
              <w:tab/>
            </w:r>
            <w:r>
              <w:rPr>
                <w:rStyle w:val="InstructionsTabelleberschrift"/>
                <w:rFonts w:ascii="Times New Roman" w:hAnsi="Times New Roman"/>
                <w:sz w:val="24"/>
              </w:rPr>
              <w:t>Autres ajustements transitoires applicables aux fonds propres AT1</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Articles 474, 475, 478 et 481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Ajustements dus aux dispositions transitoires. Le montant à déclarer pr</w:t>
            </w:r>
            <w:r>
              <w:rPr>
                <w:rStyle w:val="FormatvorlageInstructionsTabelleText"/>
                <w:rFonts w:ascii="Times New Roman" w:hAnsi="Times New Roman"/>
                <w:sz w:val="24"/>
              </w:rPr>
              <w:t>o</w:t>
            </w:r>
            <w:r>
              <w:rPr>
                <w:rStyle w:val="FormatvorlageInstructionsTabelleText"/>
                <w:rFonts w:ascii="Times New Roman" w:hAnsi="Times New Roman"/>
                <w:sz w:val="24"/>
              </w:rPr>
              <w:t>vient directement du modèle CA5.</w:t>
            </w:r>
          </w:p>
        </w:tc>
      </w:tr>
      <w:tr w:rsidR="00666996" w:rsidRPr="00392FFD" w:rsidTr="000903FA">
        <w:tc>
          <w:tcPr>
            <w:tcW w:w="1129" w:type="dxa"/>
          </w:tcPr>
          <w:p w:rsidR="00666996"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740</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1.1.2.10</w:t>
            </w:r>
            <w:r>
              <w:tab/>
            </w:r>
            <w:r>
              <w:rPr>
                <w:rStyle w:val="InstructionsTabelleberschrift"/>
                <w:rFonts w:ascii="Times New Roman" w:hAnsi="Times New Roman"/>
                <w:sz w:val="24"/>
              </w:rPr>
              <w:t>Excédent de déduction d'éléments AT1 sur les fonds propres AT1 (déduit des CET1)</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36, paragraphe 1, point j), du CRR</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Si les fonds propres additionnels de catégorie 1 ne peuvent être négatifs, il se peut toutefois que les déductions de fonds propres additionnels de catégorie 1 soient plus conséquentes que les fonds propres additionnels de catégorie 1 augmentés de la prime d’émission. Si tel est le cas, les fonds propres add</w:t>
            </w:r>
            <w:r>
              <w:rPr>
                <w:rStyle w:val="FormatvorlageInstructionsTabelleText"/>
                <w:rFonts w:ascii="Times New Roman" w:hAnsi="Times New Roman"/>
                <w:sz w:val="24"/>
              </w:rPr>
              <w:t>i</w:t>
            </w:r>
            <w:r>
              <w:rPr>
                <w:rStyle w:val="FormatvorlageInstructionsTabelleText"/>
                <w:rFonts w:ascii="Times New Roman" w:hAnsi="Times New Roman"/>
                <w:sz w:val="24"/>
              </w:rPr>
              <w:t>tionnels de catégorie 1 seront égaux à 0, tandis que le montant excédentaire des déductions de fonds propres additionnels de catégorie 1 sera déduit des fonds propres de base de catégorie 1.</w:t>
            </w:r>
          </w:p>
          <w:p w:rsidR="005643EA" w:rsidRPr="00392FFD" w:rsidRDefault="0066699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Pour ce poste, la somme des éléments 1.1.2.1 à 1.1.2.12 ne peut jamais être inférieure à 0. Dès lors, si ce poste affiche une valeur positive, la valeur i</w:t>
            </w:r>
            <w:r>
              <w:rPr>
                <w:rStyle w:val="FormatvorlageInstructionsTabelleText"/>
                <w:rFonts w:ascii="Times New Roman" w:hAnsi="Times New Roman"/>
                <w:sz w:val="24"/>
              </w:rPr>
              <w:t>n</w:t>
            </w:r>
            <w:r>
              <w:rPr>
                <w:rStyle w:val="FormatvorlageInstructionsTabelleText"/>
                <w:rFonts w:ascii="Times New Roman" w:hAnsi="Times New Roman"/>
                <w:sz w:val="24"/>
              </w:rPr>
              <w:t>diquée au point 1.1.1.16 sera l’inverse de ce chiffre.</w:t>
            </w:r>
          </w:p>
        </w:tc>
      </w:tr>
      <w:tr w:rsidR="00A86EB4" w:rsidRPr="00392FFD" w:rsidTr="000903FA">
        <w:tc>
          <w:tcPr>
            <w:tcW w:w="1129" w:type="dxa"/>
          </w:tcPr>
          <w:p w:rsidR="00A86EB4"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744</w:t>
            </w:r>
          </w:p>
          <w:p w:rsidR="005643EA" w:rsidRPr="00392FFD" w:rsidRDefault="005643EA" w:rsidP="00622B37">
            <w:pPr>
              <w:pStyle w:val="InstructionsText"/>
              <w:rPr>
                <w:rStyle w:val="FormatvorlageInstructionsTabelleText"/>
                <w:rFonts w:ascii="Times New Roman" w:hAnsi="Times New Roman"/>
                <w:sz w:val="24"/>
              </w:rPr>
            </w:pPr>
          </w:p>
        </w:tc>
        <w:tc>
          <w:tcPr>
            <w:tcW w:w="7620" w:type="dxa"/>
          </w:tcPr>
          <w:p w:rsidR="005643EA" w:rsidRPr="00392FFD" w:rsidRDefault="00A86EB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1.1.2.11</w:t>
            </w:r>
            <w:r>
              <w:tab/>
            </w:r>
            <w:r>
              <w:rPr>
                <w:rStyle w:val="InstructionsTabelleberschrift"/>
                <w:rFonts w:ascii="Times New Roman" w:hAnsi="Times New Roman"/>
                <w:sz w:val="24"/>
              </w:rPr>
              <w:t>(-) Déductions supplémentaires de fonds propres AT1 en vertu de l’article 3 du CRR</w:t>
            </w:r>
          </w:p>
          <w:p w:rsidR="005643EA" w:rsidRPr="007E39E6" w:rsidRDefault="00A86EB4"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 3 du CRR</w:t>
            </w:r>
          </w:p>
        </w:tc>
      </w:tr>
      <w:tr w:rsidR="00A86EB4" w:rsidRPr="00392FFD" w:rsidTr="000903FA">
        <w:tc>
          <w:tcPr>
            <w:tcW w:w="1129" w:type="dxa"/>
          </w:tcPr>
          <w:p w:rsidR="00A86EB4" w:rsidRPr="00392FFD" w:rsidRDefault="008F5BFE"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748</w:t>
            </w:r>
          </w:p>
        </w:tc>
        <w:tc>
          <w:tcPr>
            <w:tcW w:w="7620" w:type="dxa"/>
          </w:tcPr>
          <w:p w:rsidR="005643EA" w:rsidRPr="007E39E6" w:rsidRDefault="008F5BFE"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sz w:val="24"/>
              </w:rPr>
              <w:t>1.1.2.12</w:t>
            </w:r>
            <w:r>
              <w:tab/>
            </w:r>
            <w:r>
              <w:rPr>
                <w:rStyle w:val="InstructionsTabelleberschrift"/>
                <w:rFonts w:ascii="Times New Roman" w:hAnsi="Times New Roman"/>
                <w:sz w:val="24"/>
              </w:rPr>
              <w:t>Éléments de fonds propres AT1 ou déductions - autres</w:t>
            </w:r>
          </w:p>
          <w:p w:rsidR="005643EA" w:rsidRPr="00392FFD" w:rsidRDefault="00A86EB4"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Cette ligne est destinée à permettre une certaine flexibilité uniquement à des fins de déclaration. Elle ne sera remplie que dans les rares cas où aucune d</w:t>
            </w:r>
            <w:r>
              <w:rPr>
                <w:rStyle w:val="InstructionsTabelleberschrift"/>
                <w:rFonts w:ascii="Times New Roman" w:hAnsi="Times New Roman"/>
                <w:b w:val="0"/>
                <w:sz w:val="24"/>
                <w:u w:val="none"/>
              </w:rPr>
              <w:t>é</w:t>
            </w:r>
            <w:r>
              <w:rPr>
                <w:rStyle w:val="InstructionsTabelleberschrift"/>
                <w:rFonts w:ascii="Times New Roman" w:hAnsi="Times New Roman"/>
                <w:b w:val="0"/>
                <w:sz w:val="24"/>
                <w:u w:val="none"/>
              </w:rPr>
              <w:t>cision finale n’a été prise pour la déclaration d’éléments/de déductions sp</w:t>
            </w:r>
            <w:r>
              <w:rPr>
                <w:rStyle w:val="InstructionsTabelleberschrift"/>
                <w:rFonts w:ascii="Times New Roman" w:hAnsi="Times New Roman"/>
                <w:b w:val="0"/>
                <w:sz w:val="24"/>
                <w:u w:val="none"/>
              </w:rPr>
              <w:t>é</w:t>
            </w:r>
            <w:r>
              <w:rPr>
                <w:rStyle w:val="InstructionsTabelleberschrift"/>
                <w:rFonts w:ascii="Times New Roman" w:hAnsi="Times New Roman"/>
                <w:b w:val="0"/>
                <w:sz w:val="24"/>
                <w:u w:val="none"/>
              </w:rPr>
              <w:t xml:space="preserve">cifiques de fonds propres dans le modèle CA1 actuel. En conséquence, cette ligne ne sera remplie que lorsqu’un élément ou une déduction de fonds propres additionnels de catégorie 1 ne peut être imputé dans une des lignes 530 à 744. </w:t>
            </w:r>
          </w:p>
          <w:p w:rsidR="005643EA" w:rsidRPr="007E39E6" w:rsidRDefault="00A86EB4"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Cette cellule n'est pas utilisée pour le calcul des ratios de solvabilité des éléments/des déductions de fonds propres qui ne sont pas couverts par le CRR (par ex. attribution d'éléments/déductions de fonds propres nationaux hors du périmètre du CRR).</w:t>
            </w:r>
          </w:p>
        </w:tc>
      </w:tr>
      <w:tr w:rsidR="00A86EB4" w:rsidRPr="00392FFD" w:rsidTr="000903FA">
        <w:tc>
          <w:tcPr>
            <w:tcW w:w="1129" w:type="dxa"/>
          </w:tcPr>
          <w:p w:rsidR="00A86EB4"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750</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1.2</w:t>
            </w:r>
            <w:r>
              <w:tab/>
            </w:r>
            <w:r>
              <w:rPr>
                <w:rStyle w:val="InstructionsTabelleberschrift"/>
                <w:rFonts w:ascii="Times New Roman" w:hAnsi="Times New Roman"/>
                <w:sz w:val="24"/>
              </w:rPr>
              <w:t>FONDS PROPRES DE CATÉGORIE 2 (T2)</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71 du CRR</w:t>
            </w:r>
          </w:p>
        </w:tc>
      </w:tr>
      <w:tr w:rsidR="00A86EB4" w:rsidRPr="00392FFD" w:rsidTr="000903FA">
        <w:tc>
          <w:tcPr>
            <w:tcW w:w="1129" w:type="dxa"/>
          </w:tcPr>
          <w:p w:rsidR="00A86EB4"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760</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1.2.1</w:t>
            </w:r>
            <w:r>
              <w:tab/>
            </w:r>
            <w:r>
              <w:rPr>
                <w:rStyle w:val="InstructionsTabelleberschrift"/>
                <w:rFonts w:ascii="Times New Roman" w:hAnsi="Times New Roman"/>
                <w:sz w:val="24"/>
              </w:rPr>
              <w:t>Instruments de capital et emprunts subordonnés éligibles en tant que fonds propres T2</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62, point a), articles 63 à 65, article 66, point a), et article 67 du CRR</w:t>
            </w:r>
          </w:p>
        </w:tc>
      </w:tr>
      <w:tr w:rsidR="00A86EB4" w:rsidRPr="00392FFD" w:rsidTr="000903FA">
        <w:tc>
          <w:tcPr>
            <w:tcW w:w="1129" w:type="dxa"/>
          </w:tcPr>
          <w:p w:rsidR="00A86EB4"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770</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1.2.1.1</w:t>
            </w:r>
            <w:r>
              <w:tab/>
            </w:r>
            <w:r>
              <w:rPr>
                <w:rStyle w:val="InstructionsTabelleberschrift"/>
                <w:rFonts w:ascii="Times New Roman" w:hAnsi="Times New Roman"/>
                <w:sz w:val="24"/>
              </w:rPr>
              <w:t>Instruments de capital versés</w:t>
            </w:r>
            <w:r>
              <w:t xml:space="preserve"> </w:t>
            </w:r>
            <w:r>
              <w:rPr>
                <w:rStyle w:val="InstructionsTabelleberschrift"/>
                <w:rFonts w:ascii="Times New Roman" w:hAnsi="Times New Roman"/>
                <w:sz w:val="24"/>
              </w:rPr>
              <w:t>et emprunts subordonnés</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62, point a), et articles 63 et 65 du CRR</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Le montant à déclarer n’intègre pas la prime d’émission liée à ces instr</w:t>
            </w:r>
            <w:r>
              <w:rPr>
                <w:rStyle w:val="FormatvorlageInstructionsTabelleText"/>
                <w:rFonts w:ascii="Times New Roman" w:hAnsi="Times New Roman"/>
                <w:sz w:val="24"/>
              </w:rPr>
              <w:t>u</w:t>
            </w:r>
            <w:r>
              <w:rPr>
                <w:rStyle w:val="FormatvorlageInstructionsTabelleText"/>
                <w:rFonts w:ascii="Times New Roman" w:hAnsi="Times New Roman"/>
                <w:sz w:val="24"/>
              </w:rPr>
              <w:t>ments.</w:t>
            </w:r>
          </w:p>
        </w:tc>
      </w:tr>
      <w:tr w:rsidR="00A86EB4" w:rsidRPr="00392FFD" w:rsidTr="000903FA">
        <w:tc>
          <w:tcPr>
            <w:tcW w:w="1129" w:type="dxa"/>
          </w:tcPr>
          <w:p w:rsidR="00A86EB4"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780</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1.2.1.2 (*)</w:t>
            </w:r>
            <w:r>
              <w:tab/>
            </w:r>
            <w:r>
              <w:rPr>
                <w:rStyle w:val="InstructionsTabelleberschrift"/>
                <w:rFonts w:ascii="Times New Roman" w:hAnsi="Times New Roman"/>
                <w:sz w:val="24"/>
              </w:rPr>
              <w:t>Pour mémoire: Instruments de capital</w:t>
            </w:r>
            <w:r>
              <w:t xml:space="preserve"> </w:t>
            </w:r>
            <w:r>
              <w:rPr>
                <w:rStyle w:val="InstructionsTabelleberschrift"/>
                <w:rFonts w:ascii="Times New Roman" w:hAnsi="Times New Roman"/>
                <w:sz w:val="24"/>
              </w:rPr>
              <w:t>et emprunts s</w:t>
            </w:r>
            <w:r>
              <w:rPr>
                <w:rStyle w:val="InstructionsTabelleberschrift"/>
                <w:rFonts w:ascii="Times New Roman" w:hAnsi="Times New Roman"/>
                <w:sz w:val="24"/>
              </w:rPr>
              <w:t>u</w:t>
            </w:r>
            <w:r>
              <w:rPr>
                <w:rStyle w:val="InstructionsTabelleberschrift"/>
                <w:rFonts w:ascii="Times New Roman" w:hAnsi="Times New Roman"/>
                <w:sz w:val="24"/>
              </w:rPr>
              <w:t>bordonnés non éligibles</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63, points c), e) et f), et article 64 du CRR</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Dans ces points, les conditions traduisent diverses situations réversibles pour le capital. Dès lors, le montant déclaré ici peut être éligible au cours des p</w:t>
            </w:r>
            <w:r>
              <w:rPr>
                <w:rStyle w:val="FormatvorlageInstructionsTabelleText"/>
                <w:rFonts w:ascii="Times New Roman" w:hAnsi="Times New Roman"/>
                <w:sz w:val="24"/>
              </w:rPr>
              <w:t>é</w:t>
            </w:r>
            <w:r>
              <w:rPr>
                <w:rStyle w:val="FormatvorlageInstructionsTabelleText"/>
                <w:rFonts w:ascii="Times New Roman" w:hAnsi="Times New Roman"/>
                <w:sz w:val="24"/>
              </w:rPr>
              <w:t>riodes suivantes.</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n’intègre pas la prime d’émission liée à ces instr</w:t>
            </w:r>
            <w:r>
              <w:rPr>
                <w:rStyle w:val="FormatvorlageInstructionsTabelleText"/>
                <w:rFonts w:ascii="Times New Roman" w:hAnsi="Times New Roman"/>
                <w:sz w:val="24"/>
              </w:rPr>
              <w:t>u</w:t>
            </w:r>
            <w:r>
              <w:rPr>
                <w:rStyle w:val="FormatvorlageInstructionsTabelleText"/>
                <w:rFonts w:ascii="Times New Roman" w:hAnsi="Times New Roman"/>
                <w:sz w:val="24"/>
              </w:rPr>
              <w:t>ments.</w:t>
            </w:r>
          </w:p>
        </w:tc>
      </w:tr>
      <w:tr w:rsidR="00A86EB4" w:rsidRPr="00392FFD" w:rsidTr="000903FA">
        <w:tc>
          <w:tcPr>
            <w:tcW w:w="1129" w:type="dxa"/>
          </w:tcPr>
          <w:p w:rsidR="00A86EB4"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790</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1.2.1.3</w:t>
            </w:r>
            <w:r>
              <w:tab/>
            </w:r>
            <w:r>
              <w:rPr>
                <w:rStyle w:val="InstructionsTabelleberschrift"/>
                <w:rFonts w:ascii="Times New Roman" w:hAnsi="Times New Roman"/>
                <w:sz w:val="24"/>
              </w:rPr>
              <w:t>Prime d'émission</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62, point b), et article 65 du CRR</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 xml:space="preserve">Le terme «prime d’émission» a la même signification que celle utilisée par la norme comptable applicable. </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à ce poste est la part liée aux «Instruments de capital versés».</w:t>
            </w:r>
          </w:p>
        </w:tc>
      </w:tr>
      <w:tr w:rsidR="00A86EB4" w:rsidRPr="00392FFD" w:rsidTr="000903FA">
        <w:tc>
          <w:tcPr>
            <w:tcW w:w="1129" w:type="dxa"/>
          </w:tcPr>
          <w:p w:rsidR="00A86EB4"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800</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1.2.1.4</w:t>
            </w:r>
            <w:r>
              <w:tab/>
            </w:r>
            <w:r>
              <w:rPr>
                <w:rStyle w:val="InstructionsTabelleberschrift"/>
                <w:rFonts w:ascii="Times New Roman" w:hAnsi="Times New Roman"/>
                <w:sz w:val="24"/>
              </w:rPr>
              <w:t>(-) Propres instruments T2</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63, point b) i), article 66, point a), et article 67 du CRR</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Propres instruments de fonds propres de catégorie 2 détenus par l’établissement ou le groupe déclarant à la date de déclaration. Poste soumis aux exceptions de l’article 67 du CRR.</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La détention d’actions intégrées aux «Instruments de capital non éligibles» ne figurera pas dans cette ligne.</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intègre la prime d’émission liée aux actions propres.</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 xml:space="preserve">Les points 1.2.1.4 à 1.2.1.4.3 ne comprennent pas les propres instruments de fonds propres de catégorie 2 que l’établissement a l’obligation réelle ou éventuelle d’acquérir. Ces instruments de fonds propres de base de catégorie 2 que l'établissement a l'obligation réelle ou éventuelle d'acquérir </w:t>
            </w:r>
            <w:r>
              <w:rPr>
                <w:rStyle w:val="FormatvorlageInstructionsTabelleText"/>
                <w:rFonts w:ascii="Times New Roman" w:hAnsi="Times New Roman"/>
                <w:sz w:val="24"/>
              </w:rPr>
              <w:br/>
              <w:t>seront déclarés séparément au point 1.2.1.5.</w:t>
            </w:r>
          </w:p>
        </w:tc>
      </w:tr>
      <w:tr w:rsidR="00A86EB4" w:rsidRPr="00392FFD" w:rsidTr="000903FA">
        <w:tc>
          <w:tcPr>
            <w:tcW w:w="1129" w:type="dxa"/>
          </w:tcPr>
          <w:p w:rsidR="00A86EB4"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810</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1.2.1.4.1</w:t>
            </w:r>
            <w:r>
              <w:tab/>
            </w:r>
            <w:r>
              <w:rPr>
                <w:rStyle w:val="InstructionsTabelleberschrift"/>
                <w:rFonts w:ascii="Times New Roman" w:hAnsi="Times New Roman"/>
                <w:sz w:val="24"/>
              </w:rPr>
              <w:t>(-) Détentions directes d'instruments T2</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63, point b), article 66, point a), et article 67 du CRR</w:t>
            </w:r>
          </w:p>
          <w:p w:rsidR="005643EA" w:rsidRPr="007E39E6"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 xml:space="preserve">Instruments de fonds propres de catégorie 2 inclus au point 1.2.1.1, détenus par les établissements du groupe consolidé. </w:t>
            </w:r>
          </w:p>
        </w:tc>
      </w:tr>
      <w:tr w:rsidR="00A86EB4" w:rsidRPr="00392FFD" w:rsidTr="000903FA">
        <w:tc>
          <w:tcPr>
            <w:tcW w:w="1129" w:type="dxa"/>
          </w:tcPr>
          <w:p w:rsidR="00A86EB4"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840</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1.2.1.4.2</w:t>
            </w:r>
            <w:r>
              <w:tab/>
            </w:r>
            <w:r>
              <w:rPr>
                <w:rStyle w:val="InstructionsTabelleberschrift"/>
                <w:rFonts w:ascii="Times New Roman" w:hAnsi="Times New Roman"/>
                <w:sz w:val="24"/>
              </w:rPr>
              <w:t>(-) Détentions indirectes d'instruments T2</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114, article 63, point b), article 66, point a), et article 67 du CRR</w:t>
            </w:r>
          </w:p>
        </w:tc>
      </w:tr>
      <w:tr w:rsidR="00A86EB4" w:rsidRPr="00392FFD" w:rsidTr="000903FA">
        <w:tc>
          <w:tcPr>
            <w:tcW w:w="1129" w:type="dxa"/>
          </w:tcPr>
          <w:p w:rsidR="00A86EB4"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841</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1.2.1.4.3</w:t>
            </w:r>
            <w:r>
              <w:tab/>
            </w:r>
            <w:r>
              <w:rPr>
                <w:rStyle w:val="InstructionsTabelleberschrift"/>
                <w:rFonts w:ascii="Times New Roman" w:hAnsi="Times New Roman"/>
                <w:sz w:val="24"/>
              </w:rPr>
              <w:t>(-) Détentions synthétiques d'instruments T2</w:t>
            </w:r>
          </w:p>
          <w:p w:rsidR="005643EA" w:rsidRPr="007E39E6" w:rsidRDefault="00805255" w:rsidP="00622B37">
            <w:pPr>
              <w:pStyle w:val="InstructionsText"/>
              <w:rPr>
                <w:rStyle w:val="InstructionsTabelleberschrift"/>
                <w:rFonts w:ascii="Times New Roman" w:hAnsi="Times New Roman"/>
                <w:b w:val="0"/>
                <w:sz w:val="24"/>
                <w:u w:val="none"/>
              </w:rPr>
            </w:pPr>
            <w:r>
              <w:rPr>
                <w:rStyle w:val="FormatvorlageInstructionsTabelleText"/>
                <w:rFonts w:ascii="Times New Roman" w:hAnsi="Times New Roman"/>
                <w:sz w:val="24"/>
              </w:rPr>
              <w:t>Article 4, paragraphe 1, point 126, article 63, point b), article 66, point a), et article 67 du CRR</w:t>
            </w:r>
          </w:p>
        </w:tc>
      </w:tr>
      <w:tr w:rsidR="00A86EB4" w:rsidRPr="00392FFD" w:rsidTr="000903FA">
        <w:tc>
          <w:tcPr>
            <w:tcW w:w="1129" w:type="dxa"/>
          </w:tcPr>
          <w:p w:rsidR="00A86EB4"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842</w:t>
            </w:r>
          </w:p>
          <w:p w:rsidR="005643EA" w:rsidRPr="00392FFD" w:rsidRDefault="005643EA" w:rsidP="00622B37">
            <w:pPr>
              <w:pStyle w:val="InstructionsText"/>
              <w:rPr>
                <w:rStyle w:val="FormatvorlageInstructionsTabelleText"/>
                <w:rFonts w:ascii="Times New Roman" w:hAnsi="Times New Roman"/>
                <w:sz w:val="24"/>
              </w:rPr>
            </w:pPr>
          </w:p>
        </w:tc>
        <w:tc>
          <w:tcPr>
            <w:tcW w:w="7620" w:type="dxa"/>
          </w:tcPr>
          <w:p w:rsidR="005643EA" w:rsidRPr="00392FFD" w:rsidRDefault="00A86EB4" w:rsidP="00622B37">
            <w:pPr>
              <w:pStyle w:val="InstructionsText"/>
              <w:rPr>
                <w:rStyle w:val="InstructionsTabelleberschrift"/>
                <w:rFonts w:ascii="Times New Roman" w:hAnsi="Times New Roman"/>
                <w:b w:val="0"/>
                <w:sz w:val="24"/>
              </w:rPr>
            </w:pPr>
            <w:r>
              <w:rPr>
                <w:rStyle w:val="InstructionsTabelleberschrift"/>
                <w:rFonts w:ascii="Times New Roman" w:hAnsi="Times New Roman"/>
                <w:sz w:val="24"/>
              </w:rPr>
              <w:lastRenderedPageBreak/>
              <w:t>1.2.1.5</w:t>
            </w:r>
            <w:r>
              <w:tab/>
            </w:r>
            <w:r>
              <w:rPr>
                <w:rStyle w:val="InstructionsTabelleberschrift"/>
                <w:rFonts w:ascii="Times New Roman" w:hAnsi="Times New Roman"/>
                <w:sz w:val="24"/>
              </w:rPr>
              <w:t>(–) Obligations réelles ou éventuelles d'acquérir ses propres in</w:t>
            </w:r>
            <w:r>
              <w:rPr>
                <w:rStyle w:val="InstructionsTabelleberschrift"/>
                <w:rFonts w:ascii="Times New Roman" w:hAnsi="Times New Roman"/>
                <w:sz w:val="24"/>
              </w:rPr>
              <w:t>s</w:t>
            </w:r>
            <w:r>
              <w:rPr>
                <w:rStyle w:val="InstructionsTabelleberschrift"/>
                <w:rFonts w:ascii="Times New Roman" w:hAnsi="Times New Roman"/>
                <w:sz w:val="24"/>
              </w:rPr>
              <w:lastRenderedPageBreak/>
              <w:t>truments T2</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66, point a), et article 67 du CRR</w:t>
            </w:r>
          </w:p>
          <w:p w:rsidR="005643EA" w:rsidRPr="007E39E6" w:rsidRDefault="00A86EB4" w:rsidP="00622B37">
            <w:pPr>
              <w:pStyle w:val="InstructionsText"/>
              <w:rPr>
                <w:rStyle w:val="InstructionsTabelleberschrift"/>
                <w:rFonts w:ascii="Times New Roman" w:hAnsi="Times New Roman"/>
                <w:b w:val="0"/>
                <w:bCs w:val="0"/>
                <w:sz w:val="24"/>
                <w:u w:val="none"/>
              </w:rPr>
            </w:pPr>
            <w:r>
              <w:rPr>
                <w:rStyle w:val="InstructionsTabelleberschrift"/>
                <w:rFonts w:ascii="Times New Roman" w:hAnsi="Times New Roman"/>
                <w:b w:val="0"/>
                <w:sz w:val="24"/>
                <w:u w:val="none"/>
              </w:rPr>
              <w:t>Conformément à l'article 66, point a), du CRR, «</w:t>
            </w:r>
            <w:r>
              <w:t>les propres instruments de fonds propres de catégorie 2 que l'établissement est susceptible de devoir acheter en vertu d'une obligation contractuelle existante» seront déduits.</w:t>
            </w:r>
          </w:p>
        </w:tc>
      </w:tr>
      <w:tr w:rsidR="00A86EB4" w:rsidRPr="00392FFD" w:rsidTr="000903FA">
        <w:tc>
          <w:tcPr>
            <w:tcW w:w="1129" w:type="dxa"/>
          </w:tcPr>
          <w:p w:rsidR="00A86EB4"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880</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1.2.2</w:t>
            </w:r>
            <w:r>
              <w:tab/>
            </w:r>
            <w:r>
              <w:rPr>
                <w:rStyle w:val="InstructionsTabelleberschrift"/>
                <w:rFonts w:ascii="Times New Roman" w:hAnsi="Times New Roman"/>
                <w:sz w:val="24"/>
              </w:rPr>
              <w:t>Ajustements transitoires relatifs aux instruments de capital T2 et emprunts subordonnés bénéficiant d'une clause d'antériorité</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483, paragraphes 6 et 7, et articles 484, 486, 488, 490 et 491 du CRR</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Montant des instruments de capital restant à titre transitoire éligibles en tant que fonds propres de catégorie 2 en vertu d’une clause d’antériorité. Le montant à déclarer provient directement du modèle CA5.</w:t>
            </w:r>
          </w:p>
        </w:tc>
      </w:tr>
      <w:tr w:rsidR="00A86EB4" w:rsidRPr="00392FFD" w:rsidTr="000903FA">
        <w:tc>
          <w:tcPr>
            <w:tcW w:w="1129" w:type="dxa"/>
          </w:tcPr>
          <w:p w:rsidR="00A86EB4"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890</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1.2.3</w:t>
            </w:r>
            <w:r>
              <w:tab/>
            </w:r>
            <w:r>
              <w:rPr>
                <w:rStyle w:val="InstructionsTabelleberschrift"/>
                <w:rFonts w:ascii="Times New Roman" w:hAnsi="Times New Roman"/>
                <w:sz w:val="24"/>
              </w:rPr>
              <w:t>Instruments émis par des filiales pris en compte dans les fonds propres T2</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Articles 83, 87 et 88 du CRR</w:t>
            </w:r>
          </w:p>
          <w:p w:rsidR="00477CB6"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Somme de tous les fonds propres reconnaissables de filiales qui sont inclus dans les fonds propres de catégorie 2 consolidés.</w:t>
            </w:r>
          </w:p>
          <w:p w:rsidR="00543DBD" w:rsidRPr="00392FFD" w:rsidRDefault="00543DBD"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Les fonds propres de catégorie 2 reconnaissables émis par une entité ad hoc (article 83 du CRR) sont inclus.</w:t>
            </w:r>
          </w:p>
        </w:tc>
      </w:tr>
      <w:tr w:rsidR="00A86EB4" w:rsidRPr="00392FFD" w:rsidTr="000903FA">
        <w:tc>
          <w:tcPr>
            <w:tcW w:w="1129" w:type="dxa"/>
          </w:tcPr>
          <w:p w:rsidR="00A86EB4"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900</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1.2.4</w:t>
            </w:r>
            <w:r>
              <w:tab/>
            </w:r>
            <w:r>
              <w:rPr>
                <w:rStyle w:val="InstructionsTabelleberschrift"/>
                <w:rFonts w:ascii="Times New Roman" w:hAnsi="Times New Roman"/>
                <w:sz w:val="24"/>
              </w:rPr>
              <w:t>Ajustements transitoires découlant de la prise en compte d'in</w:t>
            </w:r>
            <w:r>
              <w:rPr>
                <w:rStyle w:val="InstructionsTabelleberschrift"/>
                <w:rFonts w:ascii="Times New Roman" w:hAnsi="Times New Roman"/>
                <w:sz w:val="24"/>
              </w:rPr>
              <w:t>s</w:t>
            </w:r>
            <w:r>
              <w:rPr>
                <w:rStyle w:val="InstructionsTabelleberschrift"/>
                <w:rFonts w:ascii="Times New Roman" w:hAnsi="Times New Roman"/>
                <w:sz w:val="24"/>
              </w:rPr>
              <w:t>truments émis par des filiales dans les fonds propres T2</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480 du CRR</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Ajustement des fonds propres reconnaissables inclus dans les fonds propres de catégorie 2 consolidés en raison de dispositions transitoires. Cet élément est directement issu du modèle CA5.</w:t>
            </w:r>
          </w:p>
        </w:tc>
      </w:tr>
      <w:tr w:rsidR="00A86EB4" w:rsidRPr="00392FFD" w:rsidTr="000903FA">
        <w:tc>
          <w:tcPr>
            <w:tcW w:w="1129" w:type="dxa"/>
          </w:tcPr>
          <w:p w:rsidR="00A86EB4"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910</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1.2.5</w:t>
            </w:r>
            <w:r>
              <w:tab/>
            </w:r>
            <w:r>
              <w:rPr>
                <w:rStyle w:val="InstructionsTabelleberschrift"/>
                <w:rFonts w:ascii="Times New Roman" w:hAnsi="Times New Roman"/>
                <w:sz w:val="24"/>
              </w:rPr>
              <w:t>Excès de provisions par rapport aux pertes anticipées éligible s</w:t>
            </w:r>
            <w:r>
              <w:rPr>
                <w:rStyle w:val="InstructionsTabelleberschrift"/>
                <w:rFonts w:ascii="Times New Roman" w:hAnsi="Times New Roman"/>
                <w:sz w:val="24"/>
              </w:rPr>
              <w:t>e</w:t>
            </w:r>
            <w:r>
              <w:rPr>
                <w:rStyle w:val="InstructionsTabelleberschrift"/>
                <w:rFonts w:ascii="Times New Roman" w:hAnsi="Times New Roman"/>
                <w:sz w:val="24"/>
              </w:rPr>
              <w:t>lon l'approche NI</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62, point d), du CRR</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Pour les établissements qui calculent les montants d’exposition pondérés conformément à l’approche NI, ce poste contient les montants positifs résu</w:t>
            </w:r>
            <w:r>
              <w:rPr>
                <w:rStyle w:val="FormatvorlageInstructionsTabelleText"/>
                <w:rFonts w:ascii="Times New Roman" w:hAnsi="Times New Roman"/>
                <w:sz w:val="24"/>
              </w:rPr>
              <w:t>l</w:t>
            </w:r>
            <w:r>
              <w:rPr>
                <w:rStyle w:val="FormatvorlageInstructionsTabelleText"/>
                <w:rFonts w:ascii="Times New Roman" w:hAnsi="Times New Roman"/>
                <w:sz w:val="24"/>
              </w:rPr>
              <w:t>tant de la comparaison entre les provisions et les pertes anticipées éligibles en tant que fonds propres de catégorie 2.</w:t>
            </w:r>
          </w:p>
        </w:tc>
      </w:tr>
      <w:tr w:rsidR="00A86EB4" w:rsidRPr="00392FFD" w:rsidTr="000903FA">
        <w:tc>
          <w:tcPr>
            <w:tcW w:w="1129" w:type="dxa"/>
          </w:tcPr>
          <w:p w:rsidR="00A86EB4"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920</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1.2.6</w:t>
            </w:r>
            <w:r>
              <w:tab/>
            </w:r>
            <w:r>
              <w:rPr>
                <w:rStyle w:val="InstructionsTabelleberschrift"/>
                <w:rFonts w:ascii="Times New Roman" w:hAnsi="Times New Roman"/>
                <w:sz w:val="24"/>
              </w:rPr>
              <w:t>Ajustements pour risque de crédit général selon l'approche sta</w:t>
            </w:r>
            <w:r>
              <w:rPr>
                <w:rStyle w:val="InstructionsTabelleberschrift"/>
                <w:rFonts w:ascii="Times New Roman" w:hAnsi="Times New Roman"/>
                <w:sz w:val="24"/>
              </w:rPr>
              <w:t>n</w:t>
            </w:r>
            <w:r>
              <w:rPr>
                <w:rStyle w:val="InstructionsTabelleberschrift"/>
                <w:rFonts w:ascii="Times New Roman" w:hAnsi="Times New Roman"/>
                <w:sz w:val="24"/>
              </w:rPr>
              <w:t>dard (SA)</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62, point c), du CRR</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Pour les établissements qui calculent les montants d’exposition pondérés conformément à l’approche standard, ce poste contient les ajustements pour risque de crédit général éligibles en tant que fonds propres de catégorie 2.</w:t>
            </w:r>
          </w:p>
        </w:tc>
      </w:tr>
      <w:tr w:rsidR="00A86EB4" w:rsidRPr="00392FFD" w:rsidTr="000903FA">
        <w:tc>
          <w:tcPr>
            <w:tcW w:w="1129" w:type="dxa"/>
          </w:tcPr>
          <w:p w:rsidR="00A86EB4"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930</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1.2.7</w:t>
            </w:r>
            <w:r>
              <w:tab/>
            </w:r>
            <w:r>
              <w:rPr>
                <w:rStyle w:val="InstructionsTabelleberschrift"/>
                <w:rFonts w:ascii="Times New Roman" w:hAnsi="Times New Roman"/>
                <w:sz w:val="24"/>
              </w:rPr>
              <w:t>(-) Détentions croisées de fonds propres T2</w:t>
            </w:r>
          </w:p>
          <w:p w:rsidR="005643EA" w:rsidRPr="00392FFD" w:rsidRDefault="00805255"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122, article 66, point b), et article 68 du CRR</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 xml:space="preserve">Détention d’instruments de fonds propres de catégorie 2 d’entités du secteur financier (telles que définies à l’article 4, paragraphe 1, point 27, du CRR) </w:t>
            </w:r>
            <w:r>
              <w:rPr>
                <w:rStyle w:val="FormatvorlageInstructionsTabelleText"/>
                <w:rFonts w:ascii="Times New Roman" w:hAnsi="Times New Roman"/>
                <w:sz w:val="24"/>
              </w:rPr>
              <w:lastRenderedPageBreak/>
              <w:t>lorsqu’il existe une détention croisée que l’autorité compétente juge destinée à accroître artificiellement les fonds propres de l’établissement.</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 montant à déclarer sera calculé sur la base des positions longues brutes et intègrera les éléments de fonds propres de catégories 2 et 3 d’entités relevant du secteur de l’assurance.</w:t>
            </w:r>
          </w:p>
        </w:tc>
      </w:tr>
      <w:tr w:rsidR="00A86EB4" w:rsidRPr="00392FFD" w:rsidTr="000903FA">
        <w:tc>
          <w:tcPr>
            <w:tcW w:w="1129" w:type="dxa"/>
          </w:tcPr>
          <w:p w:rsidR="00A86EB4"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940</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1.2.8</w:t>
            </w:r>
            <w:r>
              <w:tab/>
            </w:r>
            <w:r>
              <w:rPr>
                <w:rStyle w:val="InstructionsTabelleberschrift"/>
                <w:rFonts w:ascii="Times New Roman" w:hAnsi="Times New Roman"/>
                <w:sz w:val="24"/>
              </w:rPr>
              <w:t>(-) Instruments T2 d’entités du secteur financier dans lesquelles l’établissement ne détient pas d’investissement important</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27, article 66, point c), articles 68 à 70 et a</w:t>
            </w:r>
            <w:r>
              <w:rPr>
                <w:rStyle w:val="FormatvorlageInstructionsTabelleText"/>
                <w:rFonts w:ascii="Times New Roman" w:hAnsi="Times New Roman"/>
                <w:sz w:val="24"/>
              </w:rPr>
              <w:t>r</w:t>
            </w:r>
            <w:r>
              <w:rPr>
                <w:rStyle w:val="FormatvorlageInstructionsTabelleText"/>
                <w:rFonts w:ascii="Times New Roman" w:hAnsi="Times New Roman"/>
                <w:sz w:val="24"/>
              </w:rPr>
              <w:t>ticle 79 du CRR</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Part des détentions détenues par l’établissement dans des instruments d’entités du secteur financier (telles que définies à l’article 4, paragraphe 1, point 27, du CRR) dans lesquelles il ne détient pas d’investissement impo</w:t>
            </w:r>
            <w:r>
              <w:rPr>
                <w:rStyle w:val="FormatvorlageInstructionsTabelleText"/>
                <w:rFonts w:ascii="Times New Roman" w:hAnsi="Times New Roman"/>
                <w:sz w:val="24"/>
              </w:rPr>
              <w:t>r</w:t>
            </w:r>
            <w:r>
              <w:rPr>
                <w:rStyle w:val="FormatvorlageInstructionsTabelleText"/>
                <w:rFonts w:ascii="Times New Roman" w:hAnsi="Times New Roman"/>
                <w:sz w:val="24"/>
              </w:rPr>
              <w:t>tant qui doit être déduite des fonds propres de catégorie 2.</w:t>
            </w:r>
          </w:p>
        </w:tc>
      </w:tr>
      <w:tr w:rsidR="00A86EB4" w:rsidRPr="00392FFD" w:rsidTr="000903FA">
        <w:tc>
          <w:tcPr>
            <w:tcW w:w="1129" w:type="dxa"/>
          </w:tcPr>
          <w:p w:rsidR="00A86EB4"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950</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1.2.9</w:t>
            </w:r>
            <w:r>
              <w:tab/>
            </w:r>
            <w:r>
              <w:rPr>
                <w:rStyle w:val="InstructionsTabelleberschrift"/>
                <w:rFonts w:ascii="Times New Roman" w:hAnsi="Times New Roman"/>
                <w:sz w:val="24"/>
              </w:rPr>
              <w:t>(-) Instruments T2 d'entités du secteur financier dans lesquelles l'établissement détient un investissement important</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4, paragraphe 1, point 27, article 66, point d), et articles 68, 69 et 79 du CRR</w:t>
            </w:r>
          </w:p>
          <w:p w:rsidR="005643EA" w:rsidRPr="00392FFD" w:rsidRDefault="009B511B"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Les détentions détenues par l’établissement dans des instruments de fonds propres de catégorie 2 d’entités du secteur financier (telles que définies à l’article 4, paragraphe 1, point 27, du CRR) dans lesquelles il détient un i</w:t>
            </w:r>
            <w:r>
              <w:rPr>
                <w:rStyle w:val="FormatvorlageInstructionsTabelleText"/>
                <w:rFonts w:ascii="Times New Roman" w:hAnsi="Times New Roman"/>
                <w:sz w:val="24"/>
              </w:rPr>
              <w:t>n</w:t>
            </w:r>
            <w:r>
              <w:rPr>
                <w:rStyle w:val="FormatvorlageInstructionsTabelleText"/>
                <w:rFonts w:ascii="Times New Roman" w:hAnsi="Times New Roman"/>
                <w:sz w:val="24"/>
              </w:rPr>
              <w:t>vestissement important seront intégralement déduites.</w:t>
            </w:r>
          </w:p>
        </w:tc>
      </w:tr>
      <w:tr w:rsidR="00A86EB4" w:rsidRPr="00392FFD" w:rsidTr="000903FA">
        <w:tc>
          <w:tcPr>
            <w:tcW w:w="1129" w:type="dxa"/>
          </w:tcPr>
          <w:p w:rsidR="00A86EB4"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960</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1.2.10</w:t>
            </w:r>
            <w:r>
              <w:tab/>
            </w:r>
            <w:r>
              <w:rPr>
                <w:rStyle w:val="InstructionsTabelleberschrift"/>
                <w:rFonts w:ascii="Times New Roman" w:hAnsi="Times New Roman"/>
                <w:sz w:val="24"/>
              </w:rPr>
              <w:t>Autres ajustements transitoires applicables aux fonds propres T2</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Articles 476 à 478 et article 481 du CRR</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Ajustements dus aux dispositions transitoires. Le montant à déclarer pr</w:t>
            </w:r>
            <w:r>
              <w:rPr>
                <w:rStyle w:val="FormatvorlageInstructionsTabelleText"/>
                <w:rFonts w:ascii="Times New Roman" w:hAnsi="Times New Roman"/>
                <w:sz w:val="24"/>
              </w:rPr>
              <w:t>o</w:t>
            </w:r>
            <w:r>
              <w:rPr>
                <w:rStyle w:val="FormatvorlageInstructionsTabelleText"/>
                <w:rFonts w:ascii="Times New Roman" w:hAnsi="Times New Roman"/>
                <w:sz w:val="24"/>
              </w:rPr>
              <w:t>vient directement du modèle CA5.</w:t>
            </w:r>
          </w:p>
        </w:tc>
      </w:tr>
      <w:tr w:rsidR="00A86EB4" w:rsidRPr="00392FFD" w:rsidTr="000903FA">
        <w:tc>
          <w:tcPr>
            <w:tcW w:w="1129" w:type="dxa"/>
          </w:tcPr>
          <w:p w:rsidR="00A86EB4"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970</w:t>
            </w:r>
          </w:p>
        </w:tc>
        <w:tc>
          <w:tcPr>
            <w:tcW w:w="7620" w:type="dxa"/>
          </w:tcPr>
          <w:p w:rsidR="005643EA" w:rsidRPr="007E39E6" w:rsidRDefault="00A86EB4"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1.2.11</w:t>
            </w:r>
            <w:r>
              <w:tab/>
            </w:r>
            <w:r>
              <w:rPr>
                <w:rStyle w:val="InstructionsTabelleberschrift"/>
                <w:rFonts w:ascii="Times New Roman" w:hAnsi="Times New Roman"/>
                <w:sz w:val="24"/>
              </w:rPr>
              <w:t>Excédent de déduction d'éléments T2 sur les fonds propres T2 (déduit des AT1)</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56, point e), du CRR</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Si les fonds propres de catégorie 2 ne peuvent être négatifs, il se peut tout</w:t>
            </w:r>
            <w:r>
              <w:rPr>
                <w:rStyle w:val="FormatvorlageInstructionsTabelleText"/>
                <w:rFonts w:ascii="Times New Roman" w:hAnsi="Times New Roman"/>
                <w:sz w:val="24"/>
              </w:rPr>
              <w:t>e</w:t>
            </w:r>
            <w:r>
              <w:rPr>
                <w:rStyle w:val="FormatvorlageInstructionsTabelleText"/>
                <w:rFonts w:ascii="Times New Roman" w:hAnsi="Times New Roman"/>
                <w:sz w:val="24"/>
              </w:rPr>
              <w:t>fois que les déductions de fonds propres de catégorie 2 soient plus cons</w:t>
            </w:r>
            <w:r>
              <w:rPr>
                <w:rStyle w:val="FormatvorlageInstructionsTabelleText"/>
                <w:rFonts w:ascii="Times New Roman" w:hAnsi="Times New Roman"/>
                <w:sz w:val="24"/>
              </w:rPr>
              <w:t>é</w:t>
            </w:r>
            <w:r>
              <w:rPr>
                <w:rStyle w:val="FormatvorlageInstructionsTabelleText"/>
                <w:rFonts w:ascii="Times New Roman" w:hAnsi="Times New Roman"/>
                <w:sz w:val="24"/>
              </w:rPr>
              <w:t>quentes que les fonds propres de catégorie 2 augmentés de la prime d’émission. Si tel est le cas, les fonds propres de catégorie 2 seront égaux à 0, tandis que le montant excédentaire des déductions de fonds propres de c</w:t>
            </w:r>
            <w:r>
              <w:rPr>
                <w:rStyle w:val="FormatvorlageInstructionsTabelleText"/>
                <w:rFonts w:ascii="Times New Roman" w:hAnsi="Times New Roman"/>
                <w:sz w:val="24"/>
              </w:rPr>
              <w:t>a</w:t>
            </w:r>
            <w:r>
              <w:rPr>
                <w:rStyle w:val="FormatvorlageInstructionsTabelleText"/>
                <w:rFonts w:ascii="Times New Roman" w:hAnsi="Times New Roman"/>
                <w:sz w:val="24"/>
              </w:rPr>
              <w:t>tégorie 2 sera déduit des fonds propres additionnels de catégorie 1.</w:t>
            </w:r>
          </w:p>
          <w:p w:rsidR="005643EA" w:rsidRPr="00392FFD" w:rsidRDefault="00A86EB4"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Pour ce poste, la somme des éléments 1.2.1 à 1.2.13 ne peut jamais être inf</w:t>
            </w:r>
            <w:r>
              <w:rPr>
                <w:rStyle w:val="FormatvorlageInstructionsTabelleText"/>
                <w:rFonts w:ascii="Times New Roman" w:hAnsi="Times New Roman"/>
                <w:sz w:val="24"/>
              </w:rPr>
              <w:t>é</w:t>
            </w:r>
            <w:r>
              <w:rPr>
                <w:rStyle w:val="FormatvorlageInstructionsTabelleText"/>
                <w:rFonts w:ascii="Times New Roman" w:hAnsi="Times New Roman"/>
                <w:sz w:val="24"/>
              </w:rPr>
              <w:t>rieure à 0. Dès lors, si ce poste affiche une valeur positive, la valeur indiquée au poste 1.1.2.8 sera l’inverse de ce chiffre.</w:t>
            </w:r>
          </w:p>
        </w:tc>
      </w:tr>
      <w:tr w:rsidR="00BD687C" w:rsidRPr="00392FFD" w:rsidTr="000903FA">
        <w:tc>
          <w:tcPr>
            <w:tcW w:w="1129" w:type="dxa"/>
          </w:tcPr>
          <w:p w:rsidR="00BD687C" w:rsidRPr="00392FFD" w:rsidDel="00BD687C" w:rsidRDefault="00BD687C"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974</w:t>
            </w:r>
          </w:p>
        </w:tc>
        <w:tc>
          <w:tcPr>
            <w:tcW w:w="7620" w:type="dxa"/>
          </w:tcPr>
          <w:p w:rsidR="005643EA" w:rsidRPr="00392FFD" w:rsidRDefault="00BD687C"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1.2.12</w:t>
            </w:r>
            <w:r>
              <w:tab/>
            </w:r>
            <w:r>
              <w:rPr>
                <w:rStyle w:val="InstructionsTabelleberschrift"/>
                <w:rFonts w:ascii="Times New Roman" w:hAnsi="Times New Roman"/>
                <w:sz w:val="24"/>
              </w:rPr>
              <w:t>(-) Déductions supplémentaires de fonds propres T2 en vertu de l’article 3 du CRR</w:t>
            </w:r>
          </w:p>
          <w:p w:rsidR="005643EA" w:rsidRPr="007E39E6" w:rsidRDefault="00BD687C"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 3 du CRR</w:t>
            </w:r>
          </w:p>
        </w:tc>
      </w:tr>
      <w:tr w:rsidR="00A86EB4" w:rsidRPr="00392FFD" w:rsidTr="000903FA">
        <w:tc>
          <w:tcPr>
            <w:tcW w:w="1129" w:type="dxa"/>
          </w:tcPr>
          <w:p w:rsidR="00A86EB4" w:rsidRPr="00392FFD" w:rsidRDefault="00BD687C"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978</w:t>
            </w:r>
          </w:p>
        </w:tc>
        <w:tc>
          <w:tcPr>
            <w:tcW w:w="7620" w:type="dxa"/>
          </w:tcPr>
          <w:p w:rsidR="005643EA" w:rsidRPr="007E39E6" w:rsidRDefault="00A86EB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1.2.13</w:t>
            </w:r>
            <w:r>
              <w:tab/>
            </w:r>
            <w:r>
              <w:rPr>
                <w:rStyle w:val="InstructionsTabelleberschrift"/>
                <w:rFonts w:ascii="Times New Roman" w:hAnsi="Times New Roman"/>
                <w:sz w:val="24"/>
              </w:rPr>
              <w:t xml:space="preserve">Éléments de fonds propres T2 ou déductions - autres </w:t>
            </w:r>
          </w:p>
          <w:p w:rsidR="005643EA" w:rsidRPr="00392FFD" w:rsidRDefault="00A86EB4"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 xml:space="preserve">Cette ligne est destinée à permettre une certaine flexibilité uniquement à des </w:t>
            </w:r>
            <w:r>
              <w:rPr>
                <w:rStyle w:val="InstructionsTabelleberschrift"/>
                <w:rFonts w:ascii="Times New Roman" w:hAnsi="Times New Roman"/>
                <w:b w:val="0"/>
                <w:sz w:val="24"/>
                <w:u w:val="none"/>
              </w:rPr>
              <w:lastRenderedPageBreak/>
              <w:t>fins de déclaration. Elle ne sera remplie que dans les rares cas où aucune d</w:t>
            </w:r>
            <w:r>
              <w:rPr>
                <w:rStyle w:val="InstructionsTabelleberschrift"/>
                <w:rFonts w:ascii="Times New Roman" w:hAnsi="Times New Roman"/>
                <w:b w:val="0"/>
                <w:sz w:val="24"/>
                <w:u w:val="none"/>
              </w:rPr>
              <w:t>é</w:t>
            </w:r>
            <w:r>
              <w:rPr>
                <w:rStyle w:val="InstructionsTabelleberschrift"/>
                <w:rFonts w:ascii="Times New Roman" w:hAnsi="Times New Roman"/>
                <w:b w:val="0"/>
                <w:sz w:val="24"/>
                <w:u w:val="none"/>
              </w:rPr>
              <w:t>cision finale n’a été prise pour la déclaration d’éléments/de déductions sp</w:t>
            </w:r>
            <w:r>
              <w:rPr>
                <w:rStyle w:val="InstructionsTabelleberschrift"/>
                <w:rFonts w:ascii="Times New Roman" w:hAnsi="Times New Roman"/>
                <w:b w:val="0"/>
                <w:sz w:val="24"/>
                <w:u w:val="none"/>
              </w:rPr>
              <w:t>é</w:t>
            </w:r>
            <w:r>
              <w:rPr>
                <w:rStyle w:val="InstructionsTabelleberschrift"/>
                <w:rFonts w:ascii="Times New Roman" w:hAnsi="Times New Roman"/>
                <w:b w:val="0"/>
                <w:sz w:val="24"/>
                <w:u w:val="none"/>
              </w:rPr>
              <w:t xml:space="preserve">cifiques de fonds propres dans le modèle CA1 actuel. En conséquence, cette ligne ne sera remplie que lorsqu’un élément ou une déduction de fonds propres de catégorie 2 ne peut être imputé dans une des lignes 750 à 974. </w:t>
            </w:r>
          </w:p>
          <w:p w:rsidR="005643EA" w:rsidRPr="007E39E6" w:rsidRDefault="00A86EB4"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Cette cellule n'est pas utilisée pour le calcul des ratios de solvabilité des éléments/des déductions de fonds propres qui ne sont pas couverts par le CRR (par ex. attribution d'éléments/déductions de fonds propres nationaux hors du périmètre du CRR).</w:t>
            </w:r>
          </w:p>
        </w:tc>
      </w:tr>
    </w:tbl>
    <w:p w:rsidR="005643EA" w:rsidRPr="00392FFD" w:rsidRDefault="005643EA" w:rsidP="00622B37">
      <w:pPr>
        <w:pStyle w:val="InstructionsText"/>
      </w:pPr>
    </w:p>
    <w:p w:rsidR="002648B0" w:rsidRPr="00392FFD" w:rsidRDefault="00125707" w:rsidP="0023700C">
      <w:pPr>
        <w:pStyle w:val="Instructionsberschrift2"/>
        <w:numPr>
          <w:ilvl w:val="0"/>
          <w:numId w:val="0"/>
        </w:numPr>
        <w:ind w:left="357" w:hanging="357"/>
        <w:rPr>
          <w:rFonts w:ascii="Times New Roman" w:hAnsi="Times New Roman" w:cs="Times New Roman"/>
          <w:sz w:val="24"/>
        </w:rPr>
      </w:pPr>
      <w:bookmarkStart w:id="41" w:name="_Toc473560875"/>
      <w:bookmarkStart w:id="42" w:name="_Toc308175823"/>
      <w:bookmarkStart w:id="43" w:name="_Toc360188327"/>
      <w:bookmarkStart w:id="44" w:name="_Toc496022270"/>
      <w:r>
        <w:rPr>
          <w:rFonts w:ascii="Times New Roman" w:hAnsi="Times New Roman"/>
          <w:sz w:val="24"/>
          <w:u w:val="none"/>
        </w:rPr>
        <w:t>1.3.</w:t>
      </w:r>
      <w:r>
        <w:tab/>
      </w:r>
      <w:r>
        <w:rPr>
          <w:rFonts w:ascii="Times New Roman" w:hAnsi="Times New Roman"/>
          <w:sz w:val="24"/>
        </w:rPr>
        <w:t>C 02.00 - EXIGENCES DE FONDS PROPRES (CA2)</w:t>
      </w:r>
      <w:bookmarkEnd w:id="41"/>
      <w:bookmarkEnd w:id="44"/>
      <w:r>
        <w:rPr>
          <w:rFonts w:ascii="Times New Roman" w:hAnsi="Times New Roman"/>
          <w:sz w:val="24"/>
        </w:rPr>
        <w:t xml:space="preserve"> </w:t>
      </w:r>
      <w:bookmarkEnd w:id="42"/>
      <w:bookmarkEnd w:id="43"/>
    </w:p>
    <w:p w:rsidR="002648B0" w:rsidRPr="00392FFD" w:rsidRDefault="00125707" w:rsidP="0023700C">
      <w:pPr>
        <w:pStyle w:val="Instructionsberschrift2"/>
        <w:numPr>
          <w:ilvl w:val="0"/>
          <w:numId w:val="0"/>
        </w:numPr>
        <w:ind w:left="357" w:hanging="357"/>
        <w:rPr>
          <w:rFonts w:ascii="Times New Roman" w:hAnsi="Times New Roman" w:cs="Times New Roman"/>
          <w:sz w:val="24"/>
        </w:rPr>
      </w:pPr>
      <w:bookmarkStart w:id="45" w:name="_Toc308175824"/>
      <w:bookmarkStart w:id="46" w:name="_Toc310414970"/>
      <w:bookmarkStart w:id="47" w:name="_Toc360188328"/>
      <w:bookmarkStart w:id="48" w:name="_Toc473560876"/>
      <w:bookmarkStart w:id="49" w:name="_Toc496022271"/>
      <w:r>
        <w:rPr>
          <w:rFonts w:ascii="Times New Roman" w:hAnsi="Times New Roman"/>
          <w:sz w:val="24"/>
          <w:u w:val="none"/>
        </w:rPr>
        <w:t>1.3.1.</w:t>
      </w:r>
      <w:r>
        <w:tab/>
      </w:r>
      <w:r>
        <w:rPr>
          <w:rFonts w:ascii="Times New Roman" w:hAnsi="Times New Roman"/>
          <w:sz w:val="24"/>
        </w:rPr>
        <w:t xml:space="preserve">Instructions concernant certaines </w:t>
      </w:r>
      <w:bookmarkEnd w:id="45"/>
      <w:bookmarkEnd w:id="46"/>
      <w:r>
        <w:rPr>
          <w:rFonts w:ascii="Times New Roman" w:hAnsi="Times New Roman"/>
          <w:sz w:val="24"/>
        </w:rPr>
        <w:t>positions</w:t>
      </w:r>
      <w:bookmarkEnd w:id="47"/>
      <w:bookmarkEnd w:id="48"/>
      <w:bookmarkEnd w:id="49"/>
    </w:p>
    <w:p w:rsidR="002648B0" w:rsidRPr="00392FFD" w:rsidRDefault="002648B0" w:rsidP="00D946DB">
      <w:pPr>
        <w:spacing w:after="0"/>
        <w:rPr>
          <w:rFonts w:ascii="Times New Roman" w:hAnsi="Times New Roman"/>
          <w:b/>
          <w:sz w:val="24"/>
        </w:rPr>
      </w:pPr>
    </w:p>
    <w:tbl>
      <w:tblPr>
        <w:tblW w:w="0" w:type="auto"/>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94"/>
        <w:gridCol w:w="7355"/>
      </w:tblGrid>
      <w:tr w:rsidR="002648B0" w:rsidRPr="00392FFD" w:rsidTr="000903FA">
        <w:tc>
          <w:tcPr>
            <w:tcW w:w="1394" w:type="dxa"/>
            <w:shd w:val="clear" w:color="auto" w:fill="D9D9D9"/>
          </w:tcPr>
          <w:p w:rsidR="002648B0" w:rsidRPr="00392FFD" w:rsidRDefault="002648B0" w:rsidP="00622B37">
            <w:pPr>
              <w:pStyle w:val="InstructionsText"/>
            </w:pPr>
            <w:r>
              <w:t>Ligne</w:t>
            </w:r>
          </w:p>
        </w:tc>
        <w:tc>
          <w:tcPr>
            <w:tcW w:w="7355" w:type="dxa"/>
            <w:shd w:val="clear" w:color="auto" w:fill="D9D9D9"/>
          </w:tcPr>
          <w:p w:rsidR="005643EA" w:rsidRPr="00392FFD" w:rsidRDefault="002648B0" w:rsidP="00622B37">
            <w:pPr>
              <w:pStyle w:val="InstructionsText"/>
            </w:pPr>
            <w:r>
              <w:t>Références légales et instructions</w:t>
            </w:r>
          </w:p>
        </w:tc>
      </w:tr>
      <w:tr w:rsidR="002648B0" w:rsidRPr="00392FFD" w:rsidTr="000903FA">
        <w:tc>
          <w:tcPr>
            <w:tcW w:w="1394" w:type="dxa"/>
          </w:tcPr>
          <w:p w:rsidR="002648B0" w:rsidRPr="00392FFD" w:rsidRDefault="002648B0" w:rsidP="00622B37">
            <w:pPr>
              <w:pStyle w:val="InstructionsText"/>
            </w:pPr>
            <w:r>
              <w:t>010</w:t>
            </w:r>
          </w:p>
        </w:tc>
        <w:tc>
          <w:tcPr>
            <w:tcW w:w="7355" w:type="dxa"/>
          </w:tcPr>
          <w:p w:rsidR="005643EA" w:rsidRPr="007E39E6" w:rsidRDefault="00C66473" w:rsidP="00622B37">
            <w:pPr>
              <w:pStyle w:val="InstructionsText"/>
            </w:pPr>
            <w:r>
              <w:rPr>
                <w:rStyle w:val="InstructionsTabelleberschrift"/>
                <w:rFonts w:ascii="Times New Roman" w:hAnsi="Times New Roman"/>
                <w:sz w:val="24"/>
              </w:rPr>
              <w:t>1.</w:t>
            </w:r>
            <w:r>
              <w:tab/>
            </w:r>
            <w:r>
              <w:rPr>
                <w:rStyle w:val="InstructionsTabelleberschrift"/>
                <w:rFonts w:ascii="Times New Roman" w:hAnsi="Times New Roman"/>
                <w:sz w:val="24"/>
              </w:rPr>
              <w:t>MONTANT TOTAL D'EXPOSITION AU RISQUE</w:t>
            </w:r>
          </w:p>
          <w:p w:rsidR="002648B0" w:rsidRPr="00392FFD" w:rsidRDefault="002648B0" w:rsidP="00622B37">
            <w:pPr>
              <w:pStyle w:val="InstructionsText"/>
            </w:pPr>
            <w:r>
              <w:t>Article 92, paragraphe 3, et articles 95, 96 et 98 du CRR</w:t>
            </w:r>
          </w:p>
        </w:tc>
      </w:tr>
      <w:tr w:rsidR="002648B0" w:rsidRPr="00392FFD" w:rsidTr="000903FA">
        <w:tc>
          <w:tcPr>
            <w:tcW w:w="1394" w:type="dxa"/>
          </w:tcPr>
          <w:p w:rsidR="002648B0" w:rsidRPr="00392FFD" w:rsidRDefault="002648B0" w:rsidP="00622B37">
            <w:pPr>
              <w:pStyle w:val="InstructionsText"/>
            </w:pPr>
            <w:r>
              <w:t>020</w:t>
            </w:r>
          </w:p>
        </w:tc>
        <w:tc>
          <w:tcPr>
            <w:tcW w:w="7355" w:type="dxa"/>
          </w:tcPr>
          <w:p w:rsidR="005643EA" w:rsidRPr="007E39E6" w:rsidRDefault="002648B0" w:rsidP="00622B37">
            <w:pPr>
              <w:pStyle w:val="InstructionsText"/>
            </w:pPr>
            <w:r>
              <w:rPr>
                <w:rStyle w:val="InstructionsTabelleberschrift"/>
                <w:rFonts w:ascii="Times New Roman" w:hAnsi="Times New Roman"/>
                <w:sz w:val="24"/>
              </w:rPr>
              <w:t>1*</w:t>
            </w:r>
            <w:r>
              <w:tab/>
            </w:r>
            <w:r>
              <w:rPr>
                <w:rStyle w:val="InstructionsTabelleberschrift"/>
                <w:rFonts w:ascii="Times New Roman" w:hAnsi="Times New Roman"/>
                <w:sz w:val="24"/>
              </w:rPr>
              <w:t>Dont: Entreprises d'investissements visées à l'article 95, par</w:t>
            </w:r>
            <w:r>
              <w:rPr>
                <w:rStyle w:val="InstructionsTabelleberschrift"/>
                <w:rFonts w:ascii="Times New Roman" w:hAnsi="Times New Roman"/>
                <w:sz w:val="24"/>
              </w:rPr>
              <w:t>a</w:t>
            </w:r>
            <w:r>
              <w:rPr>
                <w:rStyle w:val="InstructionsTabelleberschrift"/>
                <w:rFonts w:ascii="Times New Roman" w:hAnsi="Times New Roman"/>
                <w:sz w:val="24"/>
              </w:rPr>
              <w:t>graphe 2, et à l'article 98 du CRR</w:t>
            </w:r>
          </w:p>
          <w:p w:rsidR="005643EA" w:rsidRPr="00392FFD" w:rsidRDefault="002648B0" w:rsidP="00622B37">
            <w:pPr>
              <w:pStyle w:val="InstructionsText"/>
            </w:pPr>
            <w:r>
              <w:t xml:space="preserve">Concerne les entreprises d'investissement visées à l'article 95, </w:t>
            </w:r>
            <w:r>
              <w:rPr>
                <w:rStyle w:val="FormatvorlageInstructionsTabelleText"/>
                <w:rFonts w:ascii="Times New Roman" w:hAnsi="Times New Roman"/>
                <w:sz w:val="24"/>
              </w:rPr>
              <w:t>paragraphe 2</w:t>
            </w:r>
            <w:r>
              <w:t>, et à l'article 98 du CRR.</w:t>
            </w:r>
          </w:p>
        </w:tc>
      </w:tr>
      <w:tr w:rsidR="002648B0" w:rsidRPr="00392FFD" w:rsidTr="000903FA">
        <w:tc>
          <w:tcPr>
            <w:tcW w:w="1394" w:type="dxa"/>
          </w:tcPr>
          <w:p w:rsidR="002648B0" w:rsidRPr="00392FFD" w:rsidRDefault="002648B0" w:rsidP="00622B37">
            <w:pPr>
              <w:pStyle w:val="InstructionsText"/>
            </w:pPr>
            <w:r>
              <w:t>030</w:t>
            </w:r>
          </w:p>
        </w:tc>
        <w:tc>
          <w:tcPr>
            <w:tcW w:w="7355" w:type="dxa"/>
          </w:tcPr>
          <w:p w:rsidR="005643EA" w:rsidRPr="007E39E6" w:rsidRDefault="002648B0" w:rsidP="00622B37">
            <w:pPr>
              <w:pStyle w:val="InstructionsText"/>
            </w:pPr>
            <w:r>
              <w:rPr>
                <w:rStyle w:val="InstructionsTabelleberschrift"/>
                <w:rFonts w:ascii="Times New Roman" w:hAnsi="Times New Roman"/>
                <w:sz w:val="24"/>
              </w:rPr>
              <w:t>1**</w:t>
            </w:r>
            <w:r>
              <w:tab/>
            </w:r>
            <w:r>
              <w:rPr>
                <w:rStyle w:val="InstructionsTabelleberschrift"/>
                <w:rFonts w:ascii="Times New Roman" w:hAnsi="Times New Roman"/>
                <w:sz w:val="24"/>
              </w:rPr>
              <w:t>Dont : Entreprises d'investissements visées à l'article 96, par</w:t>
            </w:r>
            <w:r>
              <w:rPr>
                <w:rStyle w:val="InstructionsTabelleberschrift"/>
                <w:rFonts w:ascii="Times New Roman" w:hAnsi="Times New Roman"/>
                <w:sz w:val="24"/>
              </w:rPr>
              <w:t>a</w:t>
            </w:r>
            <w:r>
              <w:rPr>
                <w:rStyle w:val="InstructionsTabelleberschrift"/>
                <w:rFonts w:ascii="Times New Roman" w:hAnsi="Times New Roman"/>
                <w:sz w:val="24"/>
              </w:rPr>
              <w:t>graphe 2, et à l'article 97 du CRR</w:t>
            </w:r>
          </w:p>
          <w:p w:rsidR="005643EA" w:rsidRPr="00392FFD" w:rsidRDefault="002648B0" w:rsidP="00622B37">
            <w:pPr>
              <w:pStyle w:val="InstructionsText"/>
            </w:pPr>
            <w:r>
              <w:t xml:space="preserve">Concerne les entreprises d'investissement visées à l'article 96, </w:t>
            </w:r>
            <w:r>
              <w:rPr>
                <w:rStyle w:val="FormatvorlageInstructionsTabelleText"/>
                <w:rFonts w:ascii="Times New Roman" w:hAnsi="Times New Roman"/>
                <w:sz w:val="24"/>
              </w:rPr>
              <w:t>paragraphe 2</w:t>
            </w:r>
            <w:r>
              <w:t>, et à l'article 97 du CRR.</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040</w:t>
            </w:r>
          </w:p>
        </w:tc>
        <w:tc>
          <w:tcPr>
            <w:tcW w:w="7355" w:type="dxa"/>
          </w:tcPr>
          <w:p w:rsidR="005643EA" w:rsidRPr="007E39E6" w:rsidRDefault="002648B0"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w:t>
            </w:r>
            <w:r>
              <w:tab/>
            </w:r>
            <w:r>
              <w:rPr>
                <w:rStyle w:val="InstructionsTabelleberschrift"/>
                <w:rFonts w:ascii="Times New Roman" w:hAnsi="Times New Roman"/>
                <w:sz w:val="24"/>
              </w:rPr>
              <w:t>MONTANTS D'EXPOSITION PONDÉRÉS POUR LES RISQUES DE CRÉDIT, DE CRÉDIT DE CONTREPARTIE ET DE DILUTION ET LES POSITIONS DE NÉGOCIATION NON D</w:t>
            </w:r>
            <w:r>
              <w:rPr>
                <w:rStyle w:val="InstructionsTabelleberschrift"/>
                <w:rFonts w:ascii="Times New Roman" w:hAnsi="Times New Roman"/>
                <w:sz w:val="24"/>
              </w:rPr>
              <w:t>É</w:t>
            </w:r>
            <w:r>
              <w:rPr>
                <w:rStyle w:val="InstructionsTabelleberschrift"/>
                <w:rFonts w:ascii="Times New Roman" w:hAnsi="Times New Roman"/>
                <w:sz w:val="24"/>
              </w:rPr>
              <w:t>NOUÉES</w:t>
            </w:r>
          </w:p>
          <w:p w:rsidR="005643EA"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92, paragraphe 3, points a) et f), du CRR</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050</w:t>
            </w:r>
          </w:p>
        </w:tc>
        <w:tc>
          <w:tcPr>
            <w:tcW w:w="7355"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1.1.1</w:t>
            </w:r>
            <w:r>
              <w:tab/>
            </w:r>
            <w:r>
              <w:rPr>
                <w:rStyle w:val="InstructionsTabelleberschrift"/>
                <w:rFonts w:ascii="Times New Roman" w:hAnsi="Times New Roman"/>
                <w:sz w:val="24"/>
              </w:rPr>
              <w:t>Approche standard (SA)</w:t>
            </w:r>
          </w:p>
          <w:p w:rsidR="002648B0" w:rsidRPr="00392FFD" w:rsidRDefault="002648B0" w:rsidP="00622B37">
            <w:pPr>
              <w:pStyle w:val="InstructionsText"/>
              <w:rPr>
                <w:rStyle w:val="FormatvorlageInstructionsTabelleText"/>
                <w:rFonts w:ascii="Times New Roman" w:hAnsi="Times New Roman"/>
                <w:sz w:val="24"/>
              </w:rPr>
            </w:pPr>
            <w:r>
              <w:rPr>
                <w:rStyle w:val="InstructionsTabelleberschrift"/>
                <w:rFonts w:ascii="Times New Roman" w:hAnsi="Times New Roman"/>
                <w:b w:val="0"/>
                <w:sz w:val="24"/>
                <w:u w:val="none"/>
              </w:rPr>
              <w:t>Modèles CR SA et SEC SA, sur le plan de l’exposition totale</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060</w:t>
            </w:r>
          </w:p>
        </w:tc>
        <w:tc>
          <w:tcPr>
            <w:tcW w:w="7355" w:type="dxa"/>
          </w:tcPr>
          <w:p w:rsidR="005643EA" w:rsidRPr="0023700C" w:rsidRDefault="002648B0"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w:t>
            </w:r>
            <w:r>
              <w:tab/>
            </w:r>
            <w:r>
              <w:rPr>
                <w:rStyle w:val="InstructionsTabelleberschrift"/>
                <w:rFonts w:ascii="Times New Roman" w:hAnsi="Times New Roman"/>
                <w:sz w:val="24"/>
              </w:rPr>
              <w:t>Catégories d’exposition au risque en approche SA, à l’exclusion des positions de titrisation</w:t>
            </w:r>
          </w:p>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 xml:space="preserve">Modèle CR SA, sur le plan de l’exposition totale. Les catégories d’expositions selon l’approche standard sont celles </w:t>
            </w:r>
            <w:r>
              <w:rPr>
                <w:rStyle w:val="InstructionsTabelleberschrift"/>
                <w:rFonts w:ascii="Times New Roman" w:hAnsi="Times New Roman"/>
                <w:b w:val="0"/>
                <w:sz w:val="24"/>
                <w:u w:val="none"/>
              </w:rPr>
              <w:t>reprises</w:t>
            </w:r>
            <w:r>
              <w:rPr>
                <w:rStyle w:val="FormatvorlageInstructionsTabelleText"/>
                <w:rFonts w:ascii="Times New Roman" w:hAnsi="Times New Roman"/>
                <w:sz w:val="24"/>
              </w:rPr>
              <w:t xml:space="preserve"> à l’article 112 du CRR, hormis les positions de titrisation.</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070</w:t>
            </w:r>
          </w:p>
        </w:tc>
        <w:tc>
          <w:tcPr>
            <w:tcW w:w="7355" w:type="dxa"/>
          </w:tcPr>
          <w:p w:rsidR="005643EA" w:rsidRPr="007E39E6" w:rsidRDefault="002648B0"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1.1.1.1.01</w:t>
            </w:r>
            <w:r>
              <w:tab/>
            </w:r>
            <w:r>
              <w:rPr>
                <w:rStyle w:val="InstructionsTabelleberschrift"/>
                <w:rFonts w:ascii="Times New Roman" w:hAnsi="Times New Roman"/>
                <w:sz w:val="24"/>
              </w:rPr>
              <w:t>Administrations centrales ou banques centrales</w:t>
            </w:r>
          </w:p>
          <w:p w:rsidR="00496C53" w:rsidRPr="00392FFD" w:rsidRDefault="00D212FE" w:rsidP="00622B37">
            <w:pPr>
              <w:pStyle w:val="InstructionsText"/>
              <w:rPr>
                <w:rStyle w:val="FormatvorlageInstructionsTabelleText"/>
                <w:rFonts w:ascii="Times New Roman" w:hAnsi="Times New Roman"/>
                <w:bCs w:val="0"/>
                <w:sz w:val="24"/>
              </w:rPr>
            </w:pPr>
            <w:r>
              <w:rPr>
                <w:rStyle w:val="FormatvorlageInstructionsTabelleText"/>
                <w:rFonts w:ascii="Times New Roman" w:hAnsi="Times New Roman"/>
                <w:sz w:val="24"/>
              </w:rPr>
              <w:t>Voir modèle CR SA.</w:t>
            </w:r>
          </w:p>
        </w:tc>
      </w:tr>
      <w:tr w:rsidR="002648B0" w:rsidRPr="00392FFD" w:rsidTr="000903FA">
        <w:tc>
          <w:tcPr>
            <w:tcW w:w="1394" w:type="dxa"/>
          </w:tcPr>
          <w:p w:rsidR="00783881"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080</w:t>
            </w:r>
          </w:p>
        </w:tc>
        <w:tc>
          <w:tcPr>
            <w:tcW w:w="7355" w:type="dxa"/>
          </w:tcPr>
          <w:p w:rsidR="00783881" w:rsidRPr="007E39E6" w:rsidRDefault="002648B0"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1.1.1.1.02</w:t>
            </w:r>
            <w:r>
              <w:tab/>
            </w:r>
            <w:r>
              <w:rPr>
                <w:rStyle w:val="InstructionsTabelleberschrift"/>
                <w:rFonts w:ascii="Times New Roman" w:hAnsi="Times New Roman"/>
                <w:sz w:val="24"/>
              </w:rPr>
              <w:t>Administrations régionales ou locales</w:t>
            </w:r>
          </w:p>
          <w:p w:rsidR="002648B0" w:rsidRPr="00392FFD" w:rsidRDefault="00D212FE"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Voir modèle CR SA.</w:t>
            </w:r>
          </w:p>
        </w:tc>
      </w:tr>
      <w:tr w:rsidR="002648B0" w:rsidRPr="00392FFD" w:rsidTr="000903FA">
        <w:tc>
          <w:tcPr>
            <w:tcW w:w="1394" w:type="dxa"/>
          </w:tcPr>
          <w:p w:rsidR="00783881"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090</w:t>
            </w:r>
          </w:p>
        </w:tc>
        <w:tc>
          <w:tcPr>
            <w:tcW w:w="7355" w:type="dxa"/>
          </w:tcPr>
          <w:p w:rsidR="005643EA" w:rsidRPr="007E39E6" w:rsidRDefault="002648B0" w:rsidP="00622B37">
            <w:pPr>
              <w:pStyle w:val="InstructionsText"/>
              <w:rPr>
                <w:rStyle w:val="FormatvorlageInstructionsTabelleText"/>
                <w:rFonts w:ascii="Times New Roman" w:hAnsi="Times New Roman"/>
                <w:b/>
                <w:bCs w:val="0"/>
                <w:sz w:val="24"/>
                <w:u w:val="single"/>
              </w:rPr>
            </w:pPr>
            <w:r>
              <w:rPr>
                <w:rStyle w:val="InstructionsTabelleberschrift"/>
                <w:rFonts w:ascii="Times New Roman" w:hAnsi="Times New Roman"/>
                <w:sz w:val="24"/>
              </w:rPr>
              <w:t>1.1.1.1.03</w:t>
            </w:r>
            <w:r>
              <w:tab/>
            </w:r>
            <w:r>
              <w:rPr>
                <w:rStyle w:val="InstructionsTabelleberschrift"/>
                <w:rFonts w:ascii="Times New Roman" w:hAnsi="Times New Roman"/>
                <w:sz w:val="24"/>
              </w:rPr>
              <w:t>Entités du secteur public</w:t>
            </w:r>
          </w:p>
          <w:p w:rsidR="002648B0" w:rsidRPr="00392FFD" w:rsidRDefault="00D212FE"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Voir modèle CR SA.</w:t>
            </w:r>
          </w:p>
        </w:tc>
      </w:tr>
      <w:tr w:rsidR="002648B0" w:rsidRPr="00392FFD" w:rsidTr="000903FA">
        <w:tc>
          <w:tcPr>
            <w:tcW w:w="1394" w:type="dxa"/>
          </w:tcPr>
          <w:p w:rsidR="00783881"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100</w:t>
            </w:r>
          </w:p>
        </w:tc>
        <w:tc>
          <w:tcPr>
            <w:tcW w:w="7355" w:type="dxa"/>
          </w:tcPr>
          <w:p w:rsidR="002648B0" w:rsidRPr="007E39E6" w:rsidRDefault="002648B0"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1.1.1.1.04</w:t>
            </w:r>
            <w:r>
              <w:tab/>
            </w:r>
            <w:r>
              <w:rPr>
                <w:rStyle w:val="InstructionsTabelleberschrift"/>
                <w:rFonts w:ascii="Times New Roman" w:hAnsi="Times New Roman"/>
                <w:sz w:val="24"/>
              </w:rPr>
              <w:t>Banques multilatérales de développement</w:t>
            </w:r>
          </w:p>
          <w:p w:rsidR="002648B0" w:rsidRPr="00392FFD" w:rsidRDefault="00D212FE"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 xml:space="preserve">Voir modèle CR SA. </w:t>
            </w:r>
          </w:p>
        </w:tc>
      </w:tr>
      <w:tr w:rsidR="002648B0" w:rsidRPr="00E440D2" w:rsidTr="000903FA">
        <w:tc>
          <w:tcPr>
            <w:tcW w:w="1394" w:type="dxa"/>
          </w:tcPr>
          <w:p w:rsidR="00783881"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110</w:t>
            </w:r>
          </w:p>
        </w:tc>
        <w:tc>
          <w:tcPr>
            <w:tcW w:w="7355" w:type="dxa"/>
          </w:tcPr>
          <w:p w:rsidR="005643EA" w:rsidRPr="0023700C" w:rsidRDefault="002648B0"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1.1.1.1.05</w:t>
            </w:r>
            <w:r>
              <w:tab/>
            </w:r>
            <w:r>
              <w:rPr>
                <w:rStyle w:val="InstructionsTabelleberschrift"/>
                <w:rFonts w:ascii="Times New Roman" w:hAnsi="Times New Roman"/>
                <w:sz w:val="24"/>
              </w:rPr>
              <w:t>Organisations internationales</w:t>
            </w:r>
          </w:p>
          <w:p w:rsidR="002648B0" w:rsidRPr="0023700C" w:rsidRDefault="00783881"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Voir modèle CR SA.</w:t>
            </w:r>
          </w:p>
        </w:tc>
      </w:tr>
      <w:tr w:rsidR="002648B0" w:rsidRPr="00E440D2" w:rsidTr="000903FA">
        <w:tc>
          <w:tcPr>
            <w:tcW w:w="1394" w:type="dxa"/>
          </w:tcPr>
          <w:p w:rsidR="00783881"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120</w:t>
            </w:r>
          </w:p>
        </w:tc>
        <w:tc>
          <w:tcPr>
            <w:tcW w:w="7355" w:type="dxa"/>
          </w:tcPr>
          <w:p w:rsidR="005643EA" w:rsidRPr="0023700C" w:rsidRDefault="00783881"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1.1.1.1.06</w:t>
            </w:r>
            <w:r>
              <w:tab/>
            </w:r>
            <w:r>
              <w:rPr>
                <w:rStyle w:val="InstructionsTabelleberschrift"/>
                <w:rFonts w:ascii="Times New Roman" w:hAnsi="Times New Roman"/>
                <w:sz w:val="24"/>
              </w:rPr>
              <w:t>Établissements</w:t>
            </w:r>
          </w:p>
          <w:p w:rsidR="002648B0" w:rsidRPr="0023700C" w:rsidRDefault="00783881"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Voir modèle CR SA.</w:t>
            </w:r>
          </w:p>
        </w:tc>
      </w:tr>
      <w:tr w:rsidR="002648B0" w:rsidRPr="00392FFD" w:rsidTr="000903FA">
        <w:tc>
          <w:tcPr>
            <w:tcW w:w="1394" w:type="dxa"/>
          </w:tcPr>
          <w:p w:rsidR="00783881"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130</w:t>
            </w:r>
          </w:p>
        </w:tc>
        <w:tc>
          <w:tcPr>
            <w:tcW w:w="7355" w:type="dxa"/>
          </w:tcPr>
          <w:p w:rsidR="00783881" w:rsidRPr="007E39E6" w:rsidRDefault="002648B0"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1.1.1.1.07</w:t>
            </w:r>
            <w:r>
              <w:tab/>
            </w:r>
            <w:r>
              <w:rPr>
                <w:rStyle w:val="InstructionsTabelleberschrift"/>
                <w:rFonts w:ascii="Times New Roman" w:hAnsi="Times New Roman"/>
                <w:sz w:val="24"/>
              </w:rPr>
              <w:t>Entreprises:</w:t>
            </w:r>
          </w:p>
          <w:p w:rsidR="002648B0" w:rsidRPr="00392FFD" w:rsidRDefault="00D212FE"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Voir modèle CR SA.</w:t>
            </w:r>
          </w:p>
        </w:tc>
      </w:tr>
      <w:tr w:rsidR="002648B0" w:rsidRPr="00392FFD" w:rsidTr="000903FA">
        <w:tc>
          <w:tcPr>
            <w:tcW w:w="1394" w:type="dxa"/>
          </w:tcPr>
          <w:p w:rsidR="00783881"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140</w:t>
            </w:r>
          </w:p>
        </w:tc>
        <w:tc>
          <w:tcPr>
            <w:tcW w:w="7355" w:type="dxa"/>
          </w:tcPr>
          <w:p w:rsidR="005643EA" w:rsidRPr="007E39E6" w:rsidRDefault="002648B0" w:rsidP="00622B37">
            <w:pPr>
              <w:pStyle w:val="InstructionsText"/>
              <w:rPr>
                <w:rStyle w:val="FormatvorlageInstructionsTabelleText"/>
                <w:rFonts w:ascii="Times New Roman" w:hAnsi="Times New Roman"/>
                <w:b/>
                <w:bCs w:val="0"/>
                <w:sz w:val="24"/>
                <w:u w:val="single"/>
              </w:rPr>
            </w:pPr>
            <w:r>
              <w:rPr>
                <w:rStyle w:val="InstructionsTabelleberschrift"/>
                <w:rFonts w:ascii="Times New Roman" w:hAnsi="Times New Roman"/>
                <w:sz w:val="24"/>
              </w:rPr>
              <w:t>1.1.1.1.08</w:t>
            </w:r>
            <w:r>
              <w:tab/>
            </w:r>
            <w:r>
              <w:rPr>
                <w:rStyle w:val="InstructionsTabelleberschrift"/>
                <w:rFonts w:ascii="Times New Roman" w:hAnsi="Times New Roman"/>
                <w:sz w:val="24"/>
              </w:rPr>
              <w:t>Clientèle de détail</w:t>
            </w:r>
          </w:p>
          <w:p w:rsidR="002648B0" w:rsidRPr="00392FFD" w:rsidRDefault="00D212FE"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Voir modèle CR SA.</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150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1.1.1.1.09</w:t>
            </w:r>
            <w:r>
              <w:tab/>
            </w:r>
            <w:r>
              <w:rPr>
                <w:rStyle w:val="InstructionsTabelleberschrift"/>
                <w:rFonts w:ascii="Times New Roman" w:hAnsi="Times New Roman"/>
                <w:sz w:val="24"/>
              </w:rPr>
              <w:t>Expositions garanties par une hypothèque sur un bien immobilier</w:t>
            </w:r>
          </w:p>
          <w:p w:rsidR="002648B0" w:rsidRPr="00392FFD" w:rsidRDefault="00D212FE"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Voir modèle CR SA.</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160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1.1.1.1.10</w:t>
            </w:r>
            <w:r>
              <w:tab/>
            </w:r>
            <w:r>
              <w:rPr>
                <w:rStyle w:val="InstructionsTabelleberschrift"/>
                <w:rFonts w:ascii="Times New Roman" w:hAnsi="Times New Roman"/>
                <w:sz w:val="24"/>
              </w:rPr>
              <w:t>Expositions en défaut</w:t>
            </w:r>
          </w:p>
          <w:p w:rsidR="002648B0" w:rsidRPr="00392FFD" w:rsidRDefault="00D212FE"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Voir modèle CR SA.</w:t>
            </w:r>
          </w:p>
        </w:tc>
      </w:tr>
      <w:tr w:rsidR="002648B0" w:rsidRPr="00392FFD" w:rsidTr="000903FA">
        <w:tc>
          <w:tcPr>
            <w:tcW w:w="1394" w:type="dxa"/>
          </w:tcPr>
          <w:p w:rsidR="00783881"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170</w:t>
            </w:r>
          </w:p>
        </w:tc>
        <w:tc>
          <w:tcPr>
            <w:tcW w:w="7355" w:type="dxa"/>
          </w:tcPr>
          <w:p w:rsidR="00783881"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1.1.1.1.11</w:t>
            </w:r>
            <w:r>
              <w:tab/>
            </w:r>
            <w:r>
              <w:rPr>
                <w:rStyle w:val="InstructionsTabelleberschrift"/>
                <w:rFonts w:ascii="Times New Roman" w:hAnsi="Times New Roman"/>
                <w:sz w:val="24"/>
              </w:rPr>
              <w:t>Éléments présentant un risque particulièrement élevé</w:t>
            </w:r>
          </w:p>
          <w:p w:rsidR="002648B0" w:rsidRPr="00392FFD" w:rsidRDefault="00D212FE"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Voir modèle CR SA.</w:t>
            </w:r>
          </w:p>
        </w:tc>
      </w:tr>
      <w:tr w:rsidR="002648B0" w:rsidRPr="00392FFD" w:rsidTr="000903FA">
        <w:tc>
          <w:tcPr>
            <w:tcW w:w="1394" w:type="dxa"/>
          </w:tcPr>
          <w:p w:rsidR="00783881"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180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1.1.1.1.12</w:t>
            </w:r>
            <w:r>
              <w:tab/>
            </w:r>
            <w:r>
              <w:rPr>
                <w:rStyle w:val="InstructionsTabelleberschrift"/>
                <w:rFonts w:ascii="Times New Roman" w:hAnsi="Times New Roman"/>
                <w:sz w:val="24"/>
              </w:rPr>
              <w:t>Obligations garanties</w:t>
            </w:r>
          </w:p>
          <w:p w:rsidR="002648B0" w:rsidRPr="00392FFD" w:rsidRDefault="00D212FE"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Voir modèle CR SA.</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190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1.1.1.1.13</w:t>
            </w:r>
            <w:r>
              <w:tab/>
            </w:r>
            <w:r>
              <w:rPr>
                <w:rStyle w:val="InstructionsTabelleberschrift"/>
                <w:rFonts w:ascii="Times New Roman" w:hAnsi="Times New Roman"/>
                <w:sz w:val="24"/>
              </w:rPr>
              <w:t>Créances sur des établissements et des entreprises fa</w:t>
            </w:r>
            <w:r>
              <w:rPr>
                <w:rStyle w:val="InstructionsTabelleberschrift"/>
                <w:rFonts w:ascii="Times New Roman" w:hAnsi="Times New Roman"/>
                <w:sz w:val="24"/>
              </w:rPr>
              <w:t>i</w:t>
            </w:r>
            <w:r>
              <w:rPr>
                <w:rStyle w:val="InstructionsTabelleberschrift"/>
                <w:rFonts w:ascii="Times New Roman" w:hAnsi="Times New Roman"/>
                <w:sz w:val="24"/>
              </w:rPr>
              <w:t>sant l'objet d'une évaluation du crédit à court terme</w:t>
            </w:r>
          </w:p>
          <w:p w:rsidR="002648B0" w:rsidRPr="00392FFD" w:rsidRDefault="00D212FE"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Voir modèle CR SA.</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200</w:t>
            </w:r>
          </w:p>
          <w:p w:rsidR="005643EA" w:rsidRPr="00392FFD" w:rsidRDefault="005643EA" w:rsidP="00622B37">
            <w:pPr>
              <w:pStyle w:val="InstructionsText"/>
              <w:rPr>
                <w:rStyle w:val="FormatvorlageInstructionsTabelleText"/>
                <w:rFonts w:ascii="Times New Roman" w:hAnsi="Times New Roman"/>
                <w:bCs w:val="0"/>
                <w:sz w:val="24"/>
              </w:rPr>
            </w:pPr>
          </w:p>
        </w:tc>
        <w:tc>
          <w:tcPr>
            <w:tcW w:w="7355" w:type="dxa"/>
          </w:tcPr>
          <w:p w:rsidR="005643EA" w:rsidRPr="00392FFD" w:rsidRDefault="002648B0" w:rsidP="00622B37">
            <w:pPr>
              <w:pStyle w:val="InstructionsText"/>
              <w:rPr>
                <w:rStyle w:val="FormatvorlageInstructionsTabelleText"/>
                <w:rFonts w:ascii="Times New Roman" w:hAnsi="Times New Roman"/>
                <w:bCs w:val="0"/>
                <w:sz w:val="24"/>
              </w:rPr>
            </w:pPr>
            <w:r>
              <w:rPr>
                <w:rStyle w:val="InstructionsTabelleberschrift"/>
                <w:rFonts w:ascii="Times New Roman" w:hAnsi="Times New Roman"/>
                <w:sz w:val="24"/>
              </w:rPr>
              <w:t>1.1.1.1.14</w:t>
            </w:r>
            <w:r>
              <w:tab/>
            </w:r>
            <w:r>
              <w:rPr>
                <w:rStyle w:val="InstructionsTabelleberschrift"/>
                <w:rFonts w:ascii="Times New Roman" w:hAnsi="Times New Roman"/>
                <w:sz w:val="24"/>
              </w:rPr>
              <w:t>Organismes de placement collectif (OPC)</w:t>
            </w:r>
          </w:p>
          <w:p w:rsidR="002648B0" w:rsidRPr="00392FFD" w:rsidRDefault="00D212FE"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Voir modèle CR SA.</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210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1.1.1.1.15</w:t>
            </w:r>
            <w:r>
              <w:tab/>
            </w:r>
            <w:r>
              <w:rPr>
                <w:rStyle w:val="InstructionsTabelleberschrift"/>
                <w:rFonts w:ascii="Times New Roman" w:hAnsi="Times New Roman"/>
                <w:sz w:val="24"/>
              </w:rPr>
              <w:t>Actions</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Voir modèle CR SA.</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211</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1.1.1.1.16</w:t>
            </w:r>
            <w:r>
              <w:tab/>
            </w:r>
            <w:r>
              <w:rPr>
                <w:rStyle w:val="InstructionsTabelleberschrift"/>
                <w:rFonts w:ascii="Times New Roman" w:hAnsi="Times New Roman"/>
                <w:sz w:val="24"/>
              </w:rPr>
              <w:t>Autres éléments</w:t>
            </w:r>
          </w:p>
          <w:p w:rsidR="005643EA" w:rsidRPr="00392FFD" w:rsidRDefault="00D212FE" w:rsidP="00622B37">
            <w:pPr>
              <w:pStyle w:val="InstructionsText"/>
              <w:rPr>
                <w:rStyle w:val="InstructionsTabelleberschrift"/>
                <w:rFonts w:ascii="Times New Roman" w:hAnsi="Times New Roman"/>
                <w:bCs w:val="0"/>
                <w:sz w:val="24"/>
              </w:rPr>
            </w:pPr>
            <w:r>
              <w:rPr>
                <w:rStyle w:val="FormatvorlageInstructionsTabelleText"/>
                <w:rFonts w:ascii="Times New Roman" w:hAnsi="Times New Roman"/>
                <w:sz w:val="24"/>
              </w:rPr>
              <w:t>Voir modèle CR SA.</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220</w:t>
            </w:r>
          </w:p>
        </w:tc>
        <w:tc>
          <w:tcPr>
            <w:tcW w:w="7355"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1.1.1.2</w:t>
            </w:r>
            <w:r>
              <w:tab/>
            </w:r>
            <w:r>
              <w:rPr>
                <w:rStyle w:val="InstructionsTabelleberschrift"/>
                <w:rFonts w:ascii="Times New Roman" w:hAnsi="Times New Roman"/>
                <w:sz w:val="24"/>
              </w:rPr>
              <w:t xml:space="preserve">Positions de titrisation SA </w:t>
            </w:r>
          </w:p>
          <w:p w:rsidR="002648B0" w:rsidRPr="00392FFD" w:rsidRDefault="002648B0" w:rsidP="007106FB">
            <w:pPr>
              <w:rPr>
                <w:rStyle w:val="FormatvorlageInstructionsTabelleText"/>
                <w:rFonts w:ascii="Times New Roman" w:hAnsi="Times New Roman"/>
                <w:sz w:val="24"/>
              </w:rPr>
            </w:pPr>
            <w:r>
              <w:rPr>
                <w:rStyle w:val="FormatvorlageInstructionsTabelleText"/>
                <w:rFonts w:ascii="Times New Roman" w:hAnsi="Times New Roman"/>
                <w:sz w:val="24"/>
              </w:rPr>
              <w:t>Modèle CR SEC SA, sur le plan du total des types de titrisations.</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230</w:t>
            </w:r>
          </w:p>
        </w:tc>
        <w:tc>
          <w:tcPr>
            <w:tcW w:w="7355"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1.1.1.2.*</w:t>
            </w:r>
            <w:r>
              <w:tab/>
            </w:r>
            <w:r>
              <w:rPr>
                <w:rStyle w:val="InstructionsTabelleberschrift"/>
                <w:rFonts w:ascii="Times New Roman" w:hAnsi="Times New Roman"/>
                <w:sz w:val="24"/>
              </w:rPr>
              <w:t xml:space="preserve">Dont: retitrisation </w:t>
            </w:r>
          </w:p>
          <w:p w:rsidR="002648B0" w:rsidRPr="00392FFD" w:rsidRDefault="002648B0" w:rsidP="007106FB">
            <w:pPr>
              <w:rPr>
                <w:rStyle w:val="FormatvorlageInstructionsTabelleText"/>
                <w:rFonts w:ascii="Times New Roman" w:hAnsi="Times New Roman"/>
                <w:sz w:val="24"/>
              </w:rPr>
            </w:pPr>
            <w:r>
              <w:rPr>
                <w:rStyle w:val="FormatvorlageInstructionsTabelleText"/>
                <w:rFonts w:ascii="Times New Roman" w:hAnsi="Times New Roman"/>
                <w:sz w:val="24"/>
              </w:rPr>
              <w:t>Modèle CR SEC SA, sur le plan du total des types de titrisations.</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240</w:t>
            </w:r>
          </w:p>
        </w:tc>
        <w:tc>
          <w:tcPr>
            <w:tcW w:w="7355" w:type="dxa"/>
          </w:tcPr>
          <w:p w:rsidR="005643EA" w:rsidRPr="00392FFD" w:rsidRDefault="002648B0" w:rsidP="00622B37">
            <w:pPr>
              <w:pStyle w:val="InstructionsText"/>
              <w:rPr>
                <w:rStyle w:val="FormatvorlageInstructionsTabelleText"/>
                <w:rFonts w:ascii="Times New Roman" w:hAnsi="Times New Roman"/>
                <w:sz w:val="24"/>
              </w:rPr>
            </w:pPr>
            <w:r>
              <w:rPr>
                <w:rStyle w:val="InstructionsTabelleberschrift"/>
                <w:rFonts w:ascii="Times New Roman" w:hAnsi="Times New Roman"/>
                <w:sz w:val="24"/>
              </w:rPr>
              <w:t>1.1.2</w:t>
            </w:r>
            <w:r>
              <w:tab/>
            </w:r>
            <w:r>
              <w:rPr>
                <w:rStyle w:val="InstructionsTabelleberschrift"/>
                <w:rFonts w:ascii="Times New Roman" w:hAnsi="Times New Roman"/>
                <w:sz w:val="24"/>
              </w:rPr>
              <w:t xml:space="preserve">Approche fondée sur les notations internes (NI) </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250</w:t>
            </w:r>
          </w:p>
        </w:tc>
        <w:tc>
          <w:tcPr>
            <w:tcW w:w="7355"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1.1.2.1</w:t>
            </w:r>
            <w:r>
              <w:tab/>
            </w:r>
            <w:r>
              <w:rPr>
                <w:rStyle w:val="InstructionsTabelleberschrift"/>
                <w:rFonts w:ascii="Times New Roman" w:hAnsi="Times New Roman"/>
                <w:sz w:val="24"/>
              </w:rPr>
              <w:t>Approches NI en l'absence de recours à ses propres estim</w:t>
            </w:r>
            <w:r>
              <w:rPr>
                <w:rStyle w:val="InstructionsTabelleberschrift"/>
                <w:rFonts w:ascii="Times New Roman" w:hAnsi="Times New Roman"/>
                <w:sz w:val="24"/>
              </w:rPr>
              <w:t>a</w:t>
            </w:r>
            <w:r>
              <w:rPr>
                <w:rStyle w:val="InstructionsTabelleberschrift"/>
                <w:rFonts w:ascii="Times New Roman" w:hAnsi="Times New Roman"/>
                <w:sz w:val="24"/>
              </w:rPr>
              <w:t>tions des pertes en cas de défaut (LGD) ou à des facteurs de conve</w:t>
            </w:r>
            <w:r>
              <w:rPr>
                <w:rStyle w:val="InstructionsTabelleberschrift"/>
                <w:rFonts w:ascii="Times New Roman" w:hAnsi="Times New Roman"/>
                <w:sz w:val="24"/>
              </w:rPr>
              <w:t>r</w:t>
            </w:r>
            <w:r>
              <w:rPr>
                <w:rStyle w:val="InstructionsTabelleberschrift"/>
                <w:rFonts w:ascii="Times New Roman" w:hAnsi="Times New Roman"/>
                <w:sz w:val="24"/>
              </w:rPr>
              <w:t>sion</w:t>
            </w:r>
          </w:p>
          <w:p w:rsidR="002648B0" w:rsidRPr="00392FFD" w:rsidRDefault="002648B0" w:rsidP="007106FB">
            <w:pPr>
              <w:rPr>
                <w:rStyle w:val="FormatvorlageInstructionsTabelleText"/>
                <w:rFonts w:ascii="Times New Roman" w:hAnsi="Times New Roman"/>
                <w:sz w:val="24"/>
              </w:rPr>
            </w:pPr>
            <w:r>
              <w:rPr>
                <w:rStyle w:val="FormatvorlageInstructionsTabelleText"/>
                <w:rFonts w:ascii="Times New Roman" w:hAnsi="Times New Roman"/>
                <w:sz w:val="24"/>
              </w:rPr>
              <w:t>Modèle CR IRB, sur le plan de l’exposition totale (lorsque ni les propres estimations des pertes en cas de défaut (LGD) ni les facteurs de conve</w:t>
            </w:r>
            <w:r>
              <w:rPr>
                <w:rStyle w:val="FormatvorlageInstructionsTabelleText"/>
                <w:rFonts w:ascii="Times New Roman" w:hAnsi="Times New Roman"/>
                <w:sz w:val="24"/>
              </w:rPr>
              <w:t>r</w:t>
            </w:r>
            <w:r>
              <w:rPr>
                <w:rStyle w:val="FormatvorlageInstructionsTabelleText"/>
                <w:rFonts w:ascii="Times New Roman" w:hAnsi="Times New Roman"/>
                <w:sz w:val="24"/>
              </w:rPr>
              <w:t>sion ne sont utilisés).</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260</w:t>
            </w:r>
          </w:p>
        </w:tc>
        <w:tc>
          <w:tcPr>
            <w:tcW w:w="7355"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1.1.2.1.01</w:t>
            </w:r>
            <w:r>
              <w:tab/>
            </w:r>
            <w:r>
              <w:rPr>
                <w:rStyle w:val="InstructionsTabelleberschrift"/>
                <w:rFonts w:ascii="Times New Roman" w:hAnsi="Times New Roman"/>
                <w:sz w:val="24"/>
              </w:rPr>
              <w:t>Administrations centrales et banques centrales</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Voir modèle CR IRB.</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270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1.1.2.1.02</w:t>
            </w:r>
            <w:r>
              <w:tab/>
            </w:r>
            <w:r>
              <w:rPr>
                <w:rStyle w:val="InstructionsTabelleberschrift"/>
                <w:rFonts w:ascii="Times New Roman" w:hAnsi="Times New Roman"/>
                <w:sz w:val="24"/>
              </w:rPr>
              <w:t>Établissements</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Voir modèle CR IRB.</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280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1.1.2.1.03</w:t>
            </w:r>
            <w:r>
              <w:tab/>
            </w:r>
            <w:r>
              <w:rPr>
                <w:rStyle w:val="InstructionsTabelleberschrift"/>
                <w:rFonts w:ascii="Times New Roman" w:hAnsi="Times New Roman"/>
                <w:sz w:val="24"/>
              </w:rPr>
              <w:t>Entreprises- PME</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Voir modèle CR IRB.</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290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1.1.2.1.04</w:t>
            </w:r>
            <w:r>
              <w:tab/>
            </w:r>
            <w:r>
              <w:rPr>
                <w:rStyle w:val="InstructionsTabelleberschrift"/>
                <w:rFonts w:ascii="Times New Roman" w:hAnsi="Times New Roman"/>
                <w:sz w:val="24"/>
              </w:rPr>
              <w:t>Entreprises – Financements spécialisés</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 xml:space="preserve">Voir modèle CR IRB. </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300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1.1.2.1.05</w:t>
            </w:r>
            <w:r>
              <w:tab/>
            </w:r>
            <w:r>
              <w:rPr>
                <w:rStyle w:val="InstructionsTabelleberschrift"/>
                <w:rFonts w:ascii="Times New Roman" w:hAnsi="Times New Roman"/>
                <w:sz w:val="24"/>
              </w:rPr>
              <w:t>Entreprises - Autres</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Voir modèle CR IRB.</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310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1.1.2.2</w:t>
            </w:r>
            <w:r>
              <w:tab/>
            </w:r>
            <w:r>
              <w:rPr>
                <w:rStyle w:val="InstructionsTabelleberschrift"/>
                <w:rFonts w:ascii="Times New Roman" w:hAnsi="Times New Roman"/>
                <w:sz w:val="24"/>
              </w:rPr>
              <w:t>Approches NI en cas de recours à ses propres estimations des pertes en cas de défaut (LGD) et/ou à des facteurs de conversion</w:t>
            </w:r>
          </w:p>
          <w:p w:rsidR="002648B0" w:rsidRPr="00392FFD" w:rsidRDefault="002648B0" w:rsidP="007106FB">
            <w:pPr>
              <w:rPr>
                <w:rStyle w:val="FormatvorlageInstructionsTabelleText"/>
                <w:rFonts w:ascii="Times New Roman" w:hAnsi="Times New Roman"/>
                <w:sz w:val="24"/>
              </w:rPr>
            </w:pPr>
            <w:r>
              <w:rPr>
                <w:rStyle w:val="FormatvorlageInstructionsTabelleText"/>
                <w:rFonts w:ascii="Times New Roman" w:hAnsi="Times New Roman"/>
                <w:sz w:val="24"/>
              </w:rPr>
              <w:t>Modèle CR IRB, sur le plan de l’exposition totale (lorsque les propres e</w:t>
            </w:r>
            <w:r>
              <w:rPr>
                <w:rStyle w:val="FormatvorlageInstructionsTabelleText"/>
                <w:rFonts w:ascii="Times New Roman" w:hAnsi="Times New Roman"/>
                <w:sz w:val="24"/>
              </w:rPr>
              <w:t>s</w:t>
            </w:r>
            <w:r>
              <w:rPr>
                <w:rStyle w:val="FormatvorlageInstructionsTabelleText"/>
                <w:rFonts w:ascii="Times New Roman" w:hAnsi="Times New Roman"/>
                <w:sz w:val="24"/>
              </w:rPr>
              <w:t>timations des pertes en cas de défaut (LGD) et/ou les facteurs de conve</w:t>
            </w:r>
            <w:r>
              <w:rPr>
                <w:rStyle w:val="FormatvorlageInstructionsTabelleText"/>
                <w:rFonts w:ascii="Times New Roman" w:hAnsi="Times New Roman"/>
                <w:sz w:val="24"/>
              </w:rPr>
              <w:t>r</w:t>
            </w:r>
            <w:r>
              <w:rPr>
                <w:rStyle w:val="FormatvorlageInstructionsTabelleText"/>
                <w:rFonts w:ascii="Times New Roman" w:hAnsi="Times New Roman"/>
                <w:sz w:val="24"/>
              </w:rPr>
              <w:t>sion sont utilisés).</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320</w:t>
            </w:r>
          </w:p>
        </w:tc>
        <w:tc>
          <w:tcPr>
            <w:tcW w:w="7355"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1.1.2.2.01</w:t>
            </w:r>
            <w:r>
              <w:tab/>
            </w:r>
            <w:r>
              <w:rPr>
                <w:rStyle w:val="InstructionsTabelleberschrift"/>
                <w:rFonts w:ascii="Times New Roman" w:hAnsi="Times New Roman"/>
                <w:sz w:val="24"/>
              </w:rPr>
              <w:t>Administrations centrales et banques centrales</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Voir modèle CR IRB.</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330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1.1.2.2.02</w:t>
            </w:r>
            <w:r>
              <w:tab/>
            </w:r>
            <w:r>
              <w:rPr>
                <w:rStyle w:val="InstructionsTabelleberschrift"/>
                <w:rFonts w:ascii="Times New Roman" w:hAnsi="Times New Roman"/>
                <w:sz w:val="24"/>
              </w:rPr>
              <w:t>Établissements</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 xml:space="preserve">Voir modèle CR IRB. </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340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1.1.2.2.03</w:t>
            </w:r>
            <w:r>
              <w:tab/>
            </w:r>
            <w:r>
              <w:rPr>
                <w:rStyle w:val="InstructionsTabelleberschrift"/>
                <w:rFonts w:ascii="Times New Roman" w:hAnsi="Times New Roman"/>
                <w:sz w:val="24"/>
              </w:rPr>
              <w:t>Entreprises- PME</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Voir modèle CR IRB.</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350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1.1.2.2.04</w:t>
            </w:r>
            <w:r>
              <w:tab/>
            </w:r>
            <w:r>
              <w:rPr>
                <w:rStyle w:val="InstructionsTabelleberschrift"/>
                <w:rFonts w:ascii="Times New Roman" w:hAnsi="Times New Roman"/>
                <w:sz w:val="24"/>
              </w:rPr>
              <w:t>Entreprises – Financements spécialisés</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Voir modèle CR IRB.</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360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1.1.2.2.05</w:t>
            </w:r>
            <w:r>
              <w:tab/>
            </w:r>
            <w:r>
              <w:rPr>
                <w:rStyle w:val="InstructionsTabelleberschrift"/>
                <w:rFonts w:ascii="Times New Roman" w:hAnsi="Times New Roman"/>
                <w:sz w:val="24"/>
              </w:rPr>
              <w:t>Entreprises - Autres</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Voir modèle CR IRB.</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370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1.1.2.2.06</w:t>
            </w:r>
            <w:r>
              <w:tab/>
            </w:r>
            <w:r>
              <w:rPr>
                <w:rStyle w:val="InstructionsTabelleberschrift"/>
                <w:rFonts w:ascii="Times New Roman" w:hAnsi="Times New Roman"/>
                <w:sz w:val="24"/>
              </w:rPr>
              <w:t>Clientèle de détail - Expositions garanties par des biens immobiliers PME</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Voir modèle CR IRB.</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380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1.1.2.2.07</w:t>
            </w:r>
            <w:r>
              <w:tab/>
            </w:r>
            <w:r>
              <w:rPr>
                <w:rStyle w:val="InstructionsTabelleberschrift"/>
                <w:rFonts w:ascii="Times New Roman" w:hAnsi="Times New Roman"/>
                <w:sz w:val="24"/>
              </w:rPr>
              <w:t>Clientèle de détail - Expositions garanties par des biens immobiliers non-PME</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lastRenderedPageBreak/>
              <w:t>Voir modèle CR IRB.</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390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1.1.2.2.08</w:t>
            </w:r>
            <w:r>
              <w:tab/>
            </w:r>
            <w:r>
              <w:rPr>
                <w:rStyle w:val="InstructionsTabelleberschrift"/>
                <w:rFonts w:ascii="Times New Roman" w:hAnsi="Times New Roman"/>
                <w:sz w:val="24"/>
              </w:rPr>
              <w:t>Clientèle de détail - Expositions renouvelables éligibles</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Voir modèle CR IRB.</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400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1.1.2.2.09</w:t>
            </w:r>
            <w:r>
              <w:tab/>
            </w:r>
            <w:r>
              <w:rPr>
                <w:rStyle w:val="InstructionsTabelleberschrift"/>
                <w:rFonts w:ascii="Times New Roman" w:hAnsi="Times New Roman"/>
                <w:sz w:val="24"/>
              </w:rPr>
              <w:t>Clientèle de détail - Autres PME</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Voir modèle CR IRB.</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410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1.1.2.2.10</w:t>
            </w:r>
            <w:r>
              <w:tab/>
            </w:r>
            <w:r>
              <w:rPr>
                <w:rStyle w:val="InstructionsTabelleberschrift"/>
                <w:rFonts w:ascii="Times New Roman" w:hAnsi="Times New Roman"/>
                <w:sz w:val="24"/>
              </w:rPr>
              <w:t>Clientèle de détail - Autres non-PME</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Voir modèle CR IRB.</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420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1.1.2.3</w:t>
            </w:r>
            <w:r>
              <w:tab/>
            </w:r>
            <w:r>
              <w:rPr>
                <w:rStyle w:val="InstructionsTabelleberschrift"/>
                <w:rFonts w:ascii="Times New Roman" w:hAnsi="Times New Roman"/>
                <w:sz w:val="24"/>
              </w:rPr>
              <w:t>Actions en approche NI</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Voir modèle CR EQU IRB.</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430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1.1.2.4</w:t>
            </w:r>
            <w:r>
              <w:tab/>
            </w:r>
            <w:r>
              <w:rPr>
                <w:rStyle w:val="InstructionsTabelleberschrift"/>
                <w:rFonts w:ascii="Times New Roman" w:hAnsi="Times New Roman"/>
                <w:sz w:val="24"/>
              </w:rPr>
              <w:t>Positions de titrisation en approche NI</w:t>
            </w:r>
          </w:p>
          <w:p w:rsidR="002648B0" w:rsidRPr="00392FFD" w:rsidRDefault="002648B0" w:rsidP="007106FB">
            <w:pPr>
              <w:rPr>
                <w:rStyle w:val="FormatvorlageInstructionsTabelleText"/>
                <w:rFonts w:ascii="Times New Roman" w:hAnsi="Times New Roman"/>
                <w:sz w:val="24"/>
              </w:rPr>
            </w:pPr>
            <w:r>
              <w:rPr>
                <w:rStyle w:val="FormatvorlageInstructionsTabelleText"/>
                <w:rFonts w:ascii="Times New Roman" w:hAnsi="Times New Roman"/>
                <w:sz w:val="24"/>
              </w:rPr>
              <w:t>Modèle CR SEC IRB, sur le plan du total des types de titrisations.</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440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1.1.2.4.*</w:t>
            </w:r>
            <w:r>
              <w:tab/>
            </w:r>
            <w:r>
              <w:rPr>
                <w:rStyle w:val="InstructionsTabelleberschrift"/>
                <w:rFonts w:ascii="Times New Roman" w:hAnsi="Times New Roman"/>
                <w:sz w:val="24"/>
              </w:rPr>
              <w:t>Dont: retitrisation</w:t>
            </w:r>
          </w:p>
          <w:p w:rsidR="002648B0" w:rsidRPr="00392FFD" w:rsidRDefault="002648B0" w:rsidP="007106FB">
            <w:pPr>
              <w:rPr>
                <w:rStyle w:val="FormatvorlageInstructionsTabelleText"/>
                <w:rFonts w:ascii="Times New Roman" w:hAnsi="Times New Roman"/>
                <w:sz w:val="24"/>
              </w:rPr>
            </w:pPr>
            <w:r>
              <w:rPr>
                <w:rStyle w:val="FormatvorlageInstructionsTabelleText"/>
                <w:rFonts w:ascii="Times New Roman" w:hAnsi="Times New Roman"/>
                <w:sz w:val="24"/>
              </w:rPr>
              <w:t>Modèle CR SEC IRB, sur le plan du total des types de titrisations.</w:t>
            </w:r>
          </w:p>
        </w:tc>
      </w:tr>
      <w:tr w:rsidR="002648B0" w:rsidRPr="00392FFD" w:rsidTr="000903FA">
        <w:tc>
          <w:tcPr>
            <w:tcW w:w="1394" w:type="dxa"/>
          </w:tcPr>
          <w:p w:rsidR="002648B0" w:rsidRPr="00392FFD" w:rsidRDefault="00CD7D5B"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450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1.1.2.5</w:t>
            </w:r>
            <w:r>
              <w:tab/>
            </w:r>
            <w:r>
              <w:rPr>
                <w:rStyle w:val="InstructionsTabelleberschrift"/>
                <w:rFonts w:ascii="Times New Roman" w:hAnsi="Times New Roman"/>
                <w:sz w:val="24"/>
              </w:rPr>
              <w:t>Actifs autres que des obligations de crédit</w:t>
            </w:r>
          </w:p>
          <w:p w:rsidR="002648B0" w:rsidRPr="00392FFD" w:rsidRDefault="002648B0" w:rsidP="007106FB">
            <w:pPr>
              <w:rPr>
                <w:rStyle w:val="FormatvorlageInstructionsTabelleText"/>
                <w:rFonts w:ascii="Times New Roman" w:hAnsi="Times New Roman"/>
                <w:sz w:val="24"/>
              </w:rPr>
            </w:pPr>
            <w:r>
              <w:rPr>
                <w:rStyle w:val="FormatvorlageInstructionsTabelleText"/>
                <w:rFonts w:ascii="Times New Roman" w:hAnsi="Times New Roman"/>
                <w:sz w:val="24"/>
              </w:rPr>
              <w:t xml:space="preserve">Le montant à déclarer est le montant d’exposition pondéré calculé selon l’article 156 du CRR. </w:t>
            </w:r>
          </w:p>
        </w:tc>
      </w:tr>
      <w:tr w:rsidR="002648B0" w:rsidRPr="00392FFD" w:rsidTr="000903FA">
        <w:tc>
          <w:tcPr>
            <w:tcW w:w="1394" w:type="dxa"/>
          </w:tcPr>
          <w:p w:rsidR="002648B0" w:rsidRPr="00392FFD" w:rsidRDefault="00CD7D5B"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460</w:t>
            </w:r>
          </w:p>
        </w:tc>
        <w:tc>
          <w:tcPr>
            <w:tcW w:w="7355" w:type="dxa"/>
          </w:tcPr>
          <w:p w:rsidR="005643EA" w:rsidRPr="00392FFD" w:rsidRDefault="00783881"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1.1.3</w:t>
            </w:r>
            <w:r>
              <w:tab/>
            </w:r>
            <w:r>
              <w:rPr>
                <w:rStyle w:val="InstructionsTabelleberschrift"/>
                <w:rFonts w:ascii="Times New Roman" w:hAnsi="Times New Roman"/>
                <w:sz w:val="24"/>
              </w:rPr>
              <w:t>Montant de l'exposition au risque pour les contributions au fonds de défaillance d'une CCP</w:t>
            </w:r>
          </w:p>
          <w:p w:rsidR="002648B0" w:rsidRPr="00392FFD" w:rsidRDefault="00CD7D5B" w:rsidP="007106FB">
            <w:pPr>
              <w:rPr>
                <w:rStyle w:val="FormatvorlageInstructionsTabelleText"/>
                <w:rFonts w:ascii="Times New Roman" w:hAnsi="Times New Roman"/>
                <w:sz w:val="24"/>
              </w:rPr>
            </w:pPr>
            <w:r>
              <w:rPr>
                <w:rStyle w:val="FormatvorlageInstructionsTabelleText"/>
                <w:rFonts w:ascii="Times New Roman" w:hAnsi="Times New Roman"/>
                <w:sz w:val="24"/>
              </w:rPr>
              <w:t>Articles 307 à 309 du CRR</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490</w:t>
            </w:r>
          </w:p>
        </w:tc>
        <w:tc>
          <w:tcPr>
            <w:tcW w:w="7355" w:type="dxa"/>
          </w:tcPr>
          <w:p w:rsidR="005643EA" w:rsidRPr="00392FFD" w:rsidRDefault="002648B0" w:rsidP="00622B37">
            <w:pPr>
              <w:pStyle w:val="InstructionsText"/>
              <w:rPr>
                <w:rStyle w:val="InstructionsTabelleberschrift"/>
                <w:rFonts w:ascii="Times New Roman" w:hAnsi="Times New Roman"/>
                <w:strike/>
                <w:sz w:val="24"/>
              </w:rPr>
            </w:pPr>
            <w:r>
              <w:rPr>
                <w:rStyle w:val="InstructionsTabelleberschrift"/>
                <w:rFonts w:ascii="Times New Roman" w:hAnsi="Times New Roman"/>
                <w:sz w:val="24"/>
              </w:rPr>
              <w:t>1.2</w:t>
            </w:r>
            <w:r>
              <w:tab/>
            </w:r>
            <w:r>
              <w:rPr>
                <w:rStyle w:val="InstructionsTabelleberschrift"/>
                <w:rFonts w:ascii="Times New Roman" w:hAnsi="Times New Roman"/>
                <w:sz w:val="24"/>
              </w:rPr>
              <w:t>MONTANT TOTAL DE L'EXPOSITION AU RISQUE DE RÈGLEMENT/LIVRAISON</w:t>
            </w:r>
          </w:p>
          <w:p w:rsidR="002648B0" w:rsidRPr="00392FFD" w:rsidRDefault="002648B0" w:rsidP="007106FB">
            <w:pPr>
              <w:rPr>
                <w:rStyle w:val="FormatvorlageInstructionsTabelleText"/>
                <w:rFonts w:ascii="Times New Roman" w:hAnsi="Times New Roman"/>
                <w:sz w:val="24"/>
              </w:rPr>
            </w:pPr>
            <w:r>
              <w:rPr>
                <w:rStyle w:val="FormatvorlageInstructionsTabelleText"/>
                <w:rFonts w:ascii="Times New Roman" w:hAnsi="Times New Roman"/>
                <w:sz w:val="24"/>
              </w:rPr>
              <w:t>Article 92, paragraphe 3, point c) ii), et article 92, paragraphe 4, point b), du CRR</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500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1.2.1</w:t>
            </w:r>
            <w:r>
              <w:tab/>
            </w:r>
            <w:r>
              <w:rPr>
                <w:rStyle w:val="InstructionsTabelleberschrift"/>
                <w:rFonts w:ascii="Times New Roman" w:hAnsi="Times New Roman"/>
                <w:sz w:val="24"/>
              </w:rPr>
              <w:t>Risque de règlement/livraison dans le portefeuille hors nég</w:t>
            </w:r>
            <w:r>
              <w:rPr>
                <w:rStyle w:val="InstructionsTabelleberschrift"/>
                <w:rFonts w:ascii="Times New Roman" w:hAnsi="Times New Roman"/>
                <w:sz w:val="24"/>
              </w:rPr>
              <w:t>o</w:t>
            </w:r>
            <w:r>
              <w:rPr>
                <w:rStyle w:val="InstructionsTabelleberschrift"/>
                <w:rFonts w:ascii="Times New Roman" w:hAnsi="Times New Roman"/>
                <w:sz w:val="24"/>
              </w:rPr>
              <w:t>ciation</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Voir modèle CR SETT.</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510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1.2.2</w:t>
            </w:r>
            <w:r>
              <w:tab/>
            </w:r>
            <w:r>
              <w:rPr>
                <w:rStyle w:val="InstructionsTabelleberschrift"/>
                <w:rFonts w:ascii="Times New Roman" w:hAnsi="Times New Roman"/>
                <w:sz w:val="24"/>
              </w:rPr>
              <w:t>Risque de règlement/livraison dans le portefeuille de négoci</w:t>
            </w:r>
            <w:r>
              <w:rPr>
                <w:rStyle w:val="InstructionsTabelleberschrift"/>
                <w:rFonts w:ascii="Times New Roman" w:hAnsi="Times New Roman"/>
                <w:sz w:val="24"/>
              </w:rPr>
              <w:t>a</w:t>
            </w:r>
            <w:r>
              <w:rPr>
                <w:rStyle w:val="InstructionsTabelleberschrift"/>
                <w:rFonts w:ascii="Times New Roman" w:hAnsi="Times New Roman"/>
                <w:sz w:val="24"/>
              </w:rPr>
              <w:t>tion</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Voir modèle CR SETT.</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520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1.3</w:t>
            </w:r>
            <w:r>
              <w:tab/>
            </w:r>
            <w:r>
              <w:rPr>
                <w:rStyle w:val="InstructionsTabelleberschrift"/>
                <w:rFonts w:ascii="Times New Roman" w:hAnsi="Times New Roman"/>
                <w:sz w:val="24"/>
              </w:rPr>
              <w:t>MONTANT TOTAL D'EXPOSITION AU RISQUE DE P</w:t>
            </w:r>
            <w:r>
              <w:rPr>
                <w:rStyle w:val="InstructionsTabelleberschrift"/>
                <w:rFonts w:ascii="Times New Roman" w:hAnsi="Times New Roman"/>
                <w:sz w:val="24"/>
              </w:rPr>
              <w:t>O</w:t>
            </w:r>
            <w:r>
              <w:rPr>
                <w:rStyle w:val="InstructionsTabelleberschrift"/>
                <w:rFonts w:ascii="Times New Roman" w:hAnsi="Times New Roman"/>
                <w:sz w:val="24"/>
              </w:rPr>
              <w:t>SITION, AU RISQUE DE CHANGE ET AU RISQUE SUR M</w:t>
            </w:r>
            <w:r>
              <w:rPr>
                <w:rStyle w:val="InstructionsTabelleberschrift"/>
                <w:rFonts w:ascii="Times New Roman" w:hAnsi="Times New Roman"/>
                <w:sz w:val="24"/>
              </w:rPr>
              <w:t>A</w:t>
            </w:r>
            <w:r>
              <w:rPr>
                <w:rStyle w:val="InstructionsTabelleberschrift"/>
                <w:rFonts w:ascii="Times New Roman" w:hAnsi="Times New Roman"/>
                <w:sz w:val="24"/>
              </w:rPr>
              <w:t xml:space="preserve">TIÈRES PREMIÈRES </w:t>
            </w:r>
          </w:p>
          <w:p w:rsidR="005643EA" w:rsidRPr="00392FFD" w:rsidRDefault="002648B0" w:rsidP="00622B37">
            <w:pPr>
              <w:pStyle w:val="InstructionsText"/>
              <w:rPr>
                <w:rStyle w:val="FormatvorlageInstructionsTabelleText"/>
                <w:rFonts w:ascii="Times New Roman" w:hAnsi="Times New Roman"/>
                <w:bCs w:val="0"/>
                <w:sz w:val="24"/>
              </w:rPr>
            </w:pPr>
            <w:r>
              <w:rPr>
                <w:rStyle w:val="FormatvorlageInstructionsTabelleText"/>
                <w:rFonts w:ascii="Times New Roman" w:hAnsi="Times New Roman"/>
                <w:sz w:val="24"/>
              </w:rPr>
              <w:t>Article 92, paragraphe 3, point b) i) et points c) i) et iii), et article 92, p</w:t>
            </w:r>
            <w:r>
              <w:rPr>
                <w:rStyle w:val="FormatvorlageInstructionsTabelleText"/>
                <w:rFonts w:ascii="Times New Roman" w:hAnsi="Times New Roman"/>
                <w:sz w:val="24"/>
              </w:rPr>
              <w:t>a</w:t>
            </w:r>
            <w:r>
              <w:rPr>
                <w:rStyle w:val="FormatvorlageInstructionsTabelleText"/>
                <w:rFonts w:ascii="Times New Roman" w:hAnsi="Times New Roman"/>
                <w:sz w:val="24"/>
              </w:rPr>
              <w:t>ragraphe 4, point b), du CRR</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530</w:t>
            </w:r>
          </w:p>
        </w:tc>
        <w:tc>
          <w:tcPr>
            <w:tcW w:w="7355" w:type="dxa"/>
          </w:tcPr>
          <w:p w:rsidR="002648B0" w:rsidRPr="007E39E6" w:rsidRDefault="002648B0"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1.3.1</w:t>
            </w:r>
            <w:r>
              <w:tab/>
            </w:r>
            <w:r>
              <w:rPr>
                <w:rStyle w:val="InstructionsTabelleberschrift"/>
                <w:rFonts w:ascii="Times New Roman" w:hAnsi="Times New Roman"/>
                <w:sz w:val="24"/>
              </w:rPr>
              <w:t>Montant de l'exposition au risque de position, au risque de change et au risque sur matières premières en approches standard (SA)</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540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1.3.1.1</w:t>
            </w:r>
            <w:r>
              <w:tab/>
            </w:r>
            <w:r>
              <w:rPr>
                <w:rStyle w:val="InstructionsTabelleberschrift"/>
                <w:rFonts w:ascii="Times New Roman" w:hAnsi="Times New Roman"/>
                <w:sz w:val="24"/>
              </w:rPr>
              <w:t>Titres de créance négociés</w:t>
            </w:r>
          </w:p>
          <w:p w:rsidR="002648B0" w:rsidRPr="007E39E6" w:rsidRDefault="002648B0" w:rsidP="00622B37">
            <w:pPr>
              <w:pStyle w:val="InstructionsText"/>
              <w:rPr>
                <w:rStyle w:val="FormatvorlageInstructionsTabelleText"/>
                <w:rFonts w:ascii="Times New Roman" w:hAnsi="Times New Roman"/>
                <w:bCs w:val="0"/>
                <w:sz w:val="24"/>
              </w:rPr>
            </w:pPr>
            <w:r>
              <w:rPr>
                <w:rStyle w:val="InstructionsTabelleberschrift"/>
                <w:rFonts w:ascii="Times New Roman" w:hAnsi="Times New Roman"/>
                <w:b w:val="0"/>
                <w:sz w:val="24"/>
                <w:u w:val="none"/>
              </w:rPr>
              <w:lastRenderedPageBreak/>
              <w:t>Modèle MKR SA TDI, sur le plan du total des devises.</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550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1.3.1.2</w:t>
            </w:r>
            <w:r>
              <w:tab/>
            </w:r>
            <w:r>
              <w:rPr>
                <w:rStyle w:val="InstructionsTabelleberschrift"/>
                <w:rFonts w:ascii="Times New Roman" w:hAnsi="Times New Roman"/>
                <w:sz w:val="24"/>
              </w:rPr>
              <w:t>Actions</w:t>
            </w:r>
          </w:p>
          <w:p w:rsidR="002648B0" w:rsidRPr="00392FFD" w:rsidRDefault="002648B0" w:rsidP="007106FB">
            <w:pPr>
              <w:rPr>
                <w:rStyle w:val="FormatvorlageInstructionsTabelleText"/>
                <w:rFonts w:ascii="Times New Roman" w:hAnsi="Times New Roman"/>
                <w:sz w:val="24"/>
              </w:rPr>
            </w:pPr>
            <w:r>
              <w:rPr>
                <w:rStyle w:val="FormatvorlageInstructionsTabelleText"/>
                <w:rFonts w:ascii="Times New Roman" w:hAnsi="Times New Roman"/>
                <w:sz w:val="24"/>
              </w:rPr>
              <w:t xml:space="preserve">Modèle MKR SA EQU, sur le plan du total des marchés nationaux. </w:t>
            </w:r>
          </w:p>
        </w:tc>
      </w:tr>
      <w:tr w:rsidR="00A76381" w:rsidRPr="00392FFD" w:rsidTr="000903FA">
        <w:tc>
          <w:tcPr>
            <w:tcW w:w="1394" w:type="dxa"/>
          </w:tcPr>
          <w:p w:rsidR="00A76381" w:rsidRPr="00392FFD" w:rsidRDefault="00B97F1B"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555</w:t>
            </w:r>
          </w:p>
        </w:tc>
        <w:tc>
          <w:tcPr>
            <w:tcW w:w="7355" w:type="dxa"/>
          </w:tcPr>
          <w:p w:rsidR="00B97F1B" w:rsidRPr="00392FFD" w:rsidRDefault="00B97F1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1.3.1.3</w:t>
            </w:r>
            <w:r>
              <w:tab/>
            </w:r>
            <w:r>
              <w:rPr>
                <w:rStyle w:val="InstructionsTabelleberschrift"/>
                <w:rFonts w:ascii="Times New Roman" w:hAnsi="Times New Roman"/>
                <w:sz w:val="24"/>
              </w:rPr>
              <w:t>Approche spécifique du risque de position sur OPC</w:t>
            </w:r>
          </w:p>
          <w:p w:rsidR="00B97F1B" w:rsidRPr="00392FFD" w:rsidRDefault="00B97F1B" w:rsidP="007106FB">
            <w:pPr>
              <w:rPr>
                <w:rStyle w:val="FormatvorlageInstructionsTabelleText"/>
                <w:rFonts w:ascii="Times New Roman" w:hAnsi="Times New Roman"/>
                <w:sz w:val="24"/>
              </w:rPr>
            </w:pPr>
            <w:r>
              <w:rPr>
                <w:rStyle w:val="FormatvorlageInstructionsTabelleText"/>
                <w:rFonts w:ascii="Times New Roman" w:hAnsi="Times New Roman"/>
                <w:sz w:val="24"/>
              </w:rPr>
              <w:t>Article 348, paragraphe 1, article 350, paragraphe 3, point c), et a</w:t>
            </w:r>
            <w:r>
              <w:rPr>
                <w:rStyle w:val="FormatvorlageInstructionsTabelleText"/>
                <w:rFonts w:ascii="Times New Roman" w:hAnsi="Times New Roman"/>
                <w:sz w:val="24"/>
              </w:rPr>
              <w:t>r</w:t>
            </w:r>
            <w:r>
              <w:rPr>
                <w:rStyle w:val="FormatvorlageInstructionsTabelleText"/>
                <w:rFonts w:ascii="Times New Roman" w:hAnsi="Times New Roman"/>
                <w:sz w:val="24"/>
              </w:rPr>
              <w:t>ticle 364, paragraphe 2, point a), du CRR</w:t>
            </w:r>
          </w:p>
          <w:p w:rsidR="00A76381" w:rsidRPr="00392FFD" w:rsidRDefault="00B97F1B" w:rsidP="007106FB">
            <w:pPr>
              <w:rPr>
                <w:rStyle w:val="FormatvorlageInstructionsTabelleText"/>
                <w:rFonts w:ascii="Times New Roman" w:hAnsi="Times New Roman"/>
                <w:sz w:val="24"/>
              </w:rPr>
            </w:pPr>
            <w:r>
              <w:rPr>
                <w:rStyle w:val="FormatvorlageInstructionsTabelleText"/>
                <w:rFonts w:ascii="Times New Roman" w:hAnsi="Times New Roman"/>
                <w:sz w:val="24"/>
              </w:rPr>
              <w:t>Le montant total d’exposition au risque pour les positions sur OPC lor</w:t>
            </w:r>
            <w:r>
              <w:rPr>
                <w:rStyle w:val="FormatvorlageInstructionsTabelleText"/>
                <w:rFonts w:ascii="Times New Roman" w:hAnsi="Times New Roman"/>
                <w:sz w:val="24"/>
              </w:rPr>
              <w:t>s</w:t>
            </w:r>
            <w:r>
              <w:rPr>
                <w:rStyle w:val="FormatvorlageInstructionsTabelleText"/>
                <w:rFonts w:ascii="Times New Roman" w:hAnsi="Times New Roman"/>
                <w:sz w:val="24"/>
              </w:rPr>
              <w:t>que les exigences de fonds propres sont calculées conformément à l'article 348, paragraphe 1, du CRR soit immédiatement, soit en conséquence du plafond visé à l’article 350, paragraphe 3, point c), du CRR. Le CRR n’affecte pas explicitement ces positions au risque de taux d’intérêt ou au risque lié aux actions.</w:t>
            </w:r>
          </w:p>
          <w:p w:rsidR="00B97F1B" w:rsidRPr="00392FFD" w:rsidRDefault="00B97F1B" w:rsidP="007106FB">
            <w:pPr>
              <w:rPr>
                <w:rStyle w:val="FormatvorlageInstructionsTabelleText"/>
                <w:rFonts w:ascii="Times New Roman" w:hAnsi="Times New Roman"/>
                <w:sz w:val="24"/>
              </w:rPr>
            </w:pPr>
            <w:r>
              <w:rPr>
                <w:rStyle w:val="FormatvorlageInstructionsTabelleText"/>
                <w:rFonts w:ascii="Times New Roman" w:hAnsi="Times New Roman"/>
                <w:sz w:val="24"/>
              </w:rPr>
              <w:t xml:space="preserve">Lorsque l'on utilise l'approche particulière visée à la première phrase de l'article 348, paragraphe 1, du CRR, le montant à déclarer sera égal à 32 % de la position nette de l'exposition sur OPC en question multiplié par 12,5. </w:t>
            </w:r>
          </w:p>
          <w:p w:rsidR="00B97F1B" w:rsidRPr="00392FFD" w:rsidRDefault="00B97F1B" w:rsidP="007106FB">
            <w:pPr>
              <w:rPr>
                <w:rStyle w:val="InstructionsTabelleberschrift"/>
                <w:rFonts w:ascii="Times New Roman" w:hAnsi="Times New Roman"/>
                <w:sz w:val="24"/>
              </w:rPr>
            </w:pPr>
            <w:r>
              <w:rPr>
                <w:rStyle w:val="FormatvorlageInstructionsTabelleText"/>
                <w:rFonts w:ascii="Times New Roman" w:hAnsi="Times New Roman"/>
                <w:sz w:val="24"/>
              </w:rPr>
              <w:t>Lorsque l'on utilise l'approche particulière visée à la deuxième phrase de l'article 348, paragraphe 1, du CRR, le montant à déclarer sera la plus p</w:t>
            </w:r>
            <w:r>
              <w:rPr>
                <w:rStyle w:val="FormatvorlageInstructionsTabelleText"/>
                <w:rFonts w:ascii="Times New Roman" w:hAnsi="Times New Roman"/>
                <w:sz w:val="24"/>
              </w:rPr>
              <w:t>e</w:t>
            </w:r>
            <w:r>
              <w:rPr>
                <w:rStyle w:val="FormatvorlageInstructionsTabelleText"/>
                <w:rFonts w:ascii="Times New Roman" w:hAnsi="Times New Roman"/>
                <w:sz w:val="24"/>
              </w:rPr>
              <w:t>tite des deux valeurs suivantes: 32 % de la position nette de l'exposition sur OPC concernée et la différence entre 40 % de cette position nette et les exigences de fonds propres découlant du risque de change associé à cette exposition sur OPC, respectivement multipliées par 12,5.</w:t>
            </w:r>
          </w:p>
        </w:tc>
      </w:tr>
      <w:tr w:rsidR="00A76381" w:rsidRPr="00392FFD" w:rsidTr="000903FA">
        <w:tc>
          <w:tcPr>
            <w:tcW w:w="1394" w:type="dxa"/>
          </w:tcPr>
          <w:p w:rsidR="00A76381" w:rsidRPr="00392FFD" w:rsidRDefault="00B97F1B"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556</w:t>
            </w:r>
          </w:p>
        </w:tc>
        <w:tc>
          <w:tcPr>
            <w:tcW w:w="7355" w:type="dxa"/>
          </w:tcPr>
          <w:p w:rsidR="00B97F1B" w:rsidRPr="00392FFD" w:rsidRDefault="00B97F1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1.3.1.3.*</w:t>
            </w:r>
            <w:r>
              <w:tab/>
            </w:r>
            <w:r>
              <w:rPr>
                <w:rStyle w:val="InstructionsTabelleberschrift"/>
                <w:rFonts w:ascii="Times New Roman" w:hAnsi="Times New Roman"/>
                <w:sz w:val="24"/>
              </w:rPr>
              <w:t>Pour mémoire: OPC exclusivement investis dans des titres de créance négociés</w:t>
            </w:r>
          </w:p>
          <w:p w:rsidR="00A76381" w:rsidRPr="00392FFD" w:rsidRDefault="00B97F1B" w:rsidP="007106FB">
            <w:pPr>
              <w:rPr>
                <w:rStyle w:val="InstructionsTabelleberschrift"/>
                <w:rFonts w:ascii="Times New Roman" w:hAnsi="Times New Roman"/>
                <w:sz w:val="24"/>
              </w:rPr>
            </w:pPr>
            <w:r>
              <w:rPr>
                <w:rStyle w:val="FormatvorlageInstructionsTabelleText"/>
                <w:rFonts w:ascii="Times New Roman" w:hAnsi="Times New Roman"/>
                <w:sz w:val="24"/>
              </w:rPr>
              <w:t>Montant total d’exposition au risque pour les positions sur OPC, lorsque ceux-ci sont exclusivement investis dans des instruments soumis à un risque de taux d’intérêt.</w:t>
            </w:r>
          </w:p>
        </w:tc>
      </w:tr>
      <w:tr w:rsidR="00A76381" w:rsidRPr="00392FFD" w:rsidTr="000903FA">
        <w:tc>
          <w:tcPr>
            <w:tcW w:w="1394" w:type="dxa"/>
          </w:tcPr>
          <w:p w:rsidR="00A76381" w:rsidRPr="00392FFD" w:rsidRDefault="00B97F1B"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557</w:t>
            </w:r>
          </w:p>
        </w:tc>
        <w:tc>
          <w:tcPr>
            <w:tcW w:w="7355" w:type="dxa"/>
          </w:tcPr>
          <w:p w:rsidR="00B97F1B" w:rsidRPr="00392FFD" w:rsidRDefault="00B97F1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1.3.1.3.**</w:t>
            </w:r>
            <w:r>
              <w:tab/>
            </w:r>
            <w:r>
              <w:rPr>
                <w:rStyle w:val="InstructionsTabelleberschrift"/>
                <w:rFonts w:ascii="Times New Roman" w:hAnsi="Times New Roman"/>
                <w:sz w:val="24"/>
              </w:rPr>
              <w:t>OPC exclusivement investis dans des instruments de fonds propres ou mixtes</w:t>
            </w:r>
          </w:p>
          <w:p w:rsidR="00A76381" w:rsidRPr="00392FFD" w:rsidRDefault="00B97F1B" w:rsidP="007106FB">
            <w:pPr>
              <w:rPr>
                <w:rStyle w:val="InstructionsTabelleberschrift"/>
                <w:rFonts w:ascii="Times New Roman" w:hAnsi="Times New Roman"/>
                <w:sz w:val="24"/>
              </w:rPr>
            </w:pPr>
            <w:r>
              <w:rPr>
                <w:rStyle w:val="FormatvorlageInstructionsTabelleText"/>
                <w:rFonts w:ascii="Times New Roman" w:hAnsi="Times New Roman"/>
                <w:sz w:val="24"/>
              </w:rPr>
              <w:t>Montant total d’exposition au risque pour les positions sur OPC, lorsque ceux-ci sont exclusivement investis dans des instruments soumis à un risque sur actions ou dans des instruments mixtes ou si les composantes de l’OPC sont inconnues.</w:t>
            </w:r>
          </w:p>
        </w:tc>
      </w:tr>
      <w:tr w:rsidR="002648B0" w:rsidRPr="00392FFD" w:rsidTr="000903FA">
        <w:tc>
          <w:tcPr>
            <w:tcW w:w="1394" w:type="dxa"/>
          </w:tcPr>
          <w:p w:rsidR="002648B0" w:rsidRPr="00392FFD" w:rsidRDefault="00836845"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560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1.3.1.4</w:t>
            </w:r>
            <w:r>
              <w:tab/>
            </w:r>
            <w:r>
              <w:rPr>
                <w:rStyle w:val="InstructionsTabelleberschrift"/>
                <w:rFonts w:ascii="Times New Roman" w:hAnsi="Times New Roman"/>
                <w:sz w:val="24"/>
              </w:rPr>
              <w:t>Change</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Voir le modèle MKR SA FX.</w:t>
            </w:r>
          </w:p>
        </w:tc>
      </w:tr>
      <w:tr w:rsidR="002648B0" w:rsidRPr="00392FFD" w:rsidTr="000903FA">
        <w:tc>
          <w:tcPr>
            <w:tcW w:w="1394" w:type="dxa"/>
          </w:tcPr>
          <w:p w:rsidR="002648B0" w:rsidRPr="00392FFD" w:rsidRDefault="00836845"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570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1.3.1.5</w:t>
            </w:r>
            <w:r>
              <w:tab/>
            </w:r>
            <w:r>
              <w:rPr>
                <w:rStyle w:val="InstructionsTabelleberschrift"/>
                <w:rFonts w:ascii="Times New Roman" w:hAnsi="Times New Roman"/>
                <w:sz w:val="24"/>
              </w:rPr>
              <w:t>Matières premières</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Voir le modèle MKR SA COM.</w:t>
            </w:r>
          </w:p>
        </w:tc>
      </w:tr>
      <w:tr w:rsidR="002648B0" w:rsidRPr="00392FFD" w:rsidTr="000903FA">
        <w:tc>
          <w:tcPr>
            <w:tcW w:w="1394" w:type="dxa"/>
          </w:tcPr>
          <w:p w:rsidR="002648B0" w:rsidRPr="00392FFD" w:rsidRDefault="00836845"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580</w:t>
            </w:r>
          </w:p>
          <w:p w:rsidR="005643EA" w:rsidRPr="00392FFD" w:rsidRDefault="005643EA" w:rsidP="00622B37">
            <w:pPr>
              <w:pStyle w:val="InstructionsText"/>
              <w:rPr>
                <w:rStyle w:val="FormatvorlageInstructionsTabelleText"/>
                <w:rFonts w:ascii="Times New Roman" w:hAnsi="Times New Roman"/>
                <w:bCs w:val="0"/>
                <w:sz w:val="24"/>
              </w:rPr>
            </w:pP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1.3.2</w:t>
            </w:r>
            <w:r>
              <w:tab/>
            </w:r>
            <w:r>
              <w:rPr>
                <w:rStyle w:val="InstructionsTabelleberschrift"/>
                <w:rFonts w:ascii="Times New Roman" w:hAnsi="Times New Roman"/>
                <w:sz w:val="24"/>
              </w:rPr>
              <w:t>Montant de l'exposition au risque de position, au risque de change et au risque sur matières premières selon l'approche fondée sur les modèles internes (IM)</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Voir le modèle MKR IM.</w:t>
            </w:r>
          </w:p>
        </w:tc>
      </w:tr>
      <w:tr w:rsidR="002648B0" w:rsidRPr="00392FFD" w:rsidTr="000903FA">
        <w:tc>
          <w:tcPr>
            <w:tcW w:w="1394" w:type="dxa"/>
          </w:tcPr>
          <w:p w:rsidR="002648B0" w:rsidRPr="00392FFD" w:rsidRDefault="00836845"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590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1.4</w:t>
            </w:r>
            <w:r>
              <w:tab/>
            </w:r>
            <w:r>
              <w:rPr>
                <w:rStyle w:val="InstructionsTabelleberschrift"/>
                <w:rFonts w:ascii="Times New Roman" w:hAnsi="Times New Roman"/>
                <w:sz w:val="24"/>
              </w:rPr>
              <w:t>MONTANT TOTAL D’EXPOSITION AU RISQUE OPÉR</w:t>
            </w:r>
            <w:r>
              <w:rPr>
                <w:rStyle w:val="InstructionsTabelleberschrift"/>
                <w:rFonts w:ascii="Times New Roman" w:hAnsi="Times New Roman"/>
                <w:sz w:val="24"/>
              </w:rPr>
              <w:t>A</w:t>
            </w:r>
            <w:r>
              <w:rPr>
                <w:rStyle w:val="InstructionsTabelleberschrift"/>
                <w:rFonts w:ascii="Times New Roman" w:hAnsi="Times New Roman"/>
                <w:sz w:val="24"/>
              </w:rPr>
              <w:t>TIONNEL (ROp)</w:t>
            </w:r>
          </w:p>
          <w:p w:rsidR="005643EA" w:rsidRPr="00392FFD" w:rsidRDefault="002648B0" w:rsidP="00622B37">
            <w:pPr>
              <w:pStyle w:val="InstructionsText"/>
              <w:rPr>
                <w:rStyle w:val="FormatvorlageInstructionsTabelleText"/>
                <w:rFonts w:ascii="Times New Roman" w:hAnsi="Times New Roman"/>
                <w:bCs w:val="0"/>
                <w:sz w:val="24"/>
              </w:rPr>
            </w:pPr>
            <w:r>
              <w:rPr>
                <w:rStyle w:val="FormatvorlageInstructionsTabelleText"/>
                <w:rFonts w:ascii="Times New Roman" w:hAnsi="Times New Roman"/>
                <w:sz w:val="24"/>
              </w:rPr>
              <w:t>Article 92, paragraphe 3, point e), et article 92, paragraphe 4, point b), du CRR</w:t>
            </w:r>
          </w:p>
          <w:p w:rsidR="002648B0" w:rsidRPr="00392FFD" w:rsidRDefault="002648B0" w:rsidP="007106FB">
            <w:pPr>
              <w:rPr>
                <w:rStyle w:val="FormatvorlageInstructionsTabelleText"/>
                <w:rFonts w:ascii="Times New Roman" w:hAnsi="Times New Roman"/>
                <w:sz w:val="24"/>
              </w:rPr>
            </w:pPr>
            <w:r>
              <w:rPr>
                <w:rStyle w:val="FormatvorlageInstructionsTabelleText"/>
                <w:rFonts w:ascii="Times New Roman" w:hAnsi="Times New Roman"/>
                <w:sz w:val="24"/>
              </w:rPr>
              <w:t>Pour les entreprises d’investissement visées à l’article 95, paragraphe 2, à l’article 96, paragraphe 2, et à l’article 98 du CRR, cet élément sera égal à 0.</w:t>
            </w:r>
          </w:p>
        </w:tc>
      </w:tr>
      <w:tr w:rsidR="002648B0" w:rsidRPr="00392FFD" w:rsidTr="000903FA">
        <w:tc>
          <w:tcPr>
            <w:tcW w:w="1394" w:type="dxa"/>
          </w:tcPr>
          <w:p w:rsidR="002648B0" w:rsidRPr="00392FFD" w:rsidRDefault="00836845"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600</w:t>
            </w:r>
          </w:p>
          <w:p w:rsidR="005643EA" w:rsidRPr="00392FFD" w:rsidRDefault="005643EA" w:rsidP="00622B37">
            <w:pPr>
              <w:pStyle w:val="InstructionsText"/>
              <w:rPr>
                <w:rStyle w:val="FormatvorlageInstructionsTabelleText"/>
                <w:rFonts w:ascii="Times New Roman" w:hAnsi="Times New Roman"/>
                <w:bCs w:val="0"/>
                <w:sz w:val="24"/>
              </w:rPr>
            </w:pPr>
          </w:p>
        </w:tc>
        <w:tc>
          <w:tcPr>
            <w:tcW w:w="7355" w:type="dxa"/>
          </w:tcPr>
          <w:p w:rsidR="005643EA" w:rsidRPr="00392FFD" w:rsidRDefault="002648B0" w:rsidP="00622B37">
            <w:pPr>
              <w:pStyle w:val="InstructionsText"/>
              <w:rPr>
                <w:rStyle w:val="FormatvorlageInstructionsTabelleText"/>
                <w:rFonts w:ascii="Times New Roman" w:hAnsi="Times New Roman"/>
                <w:bCs w:val="0"/>
                <w:sz w:val="24"/>
              </w:rPr>
            </w:pPr>
            <w:r>
              <w:rPr>
                <w:rStyle w:val="InstructionsTabelleberschrift"/>
                <w:rFonts w:ascii="Times New Roman" w:hAnsi="Times New Roman"/>
                <w:sz w:val="24"/>
              </w:rPr>
              <w:t>1.4.1</w:t>
            </w:r>
            <w:r>
              <w:tab/>
            </w:r>
            <w:r>
              <w:rPr>
                <w:rStyle w:val="InstructionsTabelleberschrift"/>
                <w:rFonts w:ascii="Times New Roman" w:hAnsi="Times New Roman"/>
                <w:sz w:val="24"/>
              </w:rPr>
              <w:t>Approche élémentaire (BIA) du ROp</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Voir le modèle OPR.</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610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1.4.2</w:t>
            </w:r>
            <w:r>
              <w:tab/>
            </w:r>
            <w:r>
              <w:rPr>
                <w:rStyle w:val="InstructionsTabelleberschrift"/>
                <w:rFonts w:ascii="Times New Roman" w:hAnsi="Times New Roman"/>
                <w:sz w:val="24"/>
              </w:rPr>
              <w:t>Approches standard (TSA) / standard de remplacement (ASA) du ROp</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Voir le modèle OPR.</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620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1.4.3</w:t>
            </w:r>
            <w:r>
              <w:tab/>
            </w:r>
            <w:r>
              <w:rPr>
                <w:rStyle w:val="InstructionsTabelleberschrift"/>
                <w:rFonts w:ascii="Times New Roman" w:hAnsi="Times New Roman"/>
                <w:sz w:val="24"/>
              </w:rPr>
              <w:t>Approches par mesure avancée (AMA) du ROp</w:t>
            </w:r>
          </w:p>
          <w:p w:rsidR="002648B0" w:rsidRPr="00392FFD" w:rsidRDefault="00D212FE" w:rsidP="007106FB">
            <w:pPr>
              <w:rPr>
                <w:rStyle w:val="FormatvorlageInstructionsTabelleText"/>
                <w:rFonts w:ascii="Times New Roman" w:hAnsi="Times New Roman"/>
                <w:sz w:val="24"/>
              </w:rPr>
            </w:pPr>
            <w:r>
              <w:rPr>
                <w:rStyle w:val="FormatvorlageInstructionsTabelleText"/>
                <w:rFonts w:ascii="Times New Roman" w:hAnsi="Times New Roman"/>
                <w:sz w:val="24"/>
              </w:rPr>
              <w:t>Voir le modèle OPR.</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630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1.5</w:t>
            </w:r>
            <w:r>
              <w:tab/>
            </w:r>
            <w:r>
              <w:rPr>
                <w:rStyle w:val="InstructionsTabelleberschrift"/>
                <w:rFonts w:ascii="Times New Roman" w:hAnsi="Times New Roman"/>
                <w:sz w:val="24"/>
              </w:rPr>
              <w:t>MONTANT D'EXPOSITION AU RISQUE SUPPLÉME</w:t>
            </w:r>
            <w:r>
              <w:rPr>
                <w:rStyle w:val="InstructionsTabelleberschrift"/>
                <w:rFonts w:ascii="Times New Roman" w:hAnsi="Times New Roman"/>
                <w:sz w:val="24"/>
              </w:rPr>
              <w:t>N</w:t>
            </w:r>
            <w:r>
              <w:rPr>
                <w:rStyle w:val="InstructionsTabelleberschrift"/>
                <w:rFonts w:ascii="Times New Roman" w:hAnsi="Times New Roman"/>
                <w:sz w:val="24"/>
              </w:rPr>
              <w:t>TAIRE LIÉ AUX FRAIS FIXES</w:t>
            </w:r>
          </w:p>
          <w:p w:rsidR="002648B0" w:rsidRPr="00392FFD" w:rsidRDefault="002648B0" w:rsidP="007106FB">
            <w:pPr>
              <w:rPr>
                <w:rStyle w:val="FormatvorlageInstructionsTabelleText"/>
                <w:rFonts w:ascii="Times New Roman" w:hAnsi="Times New Roman"/>
                <w:sz w:val="24"/>
              </w:rPr>
            </w:pPr>
            <w:r>
              <w:rPr>
                <w:rStyle w:val="FormatvorlageInstructionsTabelleText"/>
                <w:rFonts w:ascii="Times New Roman" w:hAnsi="Times New Roman"/>
                <w:sz w:val="24"/>
              </w:rPr>
              <w:t>Article 95, paragraphe 2, article 96, paragraphe 2, article 97 et article 98, paragraphe 1, point a), du CRR</w:t>
            </w:r>
          </w:p>
          <w:p w:rsidR="002648B0" w:rsidRPr="00392FFD" w:rsidRDefault="002648B0" w:rsidP="007106FB">
            <w:pPr>
              <w:rPr>
                <w:rStyle w:val="FormatvorlageInstructionsTabelleText"/>
                <w:rFonts w:ascii="Times New Roman" w:hAnsi="Times New Roman"/>
                <w:sz w:val="24"/>
              </w:rPr>
            </w:pPr>
            <w:r>
              <w:rPr>
                <w:rStyle w:val="FormatvorlageInstructionsTabelleText"/>
                <w:rFonts w:ascii="Times New Roman" w:hAnsi="Times New Roman"/>
                <w:sz w:val="24"/>
              </w:rPr>
              <w:t>Ne concerne que les entreprises d’investissement visées à l’article 95, p</w:t>
            </w:r>
            <w:r>
              <w:rPr>
                <w:rStyle w:val="FormatvorlageInstructionsTabelleText"/>
                <w:rFonts w:ascii="Times New Roman" w:hAnsi="Times New Roman"/>
                <w:sz w:val="24"/>
              </w:rPr>
              <w:t>a</w:t>
            </w:r>
            <w:r>
              <w:rPr>
                <w:rStyle w:val="FormatvorlageInstructionsTabelleText"/>
                <w:rFonts w:ascii="Times New Roman" w:hAnsi="Times New Roman"/>
                <w:sz w:val="24"/>
              </w:rPr>
              <w:t xml:space="preserve">ragraphe 2, à l’article 96, paragraphe 2, et à l’article 98 du CRR. Voir également l’article 97 du CRR. </w:t>
            </w:r>
          </w:p>
          <w:p w:rsidR="002648B0" w:rsidRPr="00392FFD" w:rsidRDefault="002648B0" w:rsidP="007106FB">
            <w:pPr>
              <w:rPr>
                <w:rStyle w:val="FormatvorlageInstructionsTabelleText"/>
                <w:rFonts w:ascii="Times New Roman" w:hAnsi="Times New Roman"/>
                <w:sz w:val="24"/>
              </w:rPr>
            </w:pPr>
            <w:r>
              <w:rPr>
                <w:rStyle w:val="FormatvorlageInstructionsTabelleText"/>
                <w:rFonts w:ascii="Times New Roman" w:hAnsi="Times New Roman"/>
                <w:sz w:val="24"/>
              </w:rPr>
              <w:t>Les entreprises d’investissement visées à l’article 96 du CRR déclarent le montant visé à l’article 97, multiplié par 12,5.</w:t>
            </w:r>
          </w:p>
          <w:p w:rsidR="002648B0" w:rsidRPr="00392FFD" w:rsidRDefault="002648B0" w:rsidP="007106FB">
            <w:pPr>
              <w:rPr>
                <w:rStyle w:val="FormatvorlageInstructionsTabelleText"/>
                <w:rFonts w:ascii="Times New Roman" w:hAnsi="Times New Roman"/>
                <w:sz w:val="24"/>
              </w:rPr>
            </w:pPr>
            <w:r>
              <w:rPr>
                <w:rStyle w:val="FormatvorlageInstructionsTabelleText"/>
                <w:rFonts w:ascii="Times New Roman" w:hAnsi="Times New Roman"/>
                <w:sz w:val="24"/>
              </w:rPr>
              <w:t>Pour les entreprises d’investissement visées à l’article 95 du CRR:</w:t>
            </w:r>
          </w:p>
          <w:p w:rsidR="002648B0" w:rsidRPr="00125707" w:rsidRDefault="00125707" w:rsidP="0023700C">
            <w:pPr>
              <w:pStyle w:val="InstructionsText"/>
              <w:tabs>
                <w:tab w:val="left" w:pos="357"/>
              </w:tabs>
              <w:ind w:left="357" w:hanging="357"/>
              <w:rPr>
                <w:rStyle w:val="FormatvorlageInstructionsTabelleText"/>
                <w:rFonts w:ascii="Times New Roman" w:hAnsi="Times New Roman"/>
                <w:sz w:val="24"/>
              </w:rPr>
            </w:pPr>
            <w:r>
              <w:rPr>
                <w:rStyle w:val="FormatvorlageInstructionsTabelleText"/>
                <w:rFonts w:ascii="Arial" w:hAnsi="Arial"/>
                <w:sz w:val="24"/>
              </w:rPr>
              <w:t>-</w:t>
            </w:r>
            <w:r>
              <w:tab/>
            </w:r>
            <w:r>
              <w:rPr>
                <w:rStyle w:val="FormatvorlageInstructionsTabelleText"/>
                <w:rFonts w:ascii="Times New Roman" w:hAnsi="Times New Roman"/>
                <w:sz w:val="24"/>
              </w:rPr>
              <w:t>Si le</w:t>
            </w:r>
            <w:r>
              <w:t xml:space="preserve"> montant</w:t>
            </w:r>
            <w:r>
              <w:rPr>
                <w:rStyle w:val="FormatvorlageInstructionsTabelleText"/>
                <w:rFonts w:ascii="Times New Roman" w:hAnsi="Times New Roman"/>
                <w:sz w:val="24"/>
              </w:rPr>
              <w:t xml:space="preserve"> visé à l’article 95, paragraphe 2, point a), du CRR est supérieur au montant visé à l’article 95, paragraphe 2, point b), du CRR, le montant à déclarer sera 0.</w:t>
            </w:r>
          </w:p>
          <w:p w:rsidR="002648B0" w:rsidRPr="00125707" w:rsidRDefault="00125707" w:rsidP="0023700C">
            <w:pPr>
              <w:pStyle w:val="InstructionsText"/>
              <w:tabs>
                <w:tab w:val="left" w:pos="357"/>
              </w:tabs>
              <w:ind w:left="357" w:hanging="357"/>
              <w:rPr>
                <w:rStyle w:val="FormatvorlageInstructionsTabelleText"/>
                <w:rFonts w:ascii="Times New Roman" w:hAnsi="Times New Roman"/>
                <w:sz w:val="24"/>
              </w:rPr>
            </w:pPr>
            <w:r>
              <w:rPr>
                <w:rStyle w:val="FormatvorlageInstructionsTabelleText"/>
                <w:rFonts w:ascii="Arial" w:hAnsi="Arial"/>
                <w:sz w:val="24"/>
              </w:rPr>
              <w:t>-</w:t>
            </w:r>
            <w:r>
              <w:tab/>
            </w:r>
            <w:r>
              <w:rPr>
                <w:rStyle w:val="FormatvorlageInstructionsTabelleText"/>
                <w:rFonts w:ascii="Times New Roman" w:hAnsi="Times New Roman"/>
                <w:sz w:val="24"/>
              </w:rPr>
              <w:t>Si le</w:t>
            </w:r>
            <w:r>
              <w:t xml:space="preserve"> montant</w:t>
            </w:r>
            <w:r>
              <w:rPr>
                <w:rStyle w:val="FormatvorlageInstructionsTabelleText"/>
                <w:rFonts w:ascii="Times New Roman" w:hAnsi="Times New Roman"/>
                <w:sz w:val="24"/>
              </w:rPr>
              <w:t xml:space="preserve"> visé à l’article 95, paragraphe 2, point b), du CRR est supérieur au montant visé à l’article 95, paragraphe 2, point a), du CRR, le montant à déclarer sera obtenu en soustrayant ce dernier du premier. </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640</w:t>
            </w:r>
          </w:p>
        </w:tc>
        <w:tc>
          <w:tcPr>
            <w:tcW w:w="7355"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1.6</w:t>
            </w:r>
            <w:r>
              <w:tab/>
            </w:r>
            <w:r>
              <w:rPr>
                <w:rStyle w:val="InstructionsTabelleberschrift"/>
                <w:rFonts w:ascii="Times New Roman" w:hAnsi="Times New Roman"/>
                <w:sz w:val="24"/>
              </w:rPr>
              <w:t>MONTANT TOTAL D'EXPOSITION AU RISQUE D'AJU</w:t>
            </w:r>
            <w:r>
              <w:rPr>
                <w:rStyle w:val="InstructionsTabelleberschrift"/>
                <w:rFonts w:ascii="Times New Roman" w:hAnsi="Times New Roman"/>
                <w:sz w:val="24"/>
              </w:rPr>
              <w:t>S</w:t>
            </w:r>
            <w:r>
              <w:rPr>
                <w:rStyle w:val="InstructionsTabelleberschrift"/>
                <w:rFonts w:ascii="Times New Roman" w:hAnsi="Times New Roman"/>
                <w:sz w:val="24"/>
              </w:rPr>
              <w:t>TEMENT DE L'ÉVALUATION DE CRÉDIT</w:t>
            </w:r>
          </w:p>
          <w:p w:rsidR="005643EA" w:rsidRPr="00392FFD" w:rsidRDefault="002648B0" w:rsidP="00622B37">
            <w:pPr>
              <w:pStyle w:val="InstructionsText"/>
              <w:rPr>
                <w:rStyle w:val="FormatvorlageInstructionsTabelleText"/>
                <w:rFonts w:ascii="Times New Roman" w:hAnsi="Times New Roman"/>
                <w:bCs w:val="0"/>
                <w:sz w:val="24"/>
              </w:rPr>
            </w:pPr>
            <w:r>
              <w:rPr>
                <w:rStyle w:val="InstructionsTabelleberschrift"/>
                <w:rFonts w:ascii="Times New Roman" w:hAnsi="Times New Roman"/>
                <w:b w:val="0"/>
                <w:sz w:val="24"/>
                <w:u w:val="none"/>
              </w:rPr>
              <w:t>Article 92, paragraphe 3, point d), du CRR. Voir le modèle CVA.</w:t>
            </w:r>
            <w:r>
              <w:rPr>
                <w:rStyle w:val="FormatvorlageInstructionsTabelleText"/>
                <w:rFonts w:ascii="Times New Roman" w:hAnsi="Times New Roman"/>
                <w:sz w:val="24"/>
              </w:rPr>
              <w:t xml:space="preserve"> </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650</w:t>
            </w:r>
          </w:p>
        </w:tc>
        <w:tc>
          <w:tcPr>
            <w:tcW w:w="7355" w:type="dxa"/>
          </w:tcPr>
          <w:p w:rsidR="005643EA" w:rsidRPr="007E39E6" w:rsidRDefault="002648B0"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1.6.1</w:t>
            </w:r>
            <w:r>
              <w:tab/>
            </w:r>
            <w:r>
              <w:rPr>
                <w:rStyle w:val="InstructionsTabelleberschrift"/>
                <w:rFonts w:ascii="Times New Roman" w:hAnsi="Times New Roman"/>
                <w:sz w:val="24"/>
              </w:rPr>
              <w:t>Méthode avancée</w:t>
            </w:r>
          </w:p>
          <w:p w:rsidR="002648B0" w:rsidRPr="00392FFD" w:rsidRDefault="002648B0" w:rsidP="007106FB">
            <w:pPr>
              <w:rPr>
                <w:rStyle w:val="FormatvorlageInstructionsTabelleText"/>
                <w:rFonts w:ascii="Times New Roman" w:hAnsi="Times New Roman"/>
                <w:sz w:val="24"/>
              </w:rPr>
            </w:pPr>
            <w:r>
              <w:rPr>
                <w:rStyle w:val="FormatvorlageInstructionsTabelleText"/>
                <w:rFonts w:ascii="Times New Roman" w:hAnsi="Times New Roman"/>
                <w:sz w:val="24"/>
              </w:rPr>
              <w:t>Exigences de fonds propres pour le risque d'ajustement de l'évaluation de crédit, conformément à l'article 383 du CRR. Voir le modèle CVA.</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660</w:t>
            </w:r>
          </w:p>
        </w:tc>
        <w:tc>
          <w:tcPr>
            <w:tcW w:w="7355" w:type="dxa"/>
          </w:tcPr>
          <w:p w:rsidR="005643EA" w:rsidRPr="007E39E6" w:rsidRDefault="002648B0"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1.6.2</w:t>
            </w:r>
            <w:r>
              <w:tab/>
            </w:r>
            <w:r>
              <w:rPr>
                <w:rStyle w:val="InstructionsTabelleberschrift"/>
                <w:rFonts w:ascii="Times New Roman" w:hAnsi="Times New Roman"/>
                <w:sz w:val="24"/>
              </w:rPr>
              <w:t>Méthode standard</w:t>
            </w:r>
          </w:p>
          <w:p w:rsidR="002648B0" w:rsidRPr="00392FFD" w:rsidRDefault="002648B0" w:rsidP="007106FB">
            <w:pPr>
              <w:rPr>
                <w:rStyle w:val="FormatvorlageInstructionsTabelleText"/>
                <w:rFonts w:ascii="Times New Roman" w:hAnsi="Times New Roman"/>
                <w:sz w:val="24"/>
              </w:rPr>
            </w:pPr>
            <w:r>
              <w:rPr>
                <w:rStyle w:val="FormatvorlageInstructionsTabelleText"/>
                <w:rFonts w:ascii="Times New Roman" w:hAnsi="Times New Roman"/>
                <w:sz w:val="24"/>
              </w:rPr>
              <w:t>Exigences de fonds propres pour le risque d'ajustement de l'évaluation de crédit, conformément à l'article 384 du CRR. Voir le modèle CVA.</w:t>
            </w:r>
          </w:p>
        </w:tc>
      </w:tr>
      <w:tr w:rsidR="00836845" w:rsidRPr="00392FFD" w:rsidTr="000903FA">
        <w:tc>
          <w:tcPr>
            <w:tcW w:w="1394" w:type="dxa"/>
          </w:tcPr>
          <w:p w:rsidR="00836845" w:rsidRPr="00392FFD" w:rsidRDefault="00D33AA1"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lastRenderedPageBreak/>
              <w:t>670</w:t>
            </w:r>
          </w:p>
        </w:tc>
        <w:tc>
          <w:tcPr>
            <w:tcW w:w="7355" w:type="dxa"/>
          </w:tcPr>
          <w:p w:rsidR="005643EA" w:rsidRPr="00392FFD" w:rsidRDefault="00D33AA1"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1.6.3.</w:t>
            </w:r>
            <w:r>
              <w:tab/>
            </w:r>
            <w:r>
              <w:rPr>
                <w:rStyle w:val="InstructionsTabelleberschrift"/>
                <w:rFonts w:ascii="Times New Roman" w:hAnsi="Times New Roman"/>
                <w:sz w:val="24"/>
              </w:rPr>
              <w:t>Méthode de l'exposition initiale</w:t>
            </w:r>
          </w:p>
          <w:p w:rsidR="00783881" w:rsidRPr="007E39E6" w:rsidRDefault="00D33AA1" w:rsidP="00622B37">
            <w:pPr>
              <w:pStyle w:val="InstructionsText"/>
              <w:rPr>
                <w:rStyle w:val="InstructionsTabelleberschrift"/>
                <w:rFonts w:ascii="Times New Roman" w:hAnsi="Times New Roman"/>
                <w:b w:val="0"/>
                <w:bCs w:val="0"/>
                <w:sz w:val="24"/>
                <w:u w:val="none"/>
              </w:rPr>
            </w:pPr>
            <w:r>
              <w:rPr>
                <w:rStyle w:val="FormatvorlageInstructionsTabelleText"/>
                <w:rFonts w:ascii="Times New Roman" w:hAnsi="Times New Roman"/>
                <w:sz w:val="24"/>
              </w:rPr>
              <w:t>Exigences de fonds propres pour le risque d'ajustement de l'évaluation de crédit, conformément à l'article 385 du CRR. Voir le modèle CVA.</w:t>
            </w:r>
          </w:p>
        </w:tc>
      </w:tr>
      <w:tr w:rsidR="002648B0" w:rsidRPr="00392FFD" w:rsidTr="000903FA">
        <w:tc>
          <w:tcPr>
            <w:tcW w:w="1394" w:type="dxa"/>
          </w:tcPr>
          <w:p w:rsidR="00783881" w:rsidRPr="00392FFD" w:rsidRDefault="00D33AA1" w:rsidP="00622B37">
            <w:pPr>
              <w:pStyle w:val="InstructionsText"/>
              <w:rPr>
                <w:rStyle w:val="FormatvorlageInstructionsTabelleText"/>
                <w:rFonts w:ascii="Times New Roman" w:hAnsi="Times New Roman"/>
                <w:bCs w:val="0"/>
                <w:sz w:val="24"/>
              </w:rPr>
            </w:pPr>
            <w:r>
              <w:rPr>
                <w:rStyle w:val="FormatvorlageInstructionsTabelleText"/>
                <w:rFonts w:ascii="Times New Roman" w:hAnsi="Times New Roman"/>
                <w:sz w:val="24"/>
              </w:rPr>
              <w:t>680</w:t>
            </w:r>
          </w:p>
        </w:tc>
        <w:tc>
          <w:tcPr>
            <w:tcW w:w="7355" w:type="dxa"/>
          </w:tcPr>
          <w:p w:rsidR="00783881" w:rsidRPr="007E39E6" w:rsidRDefault="002648B0" w:rsidP="00622B37">
            <w:pPr>
              <w:pStyle w:val="InstructionsText"/>
              <w:rPr>
                <w:rStyle w:val="FormatvorlageInstructionsTabelleText"/>
                <w:rFonts w:ascii="Times New Roman" w:hAnsi="Times New Roman"/>
                <w:b/>
                <w:bCs w:val="0"/>
                <w:sz w:val="24"/>
                <w:u w:val="single"/>
              </w:rPr>
            </w:pPr>
            <w:r>
              <w:rPr>
                <w:rStyle w:val="InstructionsTabelleberschrift"/>
                <w:rFonts w:ascii="Times New Roman" w:hAnsi="Times New Roman"/>
                <w:sz w:val="24"/>
              </w:rPr>
              <w:t>1.7</w:t>
            </w:r>
            <w:r>
              <w:tab/>
            </w:r>
            <w:r>
              <w:rPr>
                <w:rStyle w:val="InstructionsTabelleberschrift"/>
                <w:rFonts w:ascii="Times New Roman" w:hAnsi="Times New Roman"/>
                <w:sz w:val="24"/>
              </w:rPr>
              <w:t>MONTANT TOTAL D'EXPOSITION LIÉ AUX GRANDS RISQUES DU PORTEFEUILLE DE NÉGOCIATION</w:t>
            </w:r>
          </w:p>
          <w:p w:rsidR="00783881" w:rsidRPr="00392FFD" w:rsidRDefault="002648B0" w:rsidP="00622B37">
            <w:pPr>
              <w:pStyle w:val="InstructionsText"/>
              <w:rPr>
                <w:rStyle w:val="FormatvorlageInstructionsTabelleText"/>
                <w:rFonts w:ascii="Times New Roman" w:hAnsi="Times New Roman"/>
                <w:bCs w:val="0"/>
                <w:sz w:val="24"/>
              </w:rPr>
            </w:pPr>
            <w:r>
              <w:rPr>
                <w:rStyle w:val="FormatvorlageInstructionsTabelleText"/>
                <w:rFonts w:ascii="Times New Roman" w:hAnsi="Times New Roman"/>
                <w:sz w:val="24"/>
              </w:rPr>
              <w:t>Article 92, paragraphe 3, point b) ii), et articles 395 à 401 du CRR</w:t>
            </w:r>
          </w:p>
        </w:tc>
      </w:tr>
      <w:tr w:rsidR="002648B0" w:rsidRPr="00392FFD" w:rsidTr="000903FA">
        <w:tc>
          <w:tcPr>
            <w:tcW w:w="1394" w:type="dxa"/>
          </w:tcPr>
          <w:p w:rsidR="002648B0" w:rsidRPr="00392FFD" w:rsidRDefault="00D33AA1"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690</w:t>
            </w:r>
          </w:p>
        </w:tc>
        <w:tc>
          <w:tcPr>
            <w:tcW w:w="7355"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1.8</w:t>
            </w:r>
            <w:r>
              <w:tab/>
            </w:r>
            <w:r>
              <w:rPr>
                <w:rStyle w:val="InstructionsTabelleberschrift"/>
                <w:rFonts w:ascii="Times New Roman" w:hAnsi="Times New Roman"/>
                <w:sz w:val="24"/>
              </w:rPr>
              <w:t>MONTANTS D'EXPOSITION AUX AUTRES RISQUES</w:t>
            </w:r>
          </w:p>
          <w:p w:rsidR="00783881" w:rsidRPr="00392FFD" w:rsidRDefault="002648B0" w:rsidP="00622B37">
            <w:pPr>
              <w:pStyle w:val="InstructionsText"/>
              <w:rPr>
                <w:rStyle w:val="InstructionsTabelleberschrift"/>
                <w:rFonts w:ascii="Times New Roman" w:hAnsi="Times New Roman"/>
                <w:b w:val="0"/>
                <w:bCs w:val="0"/>
                <w:sz w:val="24"/>
                <w:u w:val="none"/>
              </w:rPr>
            </w:pPr>
            <w:r>
              <w:rPr>
                <w:rStyle w:val="InstructionsTabelleberschrift"/>
                <w:rFonts w:ascii="Times New Roman" w:hAnsi="Times New Roman"/>
                <w:b w:val="0"/>
                <w:sz w:val="24"/>
                <w:u w:val="none"/>
              </w:rPr>
              <w:t xml:space="preserve">Articles 3, 458 et 459 du CRR, ainsi que les montants d’exposition au risque ne pouvant pas être déclarés dans un des postes 1.1 à 1.7. </w:t>
            </w:r>
          </w:p>
          <w:p w:rsidR="00783881" w:rsidRPr="00392FFD" w:rsidRDefault="002648B0" w:rsidP="00622B37">
            <w:pPr>
              <w:pStyle w:val="InstructionsText"/>
              <w:rPr>
                <w:rStyle w:val="InstructionsTabelleberschrift"/>
                <w:rFonts w:ascii="Times New Roman" w:hAnsi="Times New Roman"/>
                <w:b w:val="0"/>
                <w:bCs w:val="0"/>
                <w:sz w:val="24"/>
                <w:u w:val="none"/>
              </w:rPr>
            </w:pPr>
            <w:r>
              <w:rPr>
                <w:rStyle w:val="InstructionsTabelleberschrift"/>
                <w:rFonts w:ascii="Times New Roman" w:hAnsi="Times New Roman"/>
                <w:b w:val="0"/>
                <w:sz w:val="24"/>
                <w:u w:val="none"/>
              </w:rPr>
              <w:t>Les établissements déclarent les montants nécessaires pour se conformer aux dispositions suivantes:</w:t>
            </w:r>
          </w:p>
          <w:p w:rsidR="00783881" w:rsidRPr="00392FFD" w:rsidRDefault="002648B0" w:rsidP="00622B37">
            <w:pPr>
              <w:pStyle w:val="InstructionsText"/>
              <w:rPr>
                <w:rStyle w:val="InstructionsTabelleberschrift"/>
                <w:rFonts w:ascii="Times New Roman" w:hAnsi="Times New Roman"/>
                <w:b w:val="0"/>
                <w:bCs w:val="0"/>
                <w:sz w:val="24"/>
                <w:u w:val="none"/>
              </w:rPr>
            </w:pPr>
            <w:r>
              <w:rPr>
                <w:rStyle w:val="InstructionsTabelleberschrift"/>
                <w:rFonts w:ascii="Times New Roman" w:hAnsi="Times New Roman"/>
                <w:b w:val="0"/>
                <w:sz w:val="24"/>
                <w:u w:val="none"/>
              </w:rPr>
              <w:t xml:space="preserve">Les exigences prudentielles plus strictes imposées par la Commission, conformément aux articles 458 et 459 du CRR. </w:t>
            </w:r>
          </w:p>
          <w:p w:rsidR="00783881" w:rsidRPr="00392FFD" w:rsidRDefault="00DA4727" w:rsidP="00622B37">
            <w:pPr>
              <w:pStyle w:val="InstructionsText"/>
              <w:rPr>
                <w:rStyle w:val="InstructionsTabelleberschrift"/>
                <w:rFonts w:ascii="Times New Roman" w:hAnsi="Times New Roman"/>
                <w:b w:val="0"/>
                <w:bCs w:val="0"/>
                <w:sz w:val="24"/>
                <w:u w:val="none"/>
              </w:rPr>
            </w:pPr>
            <w:r>
              <w:rPr>
                <w:rStyle w:val="InstructionsTabelleberschrift"/>
                <w:rFonts w:ascii="Times New Roman" w:hAnsi="Times New Roman"/>
                <w:b w:val="0"/>
                <w:sz w:val="24"/>
                <w:u w:val="none"/>
              </w:rPr>
              <w:t>Les montants supplémentaires d’exposition au risque, en vertu de l’article 3 du CRR.</w:t>
            </w:r>
          </w:p>
          <w:p w:rsidR="005643EA" w:rsidRPr="007E39E6" w:rsidRDefault="00DA4727" w:rsidP="00622B37">
            <w:pPr>
              <w:pStyle w:val="InstructionsText"/>
              <w:rPr>
                <w:rStyle w:val="InstructionsTabelleberschrift"/>
                <w:rFonts w:ascii="Times New Roman" w:hAnsi="Times New Roman"/>
                <w:bCs w:val="0"/>
                <w:sz w:val="24"/>
                <w:u w:val="none"/>
              </w:rPr>
            </w:pPr>
            <w:r>
              <w:rPr>
                <w:rStyle w:val="InstructionsTabelleberschrift"/>
                <w:rFonts w:ascii="Times New Roman" w:hAnsi="Times New Roman"/>
                <w:b w:val="0"/>
                <w:sz w:val="24"/>
                <w:u w:val="none"/>
              </w:rPr>
              <w:t xml:space="preserve">Ce poste n’a aucun lien avec un modèle détaillé. </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710</w:t>
            </w:r>
          </w:p>
        </w:tc>
        <w:tc>
          <w:tcPr>
            <w:tcW w:w="7355"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1.8.2</w:t>
            </w:r>
            <w:r>
              <w:tab/>
            </w:r>
            <w:r>
              <w:rPr>
                <w:rStyle w:val="InstructionsTabelleberschrift"/>
                <w:rFonts w:ascii="Times New Roman" w:hAnsi="Times New Roman"/>
                <w:sz w:val="24"/>
              </w:rPr>
              <w:t>Dont: Exigences prudentielles plus strictes supplémentaires en vertu de l'art. 458</w:t>
            </w:r>
          </w:p>
          <w:p w:rsidR="005643EA" w:rsidRPr="007E39E6" w:rsidRDefault="002648B0" w:rsidP="00622B37">
            <w:pPr>
              <w:pStyle w:val="InstructionsText"/>
              <w:rPr>
                <w:rStyle w:val="InstructionsTabelleberschrift"/>
                <w:rFonts w:ascii="Times New Roman" w:hAnsi="Times New Roman"/>
                <w:b w:val="0"/>
                <w:sz w:val="24"/>
                <w:u w:val="none"/>
              </w:rPr>
            </w:pPr>
            <w:r>
              <w:rPr>
                <w:rStyle w:val="FormatvorlageInstructionsTabelleText"/>
                <w:rFonts w:ascii="Times New Roman" w:hAnsi="Times New Roman"/>
                <w:sz w:val="24"/>
              </w:rPr>
              <w:t>Article 458 du CRR</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720</w:t>
            </w:r>
          </w:p>
        </w:tc>
        <w:tc>
          <w:tcPr>
            <w:tcW w:w="7355" w:type="dxa"/>
          </w:tcPr>
          <w:p w:rsidR="005643EA" w:rsidRPr="007E39E6" w:rsidRDefault="002648B0" w:rsidP="00622B37">
            <w:pPr>
              <w:pStyle w:val="InstructionsText"/>
            </w:pPr>
            <w:r>
              <w:rPr>
                <w:rStyle w:val="InstructionsTabelleberschrift"/>
                <w:rFonts w:ascii="Times New Roman" w:hAnsi="Times New Roman"/>
                <w:sz w:val="24"/>
              </w:rPr>
              <w:t>1.8.2*</w:t>
            </w:r>
            <w:r>
              <w:tab/>
            </w:r>
            <w:r>
              <w:rPr>
                <w:rStyle w:val="InstructionsTabelleberschrift"/>
                <w:rFonts w:ascii="Times New Roman" w:hAnsi="Times New Roman"/>
                <w:sz w:val="24"/>
              </w:rPr>
              <w:t>Dont: exigences pour grands risques</w:t>
            </w:r>
          </w:p>
          <w:p w:rsidR="005643EA" w:rsidRPr="00392FFD" w:rsidRDefault="002648B0" w:rsidP="00622B37">
            <w:pPr>
              <w:pStyle w:val="InstructionsText"/>
              <w:rPr>
                <w:rStyle w:val="InstructionsTabelleberschrift"/>
                <w:rFonts w:ascii="Times New Roman" w:hAnsi="Times New Roman"/>
                <w:sz w:val="24"/>
              </w:rPr>
            </w:pPr>
            <w:r>
              <w:t>Article 458 du CRR</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730</w:t>
            </w:r>
          </w:p>
          <w:p w:rsidR="005643EA" w:rsidRPr="00392FFD" w:rsidRDefault="005643EA" w:rsidP="00622B37">
            <w:pPr>
              <w:pStyle w:val="InstructionsText"/>
              <w:rPr>
                <w:rStyle w:val="FormatvorlageInstructionsTabelleText"/>
                <w:rFonts w:ascii="Times New Roman" w:hAnsi="Times New Roman"/>
                <w:sz w:val="24"/>
              </w:rPr>
            </w:pPr>
          </w:p>
        </w:tc>
        <w:tc>
          <w:tcPr>
            <w:tcW w:w="7355" w:type="dxa"/>
          </w:tcPr>
          <w:p w:rsidR="005643EA" w:rsidRPr="007E39E6" w:rsidRDefault="002648B0" w:rsidP="00622B37">
            <w:pPr>
              <w:pStyle w:val="InstructionsText"/>
            </w:pPr>
            <w:r>
              <w:rPr>
                <w:rStyle w:val="InstructionsTabelleberschrift"/>
                <w:rFonts w:ascii="Times New Roman" w:hAnsi="Times New Roman"/>
                <w:sz w:val="24"/>
              </w:rPr>
              <w:t>1.8.2**</w:t>
            </w:r>
            <w:r>
              <w:tab/>
            </w:r>
            <w:r>
              <w:rPr>
                <w:rStyle w:val="InstructionsTabelleberschrift"/>
                <w:rFonts w:ascii="Times New Roman" w:hAnsi="Times New Roman"/>
                <w:sz w:val="24"/>
              </w:rPr>
              <w:t>Dont: pondérations de risque modifiées pour faire face aux bulles d'actifs dans l'immobilier à usage résidentiel et comme</w:t>
            </w:r>
            <w:r>
              <w:rPr>
                <w:rStyle w:val="InstructionsTabelleberschrift"/>
                <w:rFonts w:ascii="Times New Roman" w:hAnsi="Times New Roman"/>
                <w:sz w:val="24"/>
              </w:rPr>
              <w:t>r</w:t>
            </w:r>
            <w:r>
              <w:rPr>
                <w:rStyle w:val="InstructionsTabelleberschrift"/>
                <w:rFonts w:ascii="Times New Roman" w:hAnsi="Times New Roman"/>
                <w:sz w:val="24"/>
              </w:rPr>
              <w:t>cial</w:t>
            </w:r>
          </w:p>
          <w:p w:rsidR="005643EA" w:rsidRPr="00392FFD" w:rsidRDefault="002648B0" w:rsidP="00622B37">
            <w:pPr>
              <w:pStyle w:val="InstructionsText"/>
              <w:rPr>
                <w:rStyle w:val="InstructionsTabelleberschrift"/>
                <w:rFonts w:ascii="Times New Roman" w:hAnsi="Times New Roman"/>
                <w:sz w:val="24"/>
              </w:rPr>
            </w:pPr>
            <w:r>
              <w:t>Article 458 du CRR</w:t>
            </w:r>
          </w:p>
        </w:tc>
      </w:tr>
      <w:tr w:rsidR="002648B0" w:rsidRPr="00392FFD" w:rsidTr="00C12AE0">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740</w:t>
            </w:r>
          </w:p>
          <w:p w:rsidR="005643EA" w:rsidRPr="00392FFD" w:rsidRDefault="005643EA" w:rsidP="00622B37">
            <w:pPr>
              <w:pStyle w:val="InstructionsText"/>
              <w:rPr>
                <w:rStyle w:val="FormatvorlageInstructionsTabelleText"/>
                <w:rFonts w:ascii="Times New Roman" w:hAnsi="Times New Roman"/>
                <w:sz w:val="24"/>
              </w:rPr>
            </w:pPr>
          </w:p>
        </w:tc>
        <w:tc>
          <w:tcPr>
            <w:tcW w:w="7355" w:type="dxa"/>
          </w:tcPr>
          <w:p w:rsidR="005643EA" w:rsidRPr="007E39E6" w:rsidRDefault="002648B0" w:rsidP="00622B37">
            <w:pPr>
              <w:pStyle w:val="InstructionsText"/>
            </w:pPr>
            <w:r>
              <w:rPr>
                <w:rStyle w:val="InstructionsTabelleberschrift"/>
                <w:rFonts w:ascii="Times New Roman" w:hAnsi="Times New Roman"/>
                <w:sz w:val="24"/>
              </w:rPr>
              <w:t>1.8.2***</w:t>
            </w:r>
            <w:r>
              <w:tab/>
            </w:r>
            <w:r>
              <w:rPr>
                <w:rStyle w:val="InstructionsTabelleberschrift"/>
                <w:rFonts w:ascii="Times New Roman" w:hAnsi="Times New Roman"/>
                <w:sz w:val="24"/>
              </w:rPr>
              <w:t>Dont: expositions au sein du secteur financier</w:t>
            </w:r>
          </w:p>
          <w:p w:rsidR="005643EA" w:rsidRPr="00392FFD" w:rsidRDefault="002648B0" w:rsidP="00622B37">
            <w:pPr>
              <w:pStyle w:val="InstructionsText"/>
              <w:rPr>
                <w:rStyle w:val="InstructionsTabelleberschrift"/>
                <w:rFonts w:ascii="Times New Roman" w:hAnsi="Times New Roman"/>
                <w:sz w:val="24"/>
              </w:rPr>
            </w:pPr>
            <w:r>
              <w:t>Article 458 du CRR</w:t>
            </w:r>
          </w:p>
        </w:tc>
      </w:tr>
      <w:tr w:rsidR="002648B0" w:rsidRPr="00392FFD" w:rsidTr="000903FA">
        <w:tc>
          <w:tcPr>
            <w:tcW w:w="1394" w:type="dxa"/>
          </w:tcPr>
          <w:p w:rsidR="002648B0" w:rsidRPr="00392FFD" w:rsidRDefault="002648B0"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750</w:t>
            </w:r>
          </w:p>
        </w:tc>
        <w:tc>
          <w:tcPr>
            <w:tcW w:w="7355"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1.8.3</w:t>
            </w:r>
            <w:r>
              <w:tab/>
            </w:r>
            <w:r>
              <w:rPr>
                <w:rStyle w:val="InstructionsTabelleberschrift"/>
                <w:rFonts w:ascii="Times New Roman" w:hAnsi="Times New Roman"/>
                <w:sz w:val="24"/>
              </w:rPr>
              <w:t>Dont: Exigences prudentielles plus strictes supplémentaires en vertu de l'art. 459</w:t>
            </w:r>
          </w:p>
          <w:p w:rsidR="005643EA" w:rsidRPr="00392FFD" w:rsidRDefault="002648B0" w:rsidP="00622B37">
            <w:pPr>
              <w:pStyle w:val="InstructionsText"/>
              <w:rPr>
                <w:rStyle w:val="InstructionsTabelleberschrift"/>
                <w:rFonts w:ascii="Times New Roman" w:hAnsi="Times New Roman"/>
                <w:sz w:val="24"/>
              </w:rPr>
            </w:pPr>
            <w:r>
              <w:rPr>
                <w:rStyle w:val="FormatvorlageInstructionsTabelleText"/>
                <w:rFonts w:ascii="Times New Roman" w:hAnsi="Times New Roman"/>
                <w:sz w:val="24"/>
              </w:rPr>
              <w:t>Article 459 du CRR</w:t>
            </w:r>
          </w:p>
        </w:tc>
      </w:tr>
      <w:tr w:rsidR="00523DD6" w:rsidRPr="00392FFD" w:rsidTr="000903FA">
        <w:tc>
          <w:tcPr>
            <w:tcW w:w="1394" w:type="dxa"/>
          </w:tcPr>
          <w:p w:rsidR="00523DD6" w:rsidRPr="00392FFD" w:rsidRDefault="00523DD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760</w:t>
            </w:r>
          </w:p>
        </w:tc>
        <w:tc>
          <w:tcPr>
            <w:tcW w:w="7355" w:type="dxa"/>
          </w:tcPr>
          <w:p w:rsidR="005643EA" w:rsidRPr="00392FFD" w:rsidRDefault="00523DD6"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1.8.4</w:t>
            </w:r>
            <w:r>
              <w:tab/>
            </w:r>
            <w:r>
              <w:rPr>
                <w:rStyle w:val="InstructionsTabelleberschrift"/>
                <w:rFonts w:ascii="Times New Roman" w:hAnsi="Times New Roman"/>
                <w:sz w:val="24"/>
              </w:rPr>
              <w:t>Dont: Montant d'exposition au risque supplémentaire lié à l'article 3 du CRR</w:t>
            </w:r>
          </w:p>
          <w:p w:rsidR="005643EA" w:rsidRPr="00392FFD" w:rsidRDefault="00523DD6" w:rsidP="00622B37">
            <w:pPr>
              <w:pStyle w:val="InstructionsText"/>
              <w:rPr>
                <w:rStyle w:val="FormatvorlageInstructionsTabelleText"/>
                <w:rFonts w:ascii="Times New Roman" w:hAnsi="Times New Roman"/>
                <w:sz w:val="24"/>
              </w:rPr>
            </w:pPr>
            <w:r>
              <w:rPr>
                <w:rStyle w:val="FormatvorlageInstructionsTabelleText"/>
                <w:rFonts w:ascii="Times New Roman" w:hAnsi="Times New Roman"/>
                <w:sz w:val="24"/>
              </w:rPr>
              <w:t>Article 3 du CRR</w:t>
            </w:r>
          </w:p>
          <w:p w:rsidR="005643EA" w:rsidRPr="00392FFD" w:rsidRDefault="00523DD6"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Le montant supplémentaire d'exposition au risque doit être déclaré. Celui-ci ne comprendra que les montants supplémentaires (par ex. lorsqu'une exposition de 100 a une pondération de risque de 20 % et que l'établiss</w:t>
            </w:r>
            <w:r>
              <w:rPr>
                <w:rStyle w:val="InstructionsTabelleberschrift"/>
                <w:rFonts w:ascii="Times New Roman" w:hAnsi="Times New Roman"/>
                <w:b w:val="0"/>
                <w:sz w:val="24"/>
                <w:u w:val="none"/>
              </w:rPr>
              <w:t>e</w:t>
            </w:r>
            <w:r>
              <w:rPr>
                <w:rStyle w:val="InstructionsTabelleberschrift"/>
                <w:rFonts w:ascii="Times New Roman" w:hAnsi="Times New Roman"/>
                <w:b w:val="0"/>
                <w:sz w:val="24"/>
                <w:u w:val="none"/>
              </w:rPr>
              <w:t xml:space="preserve">ment applique une pondération de risque de 50 % en vertu de l'article 3 du CRR, le montant à déclarer sera de 30). </w:t>
            </w:r>
          </w:p>
        </w:tc>
      </w:tr>
    </w:tbl>
    <w:p w:rsidR="002648B0" w:rsidRPr="0023700C" w:rsidRDefault="00936DD1" w:rsidP="0023700C">
      <w:pPr>
        <w:pStyle w:val="Instructionsberschrift2"/>
        <w:numPr>
          <w:ilvl w:val="0"/>
          <w:numId w:val="0"/>
        </w:numPr>
        <w:ind w:left="357" w:hanging="357"/>
        <w:rPr>
          <w:rFonts w:ascii="Times New Roman" w:hAnsi="Times New Roman" w:cs="Times New Roman"/>
          <w:sz w:val="24"/>
          <w:u w:val="none"/>
        </w:rPr>
      </w:pPr>
      <w:bookmarkStart w:id="50" w:name="_Toc473560877"/>
      <w:bookmarkStart w:id="51" w:name="_Toc308175826"/>
      <w:bookmarkStart w:id="52" w:name="_Toc360188329"/>
      <w:bookmarkStart w:id="53" w:name="_Toc496022272"/>
      <w:r>
        <w:rPr>
          <w:rFonts w:ascii="Times New Roman" w:hAnsi="Times New Roman"/>
          <w:sz w:val="24"/>
          <w:u w:val="none"/>
        </w:rPr>
        <w:lastRenderedPageBreak/>
        <w:t>1.4</w:t>
      </w:r>
      <w:r>
        <w:tab/>
      </w:r>
      <w:r>
        <w:rPr>
          <w:rFonts w:ascii="Times New Roman" w:hAnsi="Times New Roman"/>
          <w:sz w:val="24"/>
          <w:u w:val="none"/>
        </w:rPr>
        <w:t>C 03.00 – RATIOS DE FONDS PROPRES ET NIVEAUX DE FONDS PROPRES (CA3)</w:t>
      </w:r>
      <w:bookmarkEnd w:id="50"/>
      <w:bookmarkEnd w:id="53"/>
      <w:r>
        <w:rPr>
          <w:rFonts w:ascii="Times New Roman" w:hAnsi="Times New Roman"/>
          <w:sz w:val="24"/>
          <w:u w:val="none"/>
        </w:rPr>
        <w:t xml:space="preserve"> </w:t>
      </w:r>
      <w:bookmarkEnd w:id="51"/>
      <w:bookmarkEnd w:id="52"/>
    </w:p>
    <w:p w:rsidR="002648B0" w:rsidRPr="00392FFD" w:rsidRDefault="00125707" w:rsidP="0023700C">
      <w:pPr>
        <w:pStyle w:val="Instructionsberschrift2"/>
        <w:numPr>
          <w:ilvl w:val="0"/>
          <w:numId w:val="0"/>
        </w:numPr>
        <w:ind w:left="357" w:hanging="357"/>
        <w:rPr>
          <w:rFonts w:ascii="Times New Roman" w:hAnsi="Times New Roman" w:cs="Times New Roman"/>
          <w:sz w:val="24"/>
        </w:rPr>
      </w:pPr>
      <w:bookmarkStart w:id="54" w:name="_Toc308175827"/>
      <w:bookmarkStart w:id="55" w:name="_Toc310414972"/>
      <w:bookmarkStart w:id="56" w:name="_Toc360188330"/>
      <w:bookmarkStart w:id="57" w:name="_Toc473560878"/>
      <w:bookmarkStart w:id="58" w:name="_Toc496022273"/>
      <w:r>
        <w:rPr>
          <w:rFonts w:ascii="Times New Roman" w:hAnsi="Times New Roman"/>
          <w:sz w:val="24"/>
          <w:u w:val="none"/>
        </w:rPr>
        <w:t>1.4.1.</w:t>
      </w:r>
      <w:r>
        <w:tab/>
      </w:r>
      <w:r>
        <w:rPr>
          <w:rFonts w:ascii="Times New Roman" w:hAnsi="Times New Roman"/>
          <w:sz w:val="24"/>
        </w:rPr>
        <w:t xml:space="preserve">Instructions concernant certaines </w:t>
      </w:r>
      <w:bookmarkEnd w:id="54"/>
      <w:bookmarkEnd w:id="55"/>
      <w:r>
        <w:rPr>
          <w:rFonts w:ascii="Times New Roman" w:hAnsi="Times New Roman"/>
          <w:sz w:val="24"/>
        </w:rPr>
        <w:t>positions</w:t>
      </w:r>
      <w:bookmarkEnd w:id="56"/>
      <w:bookmarkEnd w:id="57"/>
      <w:bookmarkEnd w:id="58"/>
    </w:p>
    <w:tbl>
      <w:tblPr>
        <w:tblW w:w="0" w:type="auto"/>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3"/>
        <w:gridCol w:w="7478"/>
      </w:tblGrid>
      <w:tr w:rsidR="002648B0" w:rsidRPr="00392FFD" w:rsidTr="00B976CF">
        <w:tc>
          <w:tcPr>
            <w:tcW w:w="8181" w:type="dxa"/>
            <w:gridSpan w:val="2"/>
            <w:shd w:val="clear" w:color="auto" w:fill="D9D9D9"/>
          </w:tcPr>
          <w:p w:rsidR="005643EA" w:rsidRPr="00392FFD" w:rsidRDefault="002648B0" w:rsidP="00622B37">
            <w:pPr>
              <w:pStyle w:val="InstructionsText"/>
            </w:pPr>
            <w:r>
              <w:t>Lignes</w:t>
            </w:r>
          </w:p>
        </w:tc>
      </w:tr>
      <w:tr w:rsidR="002648B0" w:rsidRPr="00392FFD" w:rsidTr="000903FA">
        <w:tc>
          <w:tcPr>
            <w:tcW w:w="703" w:type="dxa"/>
          </w:tcPr>
          <w:p w:rsidR="002648B0" w:rsidRPr="00392FFD" w:rsidRDefault="002648B0" w:rsidP="00622B37">
            <w:pPr>
              <w:pStyle w:val="InstructionsText"/>
            </w:pPr>
            <w:r>
              <w:t>010</w:t>
            </w:r>
          </w:p>
        </w:tc>
        <w:tc>
          <w:tcPr>
            <w:tcW w:w="7478" w:type="dxa"/>
          </w:tcPr>
          <w:p w:rsidR="005643EA" w:rsidRPr="007E39E6" w:rsidRDefault="002648B0" w:rsidP="00622B37">
            <w:pPr>
              <w:pStyle w:val="InstructionsText"/>
            </w:pPr>
            <w:r>
              <w:rPr>
                <w:rStyle w:val="InstructionsTabelleberschrift"/>
                <w:rFonts w:ascii="Times New Roman" w:hAnsi="Times New Roman"/>
                <w:sz w:val="24"/>
              </w:rPr>
              <w:t>1</w:t>
            </w:r>
            <w:r>
              <w:tab/>
            </w:r>
            <w:r>
              <w:rPr>
                <w:rStyle w:val="InstructionsTabelleberschrift"/>
                <w:rFonts w:ascii="Times New Roman" w:hAnsi="Times New Roman"/>
                <w:sz w:val="24"/>
              </w:rPr>
              <w:t>Ratio de fonds propres CET1</w:t>
            </w:r>
          </w:p>
          <w:p w:rsidR="005643EA" w:rsidRPr="00392FFD" w:rsidRDefault="002648B0" w:rsidP="00622B37">
            <w:pPr>
              <w:pStyle w:val="InstructionsText"/>
            </w:pPr>
            <w:r>
              <w:t>Article 92, paragraphe 2, point a), du CRR</w:t>
            </w:r>
          </w:p>
          <w:p w:rsidR="005643EA" w:rsidRPr="00392FFD" w:rsidRDefault="002648B0" w:rsidP="00622B37">
            <w:pPr>
              <w:pStyle w:val="InstructionsText"/>
            </w:pPr>
            <w:r>
              <w:t>Le ratio de fonds propres de base de catégorie 1 correspond aux fonds propres de base de catégorie 1 de l’établissement, exprimés en pourcentage du montant total d’exposition au risque.</w:t>
            </w:r>
          </w:p>
        </w:tc>
      </w:tr>
      <w:tr w:rsidR="002648B0" w:rsidRPr="00392FFD" w:rsidTr="000903FA">
        <w:tc>
          <w:tcPr>
            <w:tcW w:w="703" w:type="dxa"/>
          </w:tcPr>
          <w:p w:rsidR="002648B0" w:rsidRPr="00392FFD" w:rsidRDefault="002648B0" w:rsidP="00622B37">
            <w:pPr>
              <w:pStyle w:val="InstructionsText"/>
            </w:pPr>
            <w:r>
              <w:t>020</w:t>
            </w:r>
          </w:p>
        </w:tc>
        <w:tc>
          <w:tcPr>
            <w:tcW w:w="7478"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2</w:t>
            </w:r>
            <w:r>
              <w:tab/>
            </w:r>
            <w:r>
              <w:rPr>
                <w:rStyle w:val="InstructionsTabelleberschrift"/>
                <w:rFonts w:ascii="Times New Roman" w:hAnsi="Times New Roman"/>
                <w:sz w:val="24"/>
              </w:rPr>
              <w:t>Surplus (+)/ Déficit (-) de fonds propres CET1</w:t>
            </w:r>
          </w:p>
          <w:p w:rsidR="005643EA" w:rsidRPr="00392FFD" w:rsidRDefault="002648B0" w:rsidP="00622B37">
            <w:pPr>
              <w:pStyle w:val="InstructionsText"/>
            </w:pPr>
            <w:r>
              <w:t>Ce poste indique, en chiffres absolus, le surplus ou le déficit de fonds propres de base de catégorie 1 lié aux exigences de l’article 92, paragraphe 1, point a), du CRR (4,5 %), c’est-à-dire compte non tenu des coussins de fonds propres et des dispositions transitoires sur le ratio.</w:t>
            </w:r>
          </w:p>
        </w:tc>
      </w:tr>
      <w:tr w:rsidR="002648B0" w:rsidRPr="00392FFD" w:rsidTr="000903FA">
        <w:tc>
          <w:tcPr>
            <w:tcW w:w="703" w:type="dxa"/>
          </w:tcPr>
          <w:p w:rsidR="002648B0" w:rsidRPr="00392FFD" w:rsidRDefault="002648B0" w:rsidP="00622B37">
            <w:pPr>
              <w:pStyle w:val="InstructionsText"/>
            </w:pPr>
            <w:r>
              <w:t>030</w:t>
            </w:r>
          </w:p>
        </w:tc>
        <w:tc>
          <w:tcPr>
            <w:tcW w:w="7478" w:type="dxa"/>
          </w:tcPr>
          <w:p w:rsidR="005643EA" w:rsidRPr="007E39E6" w:rsidRDefault="002648B0" w:rsidP="00622B37">
            <w:pPr>
              <w:pStyle w:val="InstructionsText"/>
            </w:pPr>
            <w:r>
              <w:rPr>
                <w:rStyle w:val="InstructionsTabelleberschrift"/>
                <w:rFonts w:ascii="Times New Roman" w:hAnsi="Times New Roman"/>
                <w:sz w:val="24"/>
              </w:rPr>
              <w:t>3</w:t>
            </w:r>
            <w:r>
              <w:tab/>
            </w:r>
            <w:r>
              <w:rPr>
                <w:rStyle w:val="InstructionsTabelleberschrift"/>
                <w:rFonts w:ascii="Times New Roman" w:hAnsi="Times New Roman"/>
                <w:sz w:val="24"/>
              </w:rPr>
              <w:t>Ratio de fonds propres T1</w:t>
            </w:r>
          </w:p>
          <w:p w:rsidR="005643EA" w:rsidRPr="00392FFD" w:rsidRDefault="002648B0" w:rsidP="00622B37">
            <w:pPr>
              <w:pStyle w:val="InstructionsText"/>
            </w:pPr>
            <w:r>
              <w:t>Article 92, paragraphe 2, point b), du CRR</w:t>
            </w:r>
          </w:p>
          <w:p w:rsidR="005643EA" w:rsidRPr="00392FFD" w:rsidRDefault="002648B0" w:rsidP="00622B37">
            <w:pPr>
              <w:pStyle w:val="InstructionsText"/>
            </w:pPr>
            <w:r>
              <w:t>Le ratio de fonds propres de catégorie 1 correspond aux fonds propres de catégorie 1 de l’établissement, exprimés en pourcentage du montant total d’exposition au risque.</w:t>
            </w:r>
          </w:p>
        </w:tc>
      </w:tr>
      <w:tr w:rsidR="002648B0" w:rsidRPr="00392FFD" w:rsidTr="000903FA">
        <w:tc>
          <w:tcPr>
            <w:tcW w:w="703" w:type="dxa"/>
          </w:tcPr>
          <w:p w:rsidR="002648B0" w:rsidRPr="00392FFD" w:rsidRDefault="002648B0" w:rsidP="00622B37">
            <w:pPr>
              <w:pStyle w:val="InstructionsText"/>
            </w:pPr>
            <w:r>
              <w:t>040</w:t>
            </w:r>
          </w:p>
        </w:tc>
        <w:tc>
          <w:tcPr>
            <w:tcW w:w="7478" w:type="dxa"/>
          </w:tcPr>
          <w:p w:rsidR="005643EA" w:rsidRPr="00201704" w:rsidRDefault="002648B0" w:rsidP="00622B37">
            <w:pPr>
              <w:pStyle w:val="InstructionsText"/>
            </w:pPr>
            <w:r>
              <w:rPr>
                <w:rStyle w:val="InstructionsTabelleberschrift"/>
                <w:rFonts w:ascii="Times New Roman" w:hAnsi="Times New Roman"/>
                <w:sz w:val="24"/>
              </w:rPr>
              <w:t>4</w:t>
            </w:r>
            <w:r>
              <w:tab/>
            </w:r>
            <w:r>
              <w:rPr>
                <w:rStyle w:val="InstructionsTabelleberschrift"/>
                <w:rFonts w:ascii="Times New Roman" w:hAnsi="Times New Roman"/>
                <w:sz w:val="24"/>
              </w:rPr>
              <w:t>Surplus (+)/ Déficit (-) de fonds propres T1</w:t>
            </w:r>
          </w:p>
          <w:p w:rsidR="005643EA" w:rsidRPr="00392FFD" w:rsidRDefault="002648B0" w:rsidP="00622B37">
            <w:pPr>
              <w:pStyle w:val="InstructionsText"/>
            </w:pPr>
            <w:r>
              <w:t>Ce poste indique, en chiffres absolus, le surplus ou le déficit de fonds propres de catégorie 1 lié aux exigences de l’article 92, paragraphe 1, point b), du CRR (6 %), c’est-à-dire compte non tenu des coussins de fonds propres et des dispositions transitoires sur le ratio.</w:t>
            </w:r>
          </w:p>
        </w:tc>
      </w:tr>
      <w:tr w:rsidR="002648B0" w:rsidRPr="00392FFD" w:rsidTr="000903FA">
        <w:tc>
          <w:tcPr>
            <w:tcW w:w="703" w:type="dxa"/>
          </w:tcPr>
          <w:p w:rsidR="002648B0" w:rsidRPr="00392FFD" w:rsidRDefault="002648B0" w:rsidP="00622B37">
            <w:pPr>
              <w:pStyle w:val="InstructionsText"/>
            </w:pPr>
            <w:r>
              <w:t>050</w:t>
            </w:r>
          </w:p>
        </w:tc>
        <w:tc>
          <w:tcPr>
            <w:tcW w:w="7478" w:type="dxa"/>
          </w:tcPr>
          <w:p w:rsidR="005643EA" w:rsidRPr="00392FFD" w:rsidRDefault="002648B0" w:rsidP="00622B37">
            <w:pPr>
              <w:pStyle w:val="InstructionsText"/>
            </w:pPr>
            <w:r>
              <w:rPr>
                <w:rStyle w:val="InstructionsTabelleberschrift"/>
                <w:rFonts w:ascii="Times New Roman" w:hAnsi="Times New Roman"/>
                <w:sz w:val="24"/>
              </w:rPr>
              <w:t>5</w:t>
            </w:r>
            <w:r>
              <w:tab/>
            </w:r>
            <w:r>
              <w:rPr>
                <w:rStyle w:val="InstructionsTabelleberschrift"/>
                <w:rFonts w:ascii="Times New Roman" w:hAnsi="Times New Roman"/>
                <w:sz w:val="24"/>
              </w:rPr>
              <w:t>Ratio de fonds propres total</w:t>
            </w:r>
          </w:p>
          <w:p w:rsidR="005643EA" w:rsidRPr="00392FFD" w:rsidRDefault="002648B0" w:rsidP="00622B37">
            <w:pPr>
              <w:pStyle w:val="InstructionsText"/>
            </w:pPr>
            <w:r>
              <w:t>Article 92, paragraphe 2, point c), du CRR</w:t>
            </w:r>
          </w:p>
          <w:p w:rsidR="005643EA" w:rsidRPr="00392FFD" w:rsidRDefault="002648B0" w:rsidP="00622B37">
            <w:pPr>
              <w:pStyle w:val="InstructionsText"/>
            </w:pPr>
            <w:r>
              <w:t>Le ratio de fonds propres total correspond aux fonds propres de l’établissement, exprimés en pourcentage du montant total d’exposition au risque.</w:t>
            </w:r>
          </w:p>
        </w:tc>
      </w:tr>
      <w:tr w:rsidR="002648B0" w:rsidRPr="00392FFD" w:rsidTr="000903FA">
        <w:tc>
          <w:tcPr>
            <w:tcW w:w="703" w:type="dxa"/>
          </w:tcPr>
          <w:p w:rsidR="002648B0" w:rsidRPr="00392FFD" w:rsidRDefault="002648B0" w:rsidP="00622B37">
            <w:pPr>
              <w:pStyle w:val="InstructionsText"/>
            </w:pPr>
            <w:r>
              <w:t>060</w:t>
            </w:r>
          </w:p>
        </w:tc>
        <w:tc>
          <w:tcPr>
            <w:tcW w:w="7478" w:type="dxa"/>
          </w:tcPr>
          <w:p w:rsidR="005643EA" w:rsidRPr="00201704" w:rsidRDefault="002648B0" w:rsidP="00622B37">
            <w:pPr>
              <w:pStyle w:val="InstructionsText"/>
            </w:pPr>
            <w:r>
              <w:rPr>
                <w:rStyle w:val="InstructionsTabelleberschrift"/>
                <w:rFonts w:ascii="Times New Roman" w:hAnsi="Times New Roman"/>
                <w:sz w:val="24"/>
              </w:rPr>
              <w:t>6</w:t>
            </w:r>
            <w:r>
              <w:tab/>
            </w:r>
            <w:r>
              <w:rPr>
                <w:rStyle w:val="InstructionsTabelleberschrift"/>
                <w:rFonts w:ascii="Times New Roman" w:hAnsi="Times New Roman"/>
                <w:sz w:val="24"/>
              </w:rPr>
              <w:t>Surplus (+)/ Déficit (-) de fonds propres total</w:t>
            </w:r>
          </w:p>
          <w:p w:rsidR="005643EA" w:rsidRPr="00392FFD" w:rsidRDefault="002648B0" w:rsidP="00622B37">
            <w:pPr>
              <w:pStyle w:val="InstructionsText"/>
            </w:pPr>
            <w:r>
              <w:t>Ce poste indique, en chiffres absolus, le surplus ou le déficit de fonds propres lié aux exigences de l’article 92, paragraphe 1, point c), du CRR (8 %), c’est-à-dire compte non tenu des coussins de fonds propres et des dispositions transitoires sur le ratio.</w:t>
            </w:r>
          </w:p>
        </w:tc>
      </w:tr>
      <w:tr w:rsidR="00190FA3" w:rsidRPr="00392FFD" w:rsidTr="000903FA">
        <w:tc>
          <w:tcPr>
            <w:tcW w:w="703" w:type="dxa"/>
          </w:tcPr>
          <w:p w:rsidR="00190FA3" w:rsidRPr="00392FFD" w:rsidRDefault="00454139" w:rsidP="00622B37">
            <w:pPr>
              <w:pStyle w:val="InstructionsText"/>
            </w:pPr>
            <w:r>
              <w:t>070</w:t>
            </w:r>
          </w:p>
        </w:tc>
        <w:tc>
          <w:tcPr>
            <w:tcW w:w="7478" w:type="dxa"/>
          </w:tcPr>
          <w:p w:rsidR="005643EA" w:rsidRPr="00392FFD" w:rsidRDefault="00190FA3"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Ratio de fonds propres CET1 comprenant les ajustements du pilier II</w:t>
            </w:r>
          </w:p>
          <w:p w:rsidR="005643EA" w:rsidRPr="00392FFD" w:rsidRDefault="008D6256" w:rsidP="00622B37">
            <w:pPr>
              <w:pStyle w:val="InstructionsText"/>
            </w:pPr>
            <w:r>
              <w:t>Article 92, paragraphe 2, point a), du CRR et article 104, paragraphe 2, de la CRD IV</w:t>
            </w:r>
          </w:p>
          <w:p w:rsidR="005643EA" w:rsidRPr="00201704" w:rsidRDefault="008D6256" w:rsidP="00622B37">
            <w:pPr>
              <w:pStyle w:val="InstructionsText"/>
              <w:rPr>
                <w:rStyle w:val="InstructionsTabelleberschrift"/>
                <w:rFonts w:ascii="Times New Roman" w:hAnsi="Times New Roman"/>
                <w:b w:val="0"/>
                <w:bCs w:val="0"/>
                <w:sz w:val="24"/>
                <w:u w:val="none"/>
              </w:rPr>
            </w:pPr>
            <w:r>
              <w:t>Cette cellule ne doit être remplie que lorsque la décision d’une autorité compétente a un impact sur le ratio de fonds propres de base de catégorie 1.</w:t>
            </w:r>
          </w:p>
        </w:tc>
      </w:tr>
      <w:tr w:rsidR="00190FA3" w:rsidRPr="00392FFD" w:rsidTr="000903FA">
        <w:tc>
          <w:tcPr>
            <w:tcW w:w="703" w:type="dxa"/>
          </w:tcPr>
          <w:p w:rsidR="00190FA3" w:rsidRPr="00392FFD" w:rsidRDefault="00454139" w:rsidP="00622B37">
            <w:pPr>
              <w:pStyle w:val="InstructionsText"/>
            </w:pPr>
            <w:r>
              <w:lastRenderedPageBreak/>
              <w:t>080</w:t>
            </w:r>
          </w:p>
        </w:tc>
        <w:tc>
          <w:tcPr>
            <w:tcW w:w="7478" w:type="dxa"/>
          </w:tcPr>
          <w:p w:rsidR="005643EA" w:rsidRPr="00392FFD" w:rsidRDefault="00190FA3"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Ratio de fonds propres CET1 cible dû aux ajustements du pilier II</w:t>
            </w:r>
          </w:p>
          <w:p w:rsidR="005643EA" w:rsidRPr="00392FFD" w:rsidRDefault="008D6256"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 104, paragraphe 2, de la CRD.</w:t>
            </w:r>
          </w:p>
          <w:p w:rsidR="005643EA" w:rsidRDefault="00454139" w:rsidP="00622B37">
            <w:pPr>
              <w:pStyle w:val="InstructionsText"/>
            </w:pPr>
            <w:r>
              <w:t>Cette cellule ne doit être remplie que lorsqu’une autorité compétente d</w:t>
            </w:r>
            <w:r>
              <w:t>é</w:t>
            </w:r>
            <w:r>
              <w:t>cide qu’un établissement doit atteindre un ratio cible de fonds propres de base de catégorie 1 plus élevé.</w:t>
            </w:r>
          </w:p>
          <w:p w:rsidR="00BE4782" w:rsidRPr="00201704" w:rsidRDefault="00BE4782" w:rsidP="00622B37">
            <w:pPr>
              <w:pStyle w:val="InstructionsText"/>
              <w:rPr>
                <w:rStyle w:val="InstructionsTabelleberschrift"/>
                <w:rFonts w:ascii="Times New Roman" w:hAnsi="Times New Roman"/>
                <w:b w:val="0"/>
                <w:bCs w:val="0"/>
                <w:sz w:val="24"/>
                <w:u w:val="none"/>
              </w:rPr>
            </w:pPr>
            <w:r>
              <w:t>Le ratio cible de fonds propres de base de catégorie 1 reflète l’exigence minimale énoncée à l’article 92, paragraphe 1, point a), du CRR et l’exigence imposée conformément à l’article 104, paragraphe 2, de la CRD, mais exclut les autres exigences (par exemple les exigences de cou</w:t>
            </w:r>
            <w:r>
              <w:t>s</w:t>
            </w:r>
            <w:r>
              <w:t>sin de fonds propres).</w:t>
            </w:r>
          </w:p>
        </w:tc>
      </w:tr>
      <w:tr w:rsidR="00190FA3" w:rsidRPr="00392FFD" w:rsidTr="000903FA">
        <w:tc>
          <w:tcPr>
            <w:tcW w:w="703" w:type="dxa"/>
          </w:tcPr>
          <w:p w:rsidR="00190FA3" w:rsidRPr="00392FFD" w:rsidRDefault="00454139" w:rsidP="00622B37">
            <w:pPr>
              <w:pStyle w:val="InstructionsText"/>
            </w:pPr>
            <w:r>
              <w:t>090</w:t>
            </w:r>
          </w:p>
        </w:tc>
        <w:tc>
          <w:tcPr>
            <w:tcW w:w="7478" w:type="dxa"/>
          </w:tcPr>
          <w:p w:rsidR="005643EA" w:rsidRPr="00392FFD" w:rsidRDefault="00190FA3"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Ratio de fonds propres T1 comprenant les ajustements du pilier II</w:t>
            </w:r>
          </w:p>
          <w:p w:rsidR="005643EA" w:rsidRPr="00392FFD" w:rsidRDefault="008D6256" w:rsidP="00622B37">
            <w:pPr>
              <w:pStyle w:val="InstructionsText"/>
            </w:pPr>
            <w:r>
              <w:t>Article 92, paragraphe 2, point b), du CRR et article 104, paragraphe 2, de la CRD IV</w:t>
            </w:r>
          </w:p>
          <w:p w:rsidR="005643EA" w:rsidRPr="00201704" w:rsidRDefault="00454139" w:rsidP="00622B37">
            <w:pPr>
              <w:pStyle w:val="InstructionsText"/>
              <w:rPr>
                <w:rStyle w:val="InstructionsTabelleberschrift"/>
                <w:rFonts w:ascii="Times New Roman" w:hAnsi="Times New Roman"/>
                <w:b w:val="0"/>
                <w:bCs w:val="0"/>
                <w:sz w:val="24"/>
                <w:u w:val="none"/>
              </w:rPr>
            </w:pPr>
            <w:r>
              <w:t>Cette cellule ne doit être remplie que lorsque la décision d’une autorité compétente a un impact sur le ratio de fonds propres de base de catégorie 1.</w:t>
            </w:r>
          </w:p>
        </w:tc>
      </w:tr>
      <w:tr w:rsidR="00190FA3" w:rsidRPr="00392FFD" w:rsidTr="000903FA">
        <w:tc>
          <w:tcPr>
            <w:tcW w:w="703" w:type="dxa"/>
          </w:tcPr>
          <w:p w:rsidR="00190FA3" w:rsidRPr="00392FFD" w:rsidRDefault="00454139" w:rsidP="00622B37">
            <w:pPr>
              <w:pStyle w:val="InstructionsText"/>
            </w:pPr>
            <w:r>
              <w:t>100</w:t>
            </w:r>
          </w:p>
        </w:tc>
        <w:tc>
          <w:tcPr>
            <w:tcW w:w="7478" w:type="dxa"/>
          </w:tcPr>
          <w:p w:rsidR="005643EA" w:rsidRPr="00392FFD" w:rsidRDefault="008D6256"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Ratio de fonds propres T1 cible dû aux ajustements du pilier II</w:t>
            </w:r>
          </w:p>
          <w:p w:rsidR="005643EA" w:rsidRPr="00392FFD" w:rsidRDefault="008D6256"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 104, paragraphe 2, de la CRD IV</w:t>
            </w:r>
          </w:p>
          <w:p w:rsidR="005643EA" w:rsidRDefault="00454139" w:rsidP="00622B37">
            <w:pPr>
              <w:pStyle w:val="InstructionsText"/>
            </w:pPr>
            <w:r>
              <w:t>Cette cellule ne doit être remplie que lorsqu’une autorité compétente d</w:t>
            </w:r>
            <w:r>
              <w:t>é</w:t>
            </w:r>
            <w:r>
              <w:t>cide qu’un établissement doit atteindre un ratio cible de fonds propres de catégorie 1 plus élevé.</w:t>
            </w:r>
          </w:p>
          <w:p w:rsidR="00690D01" w:rsidRPr="00201704" w:rsidRDefault="00690D01" w:rsidP="00622B37">
            <w:pPr>
              <w:pStyle w:val="InstructionsText"/>
              <w:rPr>
                <w:rStyle w:val="InstructionsTabelleberschrift"/>
                <w:rFonts w:ascii="Times New Roman" w:hAnsi="Times New Roman"/>
                <w:b w:val="0"/>
                <w:bCs w:val="0"/>
                <w:sz w:val="24"/>
                <w:u w:val="none"/>
              </w:rPr>
            </w:pPr>
            <w:r>
              <w:t>Le ratio cible de fonds propres de catégorie 1 reflète l’exigence minimale énoncée à l’article 92, paragraphe 1, point b), du CRR et l’exigence imp</w:t>
            </w:r>
            <w:r>
              <w:t>o</w:t>
            </w:r>
            <w:r>
              <w:t>sée conformément à l’article 104, paragraphe 2, de la CRD, mais exclut les autres exigences (par exemple les exigences de coussin de fonds propres).</w:t>
            </w:r>
          </w:p>
        </w:tc>
      </w:tr>
      <w:tr w:rsidR="00190FA3" w:rsidRPr="00392FFD" w:rsidTr="000903FA">
        <w:tc>
          <w:tcPr>
            <w:tcW w:w="703" w:type="dxa"/>
          </w:tcPr>
          <w:p w:rsidR="00190FA3" w:rsidRPr="00392FFD" w:rsidRDefault="00454139" w:rsidP="00622B37">
            <w:pPr>
              <w:pStyle w:val="InstructionsText"/>
            </w:pPr>
            <w:r>
              <w:t>110</w:t>
            </w:r>
          </w:p>
        </w:tc>
        <w:tc>
          <w:tcPr>
            <w:tcW w:w="7478" w:type="dxa"/>
          </w:tcPr>
          <w:p w:rsidR="005643EA" w:rsidRPr="00392FFD" w:rsidRDefault="008D6256"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Ratio de fonds propres total comprenant les ajustements du pilier II</w:t>
            </w:r>
          </w:p>
          <w:p w:rsidR="005643EA" w:rsidRPr="00392FFD" w:rsidRDefault="008D6256" w:rsidP="00622B37">
            <w:pPr>
              <w:pStyle w:val="InstructionsText"/>
            </w:pPr>
            <w:r>
              <w:t>Article 92, paragraphe 2, point c), du CRR et article 104, paragraphe 2, de la CRD IV</w:t>
            </w:r>
          </w:p>
          <w:p w:rsidR="005643EA" w:rsidRPr="00201704" w:rsidRDefault="00454139" w:rsidP="00622B37">
            <w:pPr>
              <w:pStyle w:val="InstructionsText"/>
              <w:rPr>
                <w:rStyle w:val="InstructionsTabelleberschrift"/>
                <w:rFonts w:ascii="Times New Roman" w:hAnsi="Times New Roman"/>
                <w:b w:val="0"/>
                <w:bCs w:val="0"/>
                <w:sz w:val="24"/>
                <w:u w:val="none"/>
              </w:rPr>
            </w:pPr>
            <w:r>
              <w:t>Cette cellule ne doit être remplie que lorsque la décision d’une autorité compétente a un impact sur le ratio de fonds propres total.</w:t>
            </w:r>
          </w:p>
        </w:tc>
      </w:tr>
      <w:tr w:rsidR="00190FA3" w:rsidRPr="00392FFD" w:rsidTr="000903FA">
        <w:tc>
          <w:tcPr>
            <w:tcW w:w="703" w:type="dxa"/>
          </w:tcPr>
          <w:p w:rsidR="00190FA3" w:rsidRPr="00392FFD" w:rsidRDefault="00454139" w:rsidP="00622B37">
            <w:pPr>
              <w:pStyle w:val="InstructionsText"/>
            </w:pPr>
            <w:r>
              <w:t>120</w:t>
            </w:r>
          </w:p>
        </w:tc>
        <w:tc>
          <w:tcPr>
            <w:tcW w:w="7478" w:type="dxa"/>
          </w:tcPr>
          <w:p w:rsidR="005643EA" w:rsidRPr="00392FFD" w:rsidRDefault="008D6256"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Ratio de fonds propres total cible dû aux ajustements du pilier II</w:t>
            </w:r>
          </w:p>
          <w:p w:rsidR="005643EA" w:rsidRPr="00392FFD" w:rsidRDefault="008D6256"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 104, paragraphe 2, de la CRD IV</w:t>
            </w:r>
          </w:p>
          <w:p w:rsidR="005643EA" w:rsidRDefault="00454139" w:rsidP="00622B37">
            <w:pPr>
              <w:pStyle w:val="InstructionsText"/>
            </w:pPr>
            <w:r>
              <w:t>Cette cellule ne doit être remplie que lorsqu’une autorité compétente d</w:t>
            </w:r>
            <w:r>
              <w:t>é</w:t>
            </w:r>
            <w:r>
              <w:t>cide qu’un établissement doit atteindre un ratio de fonds propres total cible plus élevé.</w:t>
            </w:r>
          </w:p>
          <w:p w:rsidR="00690D01" w:rsidRPr="00201704" w:rsidRDefault="00690D01" w:rsidP="00622B37">
            <w:pPr>
              <w:pStyle w:val="InstructionsText"/>
              <w:rPr>
                <w:rStyle w:val="InstructionsTabelleberschrift"/>
                <w:rFonts w:ascii="Times New Roman" w:hAnsi="Times New Roman"/>
                <w:b w:val="0"/>
                <w:bCs w:val="0"/>
                <w:sz w:val="24"/>
                <w:u w:val="none"/>
              </w:rPr>
            </w:pPr>
            <w:r>
              <w:t>Le ratio de fonds propres total cible reflète l’exigence minimale énoncée à l’article 92, paragraphe 1, point c), du CRR et l’exigence imposée confo</w:t>
            </w:r>
            <w:r>
              <w:t>r</w:t>
            </w:r>
            <w:r>
              <w:t>mément à l’article 104, paragraphe 2, de la CRD, mais exclut les autres exigences (par exemple les exigences de coussin de fonds propres).</w:t>
            </w:r>
          </w:p>
        </w:tc>
      </w:tr>
    </w:tbl>
    <w:p w:rsidR="005643EA" w:rsidRPr="00392FFD" w:rsidRDefault="005643EA" w:rsidP="00622B37">
      <w:pPr>
        <w:pStyle w:val="InstructionsText"/>
      </w:pPr>
    </w:p>
    <w:p w:rsidR="002648B0" w:rsidRPr="00392FFD" w:rsidRDefault="00125707" w:rsidP="0023700C">
      <w:pPr>
        <w:pStyle w:val="Instructionsberschrift2"/>
        <w:numPr>
          <w:ilvl w:val="0"/>
          <w:numId w:val="0"/>
        </w:numPr>
        <w:ind w:left="357" w:hanging="357"/>
        <w:rPr>
          <w:rFonts w:ascii="Times New Roman" w:hAnsi="Times New Roman" w:cs="Times New Roman"/>
          <w:sz w:val="24"/>
        </w:rPr>
      </w:pPr>
      <w:bookmarkStart w:id="59" w:name="_Toc473560879"/>
      <w:bookmarkStart w:id="60" w:name="_Toc308175830"/>
      <w:bookmarkStart w:id="61" w:name="_Toc360188331"/>
      <w:bookmarkStart w:id="62" w:name="_Toc496022274"/>
      <w:r>
        <w:rPr>
          <w:rFonts w:ascii="Times New Roman" w:hAnsi="Times New Roman"/>
          <w:sz w:val="24"/>
          <w:u w:val="none"/>
        </w:rPr>
        <w:lastRenderedPageBreak/>
        <w:t>1.5.</w:t>
      </w:r>
      <w:r>
        <w:tab/>
      </w:r>
      <w:r>
        <w:rPr>
          <w:rFonts w:ascii="Times New Roman" w:hAnsi="Times New Roman"/>
          <w:sz w:val="24"/>
        </w:rPr>
        <w:t>C 04.00 – ÉLÉMENTS POUR MÉMOIRE (CA4)</w:t>
      </w:r>
      <w:bookmarkEnd w:id="59"/>
      <w:bookmarkEnd w:id="62"/>
      <w:r>
        <w:rPr>
          <w:rFonts w:ascii="Times New Roman" w:hAnsi="Times New Roman"/>
          <w:sz w:val="24"/>
        </w:rPr>
        <w:t xml:space="preserve"> </w:t>
      </w:r>
      <w:bookmarkEnd w:id="60"/>
      <w:bookmarkEnd w:id="61"/>
    </w:p>
    <w:p w:rsidR="002648B0" w:rsidRPr="00392FFD" w:rsidRDefault="00125707" w:rsidP="0023700C">
      <w:pPr>
        <w:pStyle w:val="Instructionsberschrift2"/>
        <w:numPr>
          <w:ilvl w:val="0"/>
          <w:numId w:val="0"/>
        </w:numPr>
        <w:ind w:left="357" w:hanging="357"/>
        <w:rPr>
          <w:rFonts w:ascii="Times New Roman" w:hAnsi="Times New Roman" w:cs="Times New Roman"/>
          <w:sz w:val="24"/>
        </w:rPr>
      </w:pPr>
      <w:bookmarkStart w:id="63" w:name="_Toc308175831"/>
      <w:bookmarkStart w:id="64" w:name="_Toc310414974"/>
      <w:bookmarkStart w:id="65" w:name="_Toc360188332"/>
      <w:bookmarkStart w:id="66" w:name="_Toc473560880"/>
      <w:bookmarkStart w:id="67" w:name="_Toc496022275"/>
      <w:r>
        <w:rPr>
          <w:rFonts w:ascii="Times New Roman" w:hAnsi="Times New Roman"/>
          <w:sz w:val="24"/>
          <w:u w:val="none"/>
        </w:rPr>
        <w:t>1.5.1.</w:t>
      </w:r>
      <w:r>
        <w:tab/>
      </w:r>
      <w:r>
        <w:rPr>
          <w:rFonts w:ascii="Times New Roman" w:hAnsi="Times New Roman"/>
          <w:sz w:val="24"/>
        </w:rPr>
        <w:t xml:space="preserve">Instructions concernant certaines </w:t>
      </w:r>
      <w:bookmarkEnd w:id="63"/>
      <w:bookmarkEnd w:id="64"/>
      <w:r>
        <w:rPr>
          <w:rFonts w:ascii="Times New Roman" w:hAnsi="Times New Roman"/>
          <w:sz w:val="24"/>
        </w:rPr>
        <w:t>positions</w:t>
      </w:r>
      <w:bookmarkEnd w:id="65"/>
      <w:bookmarkEnd w:id="66"/>
      <w:bookmarkEnd w:id="67"/>
    </w:p>
    <w:p w:rsidR="002648B0" w:rsidRPr="00392FFD" w:rsidRDefault="002648B0" w:rsidP="00622B37">
      <w:pPr>
        <w:pStyle w:val="InstructionsText"/>
      </w:pPr>
    </w:p>
    <w:tbl>
      <w:tblPr>
        <w:tblW w:w="0" w:type="auto"/>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06"/>
        <w:gridCol w:w="7243"/>
      </w:tblGrid>
      <w:tr w:rsidR="002648B0" w:rsidRPr="00392FFD" w:rsidTr="00700DFD">
        <w:tc>
          <w:tcPr>
            <w:tcW w:w="8749" w:type="dxa"/>
            <w:gridSpan w:val="2"/>
            <w:shd w:val="clear" w:color="auto" w:fill="D9D9D9"/>
          </w:tcPr>
          <w:p w:rsidR="005643EA" w:rsidRPr="00392FFD" w:rsidRDefault="002648B0" w:rsidP="00622B37">
            <w:pPr>
              <w:pStyle w:val="InstructionsText"/>
            </w:pPr>
            <w:r>
              <w:t>Lignes</w:t>
            </w:r>
          </w:p>
        </w:tc>
      </w:tr>
      <w:tr w:rsidR="002648B0" w:rsidRPr="00392FFD" w:rsidTr="00700DFD">
        <w:tc>
          <w:tcPr>
            <w:tcW w:w="1506" w:type="dxa"/>
          </w:tcPr>
          <w:p w:rsidR="002648B0" w:rsidRPr="00392FFD" w:rsidRDefault="002648B0" w:rsidP="00622B37">
            <w:pPr>
              <w:pStyle w:val="InstructionsText"/>
            </w:pPr>
            <w:r>
              <w:t>010</w:t>
            </w:r>
          </w:p>
        </w:tc>
        <w:tc>
          <w:tcPr>
            <w:tcW w:w="7243" w:type="dxa"/>
          </w:tcPr>
          <w:p w:rsidR="005643EA" w:rsidRPr="00201704" w:rsidRDefault="00C66473" w:rsidP="00622B37">
            <w:pPr>
              <w:pStyle w:val="InstructionsText"/>
            </w:pPr>
            <w:r>
              <w:rPr>
                <w:rStyle w:val="InstructionsTabelleberschrift"/>
                <w:rFonts w:ascii="Times New Roman" w:hAnsi="Times New Roman"/>
                <w:sz w:val="24"/>
              </w:rPr>
              <w:t>1.</w:t>
            </w:r>
            <w:r>
              <w:tab/>
            </w:r>
            <w:r>
              <w:rPr>
                <w:rStyle w:val="InstructionsTabelleberschrift"/>
                <w:rFonts w:ascii="Times New Roman" w:hAnsi="Times New Roman"/>
                <w:sz w:val="24"/>
              </w:rPr>
              <w:t>Actifs d'impôt différé totaux</w:t>
            </w:r>
          </w:p>
          <w:p w:rsidR="005643EA" w:rsidRPr="00392FFD" w:rsidRDefault="002648B0" w:rsidP="00622B37">
            <w:pPr>
              <w:pStyle w:val="InstructionsText"/>
            </w:pPr>
            <w:r>
              <w:t>Le montant déclaré à ce poste correspondra au montant déclaré au de</w:t>
            </w:r>
            <w:r>
              <w:t>r</w:t>
            </w:r>
            <w:r>
              <w:t>nier bilan vérifié/audité.</w:t>
            </w:r>
          </w:p>
        </w:tc>
      </w:tr>
      <w:tr w:rsidR="002648B0" w:rsidRPr="00392FFD" w:rsidTr="00700DFD">
        <w:tc>
          <w:tcPr>
            <w:tcW w:w="1506" w:type="dxa"/>
          </w:tcPr>
          <w:p w:rsidR="002648B0" w:rsidRPr="00392FFD" w:rsidRDefault="002648B0" w:rsidP="00622B37">
            <w:pPr>
              <w:pStyle w:val="InstructionsText"/>
            </w:pPr>
            <w:r>
              <w:t>020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1.1</w:t>
            </w:r>
            <w:r>
              <w:tab/>
            </w:r>
            <w:r>
              <w:rPr>
                <w:rStyle w:val="InstructionsTabelleberschrift"/>
                <w:rFonts w:ascii="Times New Roman" w:hAnsi="Times New Roman"/>
                <w:sz w:val="24"/>
              </w:rPr>
              <w:t>Actifs d'impôt différé ne dépendant pas de bénéfices futurs</w:t>
            </w:r>
          </w:p>
          <w:p w:rsidR="005643EA" w:rsidRPr="00392FFD" w:rsidRDefault="002648B0" w:rsidP="00622B37">
            <w:pPr>
              <w:pStyle w:val="InstructionsText"/>
            </w:pPr>
            <w:r>
              <w:t>Article 39, paragraphe 2, du CRR</w:t>
            </w:r>
          </w:p>
          <w:p w:rsidR="005643EA" w:rsidRPr="00392FFD" w:rsidRDefault="002648B0" w:rsidP="00622B37">
            <w:pPr>
              <w:pStyle w:val="InstructionsText"/>
            </w:pPr>
            <w:r>
              <w:t>Actifs d’impôt différé qui ne dépendent pas de bénéfices futurs et sont donc soumis à une pondération de risque.</w:t>
            </w:r>
          </w:p>
        </w:tc>
      </w:tr>
      <w:tr w:rsidR="002648B0" w:rsidRPr="00392FFD" w:rsidTr="00700DFD">
        <w:tc>
          <w:tcPr>
            <w:tcW w:w="1506" w:type="dxa"/>
          </w:tcPr>
          <w:p w:rsidR="002648B0" w:rsidRPr="00392FFD" w:rsidRDefault="002648B0" w:rsidP="00622B37">
            <w:pPr>
              <w:pStyle w:val="InstructionsText"/>
            </w:pPr>
            <w:r>
              <w:t>030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1.2</w:t>
            </w:r>
            <w:r>
              <w:tab/>
            </w:r>
            <w:r>
              <w:rPr>
                <w:rStyle w:val="InstructionsTabelleberschrift"/>
                <w:rFonts w:ascii="Times New Roman" w:hAnsi="Times New Roman"/>
                <w:sz w:val="24"/>
              </w:rPr>
              <w:t>Actifs d'impôt différé dépendant de bénéfices futurs et ne r</w:t>
            </w:r>
            <w:r>
              <w:rPr>
                <w:rStyle w:val="InstructionsTabelleberschrift"/>
                <w:rFonts w:ascii="Times New Roman" w:hAnsi="Times New Roman"/>
                <w:sz w:val="24"/>
              </w:rPr>
              <w:t>é</w:t>
            </w:r>
            <w:r>
              <w:rPr>
                <w:rStyle w:val="InstructionsTabelleberschrift"/>
                <w:rFonts w:ascii="Times New Roman" w:hAnsi="Times New Roman"/>
                <w:sz w:val="24"/>
              </w:rPr>
              <w:t>sultant pas de différences temporelles</w:t>
            </w:r>
          </w:p>
          <w:p w:rsidR="005643EA" w:rsidRPr="00392FFD" w:rsidRDefault="002648B0" w:rsidP="00622B37">
            <w:pPr>
              <w:pStyle w:val="InstructionsText"/>
            </w:pPr>
            <w:r>
              <w:t>Article 36, paragraphe 1, point c), et article 38 du CRR</w:t>
            </w:r>
          </w:p>
          <w:p w:rsidR="005643EA" w:rsidRPr="00392FFD" w:rsidRDefault="002648B0" w:rsidP="00622B37">
            <w:pPr>
              <w:pStyle w:val="InstructionsText"/>
            </w:pPr>
            <w:r>
              <w:t>Actifs d’impôt différé qui dépendent de bénéfices futurs, mais ne résu</w:t>
            </w:r>
            <w:r>
              <w:t>l</w:t>
            </w:r>
            <w:r>
              <w:t>tent pas de différences temporelles, et ne sont donc pas soumis à un quelconque seuil (c’est-à-dire intégralement déduits des fonds propres de base de catégorie 1).</w:t>
            </w:r>
          </w:p>
        </w:tc>
      </w:tr>
      <w:tr w:rsidR="002648B0" w:rsidRPr="00392FFD" w:rsidTr="00700DFD">
        <w:tc>
          <w:tcPr>
            <w:tcW w:w="1506" w:type="dxa"/>
          </w:tcPr>
          <w:p w:rsidR="002648B0" w:rsidRPr="00392FFD" w:rsidRDefault="002648B0" w:rsidP="00622B37">
            <w:pPr>
              <w:pStyle w:val="InstructionsText"/>
            </w:pPr>
            <w:r>
              <w:t>040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1.3</w:t>
            </w:r>
            <w:r>
              <w:tab/>
            </w:r>
            <w:r>
              <w:rPr>
                <w:rStyle w:val="InstructionsTabelleberschrift"/>
                <w:rFonts w:ascii="Times New Roman" w:hAnsi="Times New Roman"/>
                <w:sz w:val="24"/>
              </w:rPr>
              <w:t>Actifs d'impôt différé dépendant de bénéfices futurs et résu</w:t>
            </w:r>
            <w:r>
              <w:rPr>
                <w:rStyle w:val="InstructionsTabelleberschrift"/>
                <w:rFonts w:ascii="Times New Roman" w:hAnsi="Times New Roman"/>
                <w:sz w:val="24"/>
              </w:rPr>
              <w:t>l</w:t>
            </w:r>
            <w:r>
              <w:rPr>
                <w:rStyle w:val="InstructionsTabelleberschrift"/>
                <w:rFonts w:ascii="Times New Roman" w:hAnsi="Times New Roman"/>
                <w:sz w:val="24"/>
              </w:rPr>
              <w:t>tant de différences temporelles</w:t>
            </w:r>
          </w:p>
          <w:p w:rsidR="005643EA" w:rsidRPr="00392FFD" w:rsidRDefault="002648B0" w:rsidP="00622B37">
            <w:pPr>
              <w:pStyle w:val="InstructionsText"/>
            </w:pPr>
            <w:r>
              <w:t>Article 36, paragraphe 1, point c), article 38 et article 48, paragraphe 1, point a), du CRR</w:t>
            </w:r>
          </w:p>
          <w:p w:rsidR="005643EA" w:rsidRPr="00392FFD" w:rsidRDefault="002648B0" w:rsidP="00622B37">
            <w:pPr>
              <w:pStyle w:val="InstructionsText"/>
            </w:pPr>
            <w:r>
              <w:t>Actifs d'impôt différé qui dépendent de bénéfices futurs et résultent de différences temporelles, et dont la déduction des fonds propres de base de catégorie 1 est par conséquent soumise aux seuils de 10 % et de 17,65 % visés à l'article 48 du CRR.</w:t>
            </w:r>
          </w:p>
        </w:tc>
      </w:tr>
      <w:tr w:rsidR="002648B0" w:rsidRPr="00392FFD" w:rsidTr="00700DFD">
        <w:tc>
          <w:tcPr>
            <w:tcW w:w="1506" w:type="dxa"/>
          </w:tcPr>
          <w:p w:rsidR="002648B0" w:rsidRPr="00392FFD" w:rsidRDefault="002648B0" w:rsidP="00622B37">
            <w:pPr>
              <w:pStyle w:val="InstructionsText"/>
            </w:pPr>
            <w:r>
              <w:t>050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2 Passifs d'impôt différé totaux</w:t>
            </w:r>
          </w:p>
          <w:p w:rsidR="005643EA" w:rsidRPr="00392FFD" w:rsidRDefault="002648B0" w:rsidP="00622B37">
            <w:pPr>
              <w:pStyle w:val="InstructionsText"/>
            </w:pPr>
            <w:r>
              <w:t>Le montant déclaré à ce poste correspondra au montant déclaré au de</w:t>
            </w:r>
            <w:r>
              <w:t>r</w:t>
            </w:r>
            <w:r>
              <w:t>nier bilan vérifié/audité.</w:t>
            </w:r>
          </w:p>
        </w:tc>
      </w:tr>
      <w:tr w:rsidR="002648B0" w:rsidRPr="00392FFD" w:rsidTr="00700DFD">
        <w:tc>
          <w:tcPr>
            <w:tcW w:w="1506" w:type="dxa"/>
          </w:tcPr>
          <w:p w:rsidR="002648B0" w:rsidRPr="00392FFD" w:rsidRDefault="002648B0" w:rsidP="00622B37">
            <w:pPr>
              <w:pStyle w:val="InstructionsText"/>
            </w:pPr>
            <w:r>
              <w:t>060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2.1</w:t>
            </w:r>
            <w:r>
              <w:tab/>
            </w:r>
            <w:r>
              <w:rPr>
                <w:rStyle w:val="InstructionsTabelleberschrift"/>
                <w:rFonts w:ascii="Times New Roman" w:hAnsi="Times New Roman"/>
                <w:sz w:val="24"/>
              </w:rPr>
              <w:t>Passifs d'impôt différé non déductibles des actifs d'impôt di</w:t>
            </w:r>
            <w:r>
              <w:rPr>
                <w:rStyle w:val="InstructionsTabelleberschrift"/>
                <w:rFonts w:ascii="Times New Roman" w:hAnsi="Times New Roman"/>
                <w:sz w:val="24"/>
              </w:rPr>
              <w:t>f</w:t>
            </w:r>
            <w:r>
              <w:rPr>
                <w:rStyle w:val="InstructionsTabelleberschrift"/>
                <w:rFonts w:ascii="Times New Roman" w:hAnsi="Times New Roman"/>
                <w:sz w:val="24"/>
              </w:rPr>
              <w:t>féré dépendant de bénéfices futurs</w:t>
            </w:r>
          </w:p>
          <w:p w:rsidR="005643EA" w:rsidRPr="00392FFD" w:rsidRDefault="002648B0" w:rsidP="00622B37">
            <w:pPr>
              <w:pStyle w:val="InstructionsText"/>
            </w:pPr>
            <w:r>
              <w:t>Article 38, paragraphes 3 et 4, du CRR</w:t>
            </w:r>
          </w:p>
          <w:p w:rsidR="005643EA" w:rsidRPr="00392FFD" w:rsidRDefault="002648B0" w:rsidP="00622B37">
            <w:pPr>
              <w:pStyle w:val="InstructionsText"/>
            </w:pPr>
            <w:r>
              <w:t>Passifs d'impôt différé pour lesquels les conditions de l'article 38, par</w:t>
            </w:r>
            <w:r>
              <w:t>a</w:t>
            </w:r>
            <w:r>
              <w:t>graphes 3 et 4, du CRR ne sont pas remplies. Par conséquent, ce poste comprendra les passifs d'impôt différé qui réduisent le montant du goodwill, des autres immobilisations incorporelles ou des actifs de fonds de pension à prestations définies devant être déduits, qui sont déclarés respectivement aux points 1.1.1.10.3, 1.1.1.11.2 et 1.1.1.14.2 du CA1.</w:t>
            </w:r>
          </w:p>
        </w:tc>
      </w:tr>
      <w:tr w:rsidR="002648B0" w:rsidRPr="00392FFD" w:rsidTr="00700DFD">
        <w:tc>
          <w:tcPr>
            <w:tcW w:w="1506" w:type="dxa"/>
          </w:tcPr>
          <w:p w:rsidR="002648B0" w:rsidRPr="00392FFD" w:rsidRDefault="002648B0" w:rsidP="00622B37">
            <w:pPr>
              <w:pStyle w:val="InstructionsText"/>
            </w:pPr>
            <w:r>
              <w:t>070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2.2</w:t>
            </w:r>
            <w:r>
              <w:tab/>
            </w:r>
            <w:r>
              <w:rPr>
                <w:rStyle w:val="InstructionsTabelleberschrift"/>
                <w:rFonts w:ascii="Times New Roman" w:hAnsi="Times New Roman"/>
                <w:sz w:val="24"/>
              </w:rPr>
              <w:t>Passifs d'impôt différé déductibles des actifs d'impôt différé dépendant de bénéfices futurs</w:t>
            </w:r>
          </w:p>
          <w:p w:rsidR="005643EA" w:rsidRPr="00392FFD" w:rsidRDefault="002648B0" w:rsidP="00622B37">
            <w:pPr>
              <w:pStyle w:val="InstructionsText"/>
            </w:pPr>
            <w:r>
              <w:lastRenderedPageBreak/>
              <w:t>Article 38 du CRR</w:t>
            </w:r>
          </w:p>
        </w:tc>
      </w:tr>
      <w:tr w:rsidR="002648B0" w:rsidRPr="00392FFD" w:rsidTr="00700DFD">
        <w:tc>
          <w:tcPr>
            <w:tcW w:w="1506" w:type="dxa"/>
          </w:tcPr>
          <w:p w:rsidR="002648B0" w:rsidRPr="00392FFD" w:rsidRDefault="002648B0" w:rsidP="00622B37">
            <w:pPr>
              <w:pStyle w:val="InstructionsText"/>
            </w:pPr>
            <w:r>
              <w:lastRenderedPageBreak/>
              <w:t>080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2.2.1</w:t>
            </w:r>
            <w:r>
              <w:tab/>
            </w:r>
            <w:r>
              <w:rPr>
                <w:rStyle w:val="InstructionsTabelleberschrift"/>
                <w:rFonts w:ascii="Times New Roman" w:hAnsi="Times New Roman"/>
                <w:sz w:val="24"/>
              </w:rPr>
              <w:t>Passifs d'impôt différé associés aux actifs d'impôt différé d</w:t>
            </w:r>
            <w:r>
              <w:rPr>
                <w:rStyle w:val="InstructionsTabelleberschrift"/>
                <w:rFonts w:ascii="Times New Roman" w:hAnsi="Times New Roman"/>
                <w:sz w:val="24"/>
              </w:rPr>
              <w:t>é</w:t>
            </w:r>
            <w:r>
              <w:rPr>
                <w:rStyle w:val="InstructionsTabelleberschrift"/>
                <w:rFonts w:ascii="Times New Roman" w:hAnsi="Times New Roman"/>
                <w:sz w:val="24"/>
              </w:rPr>
              <w:t>pendant de bénéfices futurs et ne résultant pas de différences te</w:t>
            </w:r>
            <w:r>
              <w:rPr>
                <w:rStyle w:val="InstructionsTabelleberschrift"/>
                <w:rFonts w:ascii="Times New Roman" w:hAnsi="Times New Roman"/>
                <w:sz w:val="24"/>
              </w:rPr>
              <w:t>m</w:t>
            </w:r>
            <w:r>
              <w:rPr>
                <w:rStyle w:val="InstructionsTabelleberschrift"/>
                <w:rFonts w:ascii="Times New Roman" w:hAnsi="Times New Roman"/>
                <w:sz w:val="24"/>
              </w:rPr>
              <w:t>porelles</w:t>
            </w:r>
          </w:p>
          <w:p w:rsidR="005643EA" w:rsidRPr="00392FFD" w:rsidRDefault="002648B0" w:rsidP="00622B37">
            <w:pPr>
              <w:pStyle w:val="InstructionsText"/>
            </w:pPr>
            <w:r>
              <w:t>Article 38, paragraphes 3, 4 et 5, du CRR</w:t>
            </w:r>
          </w:p>
          <w:p w:rsidR="005643EA" w:rsidRPr="00392FFD" w:rsidRDefault="002648B0" w:rsidP="00622B37">
            <w:pPr>
              <w:pStyle w:val="InstructionsText"/>
            </w:pPr>
            <w:r>
              <w:t>Passifs d’impôt différé qui peuvent diminuer le montant des actifs d’impôt différé qui dépendent de bénéfices futurs, conformément à l’article 38, paragraphes 3 et 4, du CRR, et ne sont pas affectés aux a</w:t>
            </w:r>
            <w:r>
              <w:t>c</w:t>
            </w:r>
            <w:r>
              <w:t>tifs d’impôt différé qui dépendent de bénéfices futurs et résultent de di</w:t>
            </w:r>
            <w:r>
              <w:t>f</w:t>
            </w:r>
            <w:r>
              <w:t>férences temporelles, conformément à l’article 38, paragraphe 5, du CRR.</w:t>
            </w:r>
          </w:p>
        </w:tc>
      </w:tr>
      <w:tr w:rsidR="002648B0" w:rsidRPr="00392FFD" w:rsidTr="00700DFD">
        <w:tc>
          <w:tcPr>
            <w:tcW w:w="1506" w:type="dxa"/>
          </w:tcPr>
          <w:p w:rsidR="002648B0" w:rsidRPr="00392FFD" w:rsidRDefault="002648B0" w:rsidP="00622B37">
            <w:pPr>
              <w:pStyle w:val="InstructionsText"/>
            </w:pPr>
            <w:r>
              <w:t>090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2.2.2</w:t>
            </w:r>
            <w:r>
              <w:tab/>
            </w:r>
            <w:r>
              <w:rPr>
                <w:rStyle w:val="InstructionsTabelleberschrift"/>
                <w:rFonts w:ascii="Times New Roman" w:hAnsi="Times New Roman"/>
                <w:sz w:val="24"/>
              </w:rPr>
              <w:t>Passifs d'impôt différé associés aux actifs d'impôt différé d</w:t>
            </w:r>
            <w:r>
              <w:rPr>
                <w:rStyle w:val="InstructionsTabelleberschrift"/>
                <w:rFonts w:ascii="Times New Roman" w:hAnsi="Times New Roman"/>
                <w:sz w:val="24"/>
              </w:rPr>
              <w:t>é</w:t>
            </w:r>
            <w:r>
              <w:rPr>
                <w:rStyle w:val="InstructionsTabelleberschrift"/>
                <w:rFonts w:ascii="Times New Roman" w:hAnsi="Times New Roman"/>
                <w:sz w:val="24"/>
              </w:rPr>
              <w:t>pendant de bénéfices futurs et résultant de différences temporelles</w:t>
            </w:r>
          </w:p>
          <w:p w:rsidR="005643EA" w:rsidRPr="00392FFD" w:rsidRDefault="002648B0" w:rsidP="00622B37">
            <w:pPr>
              <w:pStyle w:val="InstructionsText"/>
            </w:pPr>
            <w:r>
              <w:t>Article 38, paragraphes 3, 4 et 5, du CRR</w:t>
            </w:r>
          </w:p>
          <w:p w:rsidR="005643EA" w:rsidRPr="00392FFD" w:rsidRDefault="002648B0" w:rsidP="00622B37">
            <w:pPr>
              <w:pStyle w:val="InstructionsText"/>
            </w:pPr>
            <w:r>
              <w:t>Passifs d’impôt différé qui peuvent diminuer le montant des actifs d’impôt différé qui dépendent de bénéfices futurs, conformément à l’article 38, paragraphes 3 et 4, du CRR, et sont affectés aux actifs d’impôt différé qui dépendent de bénéfices futurs et résultent de diff</w:t>
            </w:r>
            <w:r>
              <w:t>é</w:t>
            </w:r>
            <w:r>
              <w:t>rences temporelles, conformément à l’article 38, paragraphe 5, du CRR.</w:t>
            </w:r>
          </w:p>
        </w:tc>
      </w:tr>
      <w:tr w:rsidR="00550113" w:rsidRPr="00392FFD" w:rsidTr="00700DFD">
        <w:tc>
          <w:tcPr>
            <w:tcW w:w="1506" w:type="dxa"/>
          </w:tcPr>
          <w:p w:rsidR="00550113" w:rsidRPr="00392FFD" w:rsidRDefault="00550113" w:rsidP="00622B37">
            <w:pPr>
              <w:pStyle w:val="InstructionsText"/>
            </w:pPr>
            <w:r>
              <w:t>093</w:t>
            </w:r>
          </w:p>
        </w:tc>
        <w:tc>
          <w:tcPr>
            <w:tcW w:w="7243" w:type="dxa"/>
          </w:tcPr>
          <w:p w:rsidR="00550113" w:rsidRPr="00201704" w:rsidRDefault="00550113" w:rsidP="00622B37">
            <w:pPr>
              <w:pStyle w:val="InstructionsText"/>
            </w:pPr>
            <w:r>
              <w:rPr>
                <w:rStyle w:val="InstructionsTabelleberschrift"/>
                <w:rFonts w:ascii="Times New Roman" w:hAnsi="Times New Roman"/>
                <w:sz w:val="24"/>
              </w:rPr>
              <w:t>2A</w:t>
            </w:r>
            <w:r>
              <w:tab/>
            </w:r>
            <w:r>
              <w:rPr>
                <w:rStyle w:val="InstructionsTabelleberschrift"/>
                <w:rFonts w:ascii="Times New Roman" w:hAnsi="Times New Roman"/>
                <w:sz w:val="24"/>
              </w:rPr>
              <w:t>Excédents d'impôts et reports de déficits fiscaux</w:t>
            </w:r>
          </w:p>
          <w:p w:rsidR="00550113" w:rsidRPr="00392FFD" w:rsidRDefault="00201704" w:rsidP="00622B37">
            <w:pPr>
              <w:pStyle w:val="InstructionsText"/>
            </w:pPr>
            <w:r>
              <w:t>Article 39, paragraphe 1, du CRR</w:t>
            </w:r>
          </w:p>
          <w:p w:rsidR="00550113" w:rsidRPr="00392FFD" w:rsidRDefault="00550113" w:rsidP="00622B37">
            <w:pPr>
              <w:pStyle w:val="InstructionsText"/>
              <w:rPr>
                <w:rStyle w:val="InstructionsTabelleberschrift"/>
                <w:rFonts w:ascii="Times New Roman" w:hAnsi="Times New Roman"/>
                <w:b w:val="0"/>
                <w:bCs w:val="0"/>
                <w:sz w:val="24"/>
                <w:u w:val="none"/>
              </w:rPr>
            </w:pPr>
            <w:r>
              <w:t>Le montant des excédents d'impôts et des reports de déficits fiscaux qui ne sont pas déduits des fonds propres conformément à l’article 39, par</w:t>
            </w:r>
            <w:r>
              <w:t>a</w:t>
            </w:r>
            <w:r>
              <w:t>graphe 1, du CRR; le montant déclaré est le montant avant application de pondérations de risque.</w:t>
            </w:r>
          </w:p>
        </w:tc>
      </w:tr>
      <w:tr w:rsidR="00DF65DF" w:rsidRPr="00392FFD" w:rsidTr="00700DFD">
        <w:tc>
          <w:tcPr>
            <w:tcW w:w="1506" w:type="dxa"/>
          </w:tcPr>
          <w:p w:rsidR="00DF65DF" w:rsidRPr="00392FFD" w:rsidRDefault="00DF65DF" w:rsidP="00622B37">
            <w:pPr>
              <w:pStyle w:val="InstructionsText"/>
            </w:pPr>
            <w:r>
              <w:t>096</w:t>
            </w:r>
          </w:p>
        </w:tc>
        <w:tc>
          <w:tcPr>
            <w:tcW w:w="7243" w:type="dxa"/>
          </w:tcPr>
          <w:p w:rsidR="00DF65DF" w:rsidRPr="00201704" w:rsidRDefault="00550113" w:rsidP="00622B37">
            <w:pPr>
              <w:pStyle w:val="InstructionsText"/>
            </w:pPr>
            <w:r>
              <w:rPr>
                <w:rStyle w:val="InstructionsTabelleberschrift"/>
                <w:rFonts w:ascii="Times New Roman" w:hAnsi="Times New Roman"/>
                <w:sz w:val="24"/>
              </w:rPr>
              <w:t>2B</w:t>
            </w:r>
            <w:r>
              <w:tab/>
            </w:r>
            <w:r>
              <w:rPr>
                <w:rStyle w:val="InstructionsTabelleberschrift"/>
                <w:rFonts w:ascii="Times New Roman" w:hAnsi="Times New Roman"/>
                <w:sz w:val="24"/>
              </w:rPr>
              <w:t>Actifs d'impôt différé soumis à une pondération de risque de 250 %</w:t>
            </w:r>
          </w:p>
          <w:p w:rsidR="00DF65DF" w:rsidRPr="00392FFD" w:rsidRDefault="00201704" w:rsidP="00622B37">
            <w:pPr>
              <w:pStyle w:val="InstructionsText"/>
            </w:pPr>
            <w:r>
              <w:t>Article 48, paragraphe 4, du CRR</w:t>
            </w:r>
          </w:p>
          <w:p w:rsidR="00DF65DF" w:rsidRPr="00201704" w:rsidRDefault="00DF65DF" w:rsidP="00DC3A83">
            <w:pPr>
              <w:pStyle w:val="InstructionsText"/>
              <w:rPr>
                <w:rStyle w:val="InstructionsTabelleberschrift"/>
                <w:rFonts w:ascii="Times New Roman" w:hAnsi="Times New Roman"/>
                <w:b w:val="0"/>
                <w:bCs w:val="0"/>
                <w:sz w:val="24"/>
                <w:u w:val="none"/>
              </w:rPr>
            </w:pPr>
            <w:r>
              <w:t>Le montant des actifs d'impôt différé dépendant de bénéfices futurs et résultant de différences temporelles qui ne sont pas déduits en vertu de l’article 48, paragraphe 1, du CRR, mais sont soumis à une pondération de risque de 250 % conformément à l’article 48, paragraphe 4, du CRR, en tenant compte de l’effet de l’article 470 du CRR. Le montant déclaré est le montant des actifs d'impôt différé avant l’application de la pond</w:t>
            </w:r>
            <w:r>
              <w:t>é</w:t>
            </w:r>
            <w:r>
              <w:t>ration de risque.</w:t>
            </w:r>
          </w:p>
        </w:tc>
      </w:tr>
      <w:tr w:rsidR="00DF65DF" w:rsidRPr="00392FFD" w:rsidTr="00700DFD">
        <w:tc>
          <w:tcPr>
            <w:tcW w:w="1506" w:type="dxa"/>
          </w:tcPr>
          <w:p w:rsidR="00DF65DF" w:rsidRPr="00392FFD" w:rsidRDefault="00DF65DF" w:rsidP="00622B37">
            <w:pPr>
              <w:pStyle w:val="InstructionsText"/>
            </w:pPr>
            <w:r>
              <w:t>097</w:t>
            </w:r>
          </w:p>
        </w:tc>
        <w:tc>
          <w:tcPr>
            <w:tcW w:w="7243" w:type="dxa"/>
          </w:tcPr>
          <w:p w:rsidR="00DF65DF" w:rsidRPr="00201704" w:rsidRDefault="00550113" w:rsidP="00622B37">
            <w:pPr>
              <w:pStyle w:val="InstructionsText"/>
            </w:pPr>
            <w:r>
              <w:rPr>
                <w:rStyle w:val="InstructionsTabelleberschrift"/>
                <w:rFonts w:ascii="Times New Roman" w:hAnsi="Times New Roman"/>
                <w:sz w:val="24"/>
              </w:rPr>
              <w:t>2C</w:t>
            </w:r>
            <w:r>
              <w:tab/>
            </w:r>
            <w:r>
              <w:rPr>
                <w:rStyle w:val="InstructionsTabelleberschrift"/>
                <w:rFonts w:ascii="Times New Roman" w:hAnsi="Times New Roman"/>
                <w:sz w:val="24"/>
              </w:rPr>
              <w:t>Actifs d'impôt différé soumis à une pondération de risque de 0 %</w:t>
            </w:r>
          </w:p>
          <w:p w:rsidR="00DF65DF" w:rsidRPr="00392FFD" w:rsidRDefault="00DF65DF" w:rsidP="00622B37">
            <w:pPr>
              <w:pStyle w:val="InstructionsText"/>
            </w:pPr>
            <w:r>
              <w:t>Article 469, paragraphe 1, point d), article 470, article 472, paragraphe 5, et article 478 du CRR</w:t>
            </w:r>
          </w:p>
          <w:p w:rsidR="00DF65DF" w:rsidRPr="00201704" w:rsidRDefault="00DF65DF" w:rsidP="00622B37">
            <w:pPr>
              <w:pStyle w:val="InstructionsText"/>
              <w:rPr>
                <w:rStyle w:val="InstructionsTabelleberschrift"/>
                <w:rFonts w:ascii="Times New Roman" w:hAnsi="Times New Roman"/>
                <w:b w:val="0"/>
                <w:bCs w:val="0"/>
                <w:sz w:val="24"/>
                <w:u w:val="none"/>
              </w:rPr>
            </w:pPr>
            <w:r>
              <w:t>Le montant des actifs d'impôt différé dépendant de bénéfices futurs et résultant de différences temporelles qui ne sont pas déduits conform</w:t>
            </w:r>
            <w:r>
              <w:t>é</w:t>
            </w:r>
            <w:r>
              <w:t xml:space="preserve">ment à l’article 469, paragraphe 1, point d), et de l’article 470 du CRR, mais sont soumis à une pondération de risque de 0 % conformément à </w:t>
            </w:r>
            <w:r>
              <w:lastRenderedPageBreak/>
              <w:t>l’article 472, paragraphe 5, du CRR. Le montant déclaré est le montant des actifs d'impôt différé avant l’application de la pondération de risque.</w:t>
            </w:r>
          </w:p>
        </w:tc>
      </w:tr>
      <w:tr w:rsidR="002648B0" w:rsidRPr="00392FFD" w:rsidTr="00700DFD">
        <w:tc>
          <w:tcPr>
            <w:tcW w:w="1506" w:type="dxa"/>
          </w:tcPr>
          <w:p w:rsidR="002648B0" w:rsidRPr="00392FFD" w:rsidRDefault="002648B0" w:rsidP="00622B37">
            <w:pPr>
              <w:pStyle w:val="InstructionsText"/>
            </w:pPr>
            <w:r>
              <w:lastRenderedPageBreak/>
              <w:t>100</w:t>
            </w:r>
          </w:p>
        </w:tc>
        <w:tc>
          <w:tcPr>
            <w:tcW w:w="7243" w:type="dxa"/>
          </w:tcPr>
          <w:p w:rsidR="005643EA" w:rsidRPr="00201704" w:rsidRDefault="00C66473"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3.</w:t>
            </w:r>
            <w:r>
              <w:tab/>
            </w:r>
            <w:r>
              <w:rPr>
                <w:rStyle w:val="InstructionsTabelleberschrift"/>
                <w:rFonts w:ascii="Times New Roman" w:hAnsi="Times New Roman"/>
                <w:sz w:val="24"/>
              </w:rPr>
              <w:t>Excès (+) ou insuffisance (-) NI des ajustements pour risque de crédit, des corrections de valeur supplémentaires, et des autres réductions de fonds propres par rapport aux pertes anticipées sur les expositions non en défaut</w:t>
            </w:r>
          </w:p>
          <w:p w:rsidR="005643EA" w:rsidRPr="00392FFD" w:rsidRDefault="002648B0" w:rsidP="00622B37">
            <w:pPr>
              <w:pStyle w:val="InstructionsText"/>
            </w:pPr>
            <w:r>
              <w:t>Article 36, paragraphe 1, point d), article 62, point d), et articles 158 et 159 du CRR</w:t>
            </w:r>
          </w:p>
          <w:p w:rsidR="005643EA" w:rsidRPr="00392FFD" w:rsidRDefault="002648B0" w:rsidP="00622B37">
            <w:pPr>
              <w:pStyle w:val="InstructionsText"/>
            </w:pPr>
            <w:r>
              <w:t>Ce poste ne sera déclaré que par les établissements qui appliquent l’approche NI.</w:t>
            </w:r>
          </w:p>
        </w:tc>
      </w:tr>
      <w:tr w:rsidR="002648B0" w:rsidRPr="00392FFD" w:rsidTr="00700DFD">
        <w:tc>
          <w:tcPr>
            <w:tcW w:w="1506" w:type="dxa"/>
          </w:tcPr>
          <w:p w:rsidR="002648B0" w:rsidRPr="00392FFD" w:rsidRDefault="002648B0" w:rsidP="00622B37">
            <w:pPr>
              <w:pStyle w:val="InstructionsText"/>
            </w:pPr>
            <w:r>
              <w:t>110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3.1</w:t>
            </w:r>
            <w:r>
              <w:tab/>
            </w:r>
            <w:r>
              <w:rPr>
                <w:rStyle w:val="InstructionsTabelleberschrift"/>
                <w:rFonts w:ascii="Times New Roman" w:hAnsi="Times New Roman"/>
                <w:sz w:val="24"/>
              </w:rPr>
              <w:t>Total des ajustements pour risque de crédit, des corrections de valeur supplémentaires, et des autres réductions des fonds propres pouvant être pris en compte dans le calcul du montant des pertes anticipées</w:t>
            </w:r>
          </w:p>
          <w:p w:rsidR="005643EA" w:rsidRPr="00392FFD" w:rsidRDefault="002648B0" w:rsidP="00622B37">
            <w:pPr>
              <w:pStyle w:val="InstructionsText"/>
            </w:pPr>
            <w:r>
              <w:t>Article 159 du CRR</w:t>
            </w:r>
          </w:p>
          <w:p w:rsidR="005643EA" w:rsidRPr="00392FFD" w:rsidRDefault="002648B0" w:rsidP="00622B37">
            <w:pPr>
              <w:pStyle w:val="InstructionsText"/>
            </w:pPr>
            <w:r>
              <w:t>Ce poste ne sera déclaré que par les établissements qui appliquent l’approche NI.</w:t>
            </w:r>
          </w:p>
        </w:tc>
      </w:tr>
      <w:tr w:rsidR="002648B0" w:rsidRPr="00392FFD" w:rsidTr="00700DFD">
        <w:tc>
          <w:tcPr>
            <w:tcW w:w="1506" w:type="dxa"/>
          </w:tcPr>
          <w:p w:rsidR="002648B0" w:rsidRPr="00392FFD" w:rsidRDefault="002648B0" w:rsidP="00622B37">
            <w:pPr>
              <w:pStyle w:val="InstructionsText"/>
            </w:pPr>
            <w:r>
              <w:t>120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3.1.1</w:t>
            </w:r>
            <w:r>
              <w:tab/>
            </w:r>
            <w:r>
              <w:rPr>
                <w:rStyle w:val="InstructionsTabelleberschrift"/>
                <w:rFonts w:ascii="Times New Roman" w:hAnsi="Times New Roman"/>
                <w:sz w:val="24"/>
              </w:rPr>
              <w:t>Ajustements pour risque de crédit général</w:t>
            </w:r>
          </w:p>
          <w:p w:rsidR="005643EA" w:rsidRPr="00392FFD" w:rsidRDefault="002648B0" w:rsidP="00622B37">
            <w:pPr>
              <w:pStyle w:val="InstructionsText"/>
            </w:pPr>
            <w:r>
              <w:t>Article 159 du CRR</w:t>
            </w:r>
          </w:p>
          <w:p w:rsidR="005643EA" w:rsidRPr="00392FFD" w:rsidRDefault="002648B0" w:rsidP="00622B37">
            <w:pPr>
              <w:pStyle w:val="InstructionsText"/>
            </w:pPr>
            <w:r>
              <w:t>Ce poste ne sera déclaré que par les établissements qui appliquent l’approche NI.</w:t>
            </w:r>
          </w:p>
        </w:tc>
      </w:tr>
      <w:tr w:rsidR="002648B0" w:rsidRPr="00392FFD" w:rsidTr="00700DFD">
        <w:tc>
          <w:tcPr>
            <w:tcW w:w="1506" w:type="dxa"/>
          </w:tcPr>
          <w:p w:rsidR="002648B0" w:rsidRPr="00392FFD" w:rsidRDefault="002648B0" w:rsidP="00622B37">
            <w:pPr>
              <w:pStyle w:val="InstructionsText"/>
            </w:pPr>
            <w:r>
              <w:t>130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3.1.2</w:t>
            </w:r>
            <w:r>
              <w:tab/>
            </w:r>
            <w:r>
              <w:rPr>
                <w:rStyle w:val="InstructionsTabelleberschrift"/>
                <w:rFonts w:ascii="Times New Roman" w:hAnsi="Times New Roman"/>
                <w:sz w:val="24"/>
              </w:rPr>
              <w:t>Ajustements pour risque de crédit spécifique</w:t>
            </w:r>
          </w:p>
          <w:p w:rsidR="005643EA" w:rsidRPr="00392FFD" w:rsidRDefault="002648B0" w:rsidP="00622B37">
            <w:pPr>
              <w:pStyle w:val="InstructionsText"/>
            </w:pPr>
            <w:r>
              <w:t>Article 159 du CRR</w:t>
            </w:r>
          </w:p>
          <w:p w:rsidR="005643EA" w:rsidRPr="00392FFD" w:rsidRDefault="002648B0" w:rsidP="00622B37">
            <w:pPr>
              <w:pStyle w:val="InstructionsText"/>
            </w:pPr>
            <w:r>
              <w:t>Ce poste ne sera déclaré que par les établissements qui appliquent l’approche NI.</w:t>
            </w:r>
          </w:p>
        </w:tc>
      </w:tr>
      <w:tr w:rsidR="002648B0" w:rsidRPr="00392FFD" w:rsidTr="00700DFD">
        <w:tc>
          <w:tcPr>
            <w:tcW w:w="1506" w:type="dxa"/>
          </w:tcPr>
          <w:p w:rsidR="002648B0" w:rsidRPr="00392FFD" w:rsidRDefault="002648B0" w:rsidP="00622B37">
            <w:pPr>
              <w:pStyle w:val="InstructionsText"/>
            </w:pPr>
            <w:r>
              <w:t>131</w:t>
            </w:r>
          </w:p>
          <w:p w:rsidR="005643EA" w:rsidRPr="00392FFD" w:rsidRDefault="005643EA" w:rsidP="00622B37">
            <w:pPr>
              <w:pStyle w:val="InstructionsText"/>
            </w:pPr>
          </w:p>
        </w:tc>
        <w:tc>
          <w:tcPr>
            <w:tcW w:w="7243"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3.1.3</w:t>
            </w:r>
            <w:r>
              <w:tab/>
            </w:r>
            <w:r>
              <w:rPr>
                <w:rStyle w:val="InstructionsTabelleberschrift"/>
                <w:rFonts w:ascii="Times New Roman" w:hAnsi="Times New Roman"/>
                <w:sz w:val="24"/>
              </w:rPr>
              <w:t>Corrections de valeur supplémentaires et autres réductions de fonds propres</w:t>
            </w:r>
          </w:p>
          <w:p w:rsidR="005643EA" w:rsidRPr="00392FFD" w:rsidRDefault="002648B0"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Articles 34, 110 et 159 du CRR</w:t>
            </w:r>
          </w:p>
          <w:p w:rsidR="005643EA" w:rsidRPr="00201704" w:rsidRDefault="002648B0" w:rsidP="00622B37">
            <w:pPr>
              <w:pStyle w:val="InstructionsText"/>
              <w:rPr>
                <w:rStyle w:val="InstructionsTabelleberschrift"/>
                <w:rFonts w:ascii="Times New Roman" w:hAnsi="Times New Roman"/>
                <w:b w:val="0"/>
                <w:bCs w:val="0"/>
                <w:sz w:val="24"/>
                <w:u w:val="none"/>
              </w:rPr>
            </w:pPr>
            <w:r>
              <w:t>Ce poste ne sera déclaré que par les établissements qui appliquent l’approche NI.</w:t>
            </w:r>
          </w:p>
        </w:tc>
      </w:tr>
      <w:tr w:rsidR="002648B0" w:rsidRPr="00392FFD" w:rsidTr="00700DFD">
        <w:tc>
          <w:tcPr>
            <w:tcW w:w="1506" w:type="dxa"/>
          </w:tcPr>
          <w:p w:rsidR="002648B0" w:rsidRPr="00392FFD" w:rsidRDefault="002648B0" w:rsidP="00622B37">
            <w:pPr>
              <w:pStyle w:val="InstructionsText"/>
            </w:pPr>
            <w:r>
              <w:t>140</w:t>
            </w:r>
          </w:p>
        </w:tc>
        <w:tc>
          <w:tcPr>
            <w:tcW w:w="7243" w:type="dxa"/>
          </w:tcPr>
          <w:p w:rsidR="005643EA" w:rsidRPr="00392FFD" w:rsidRDefault="002648B0" w:rsidP="00622B37">
            <w:pPr>
              <w:pStyle w:val="InstructionsText"/>
            </w:pPr>
            <w:r>
              <w:rPr>
                <w:rStyle w:val="InstructionsTabelleberschrift"/>
                <w:rFonts w:ascii="Times New Roman" w:hAnsi="Times New Roman"/>
                <w:sz w:val="24"/>
              </w:rPr>
              <w:t>3.2</w:t>
            </w:r>
            <w:r>
              <w:tab/>
            </w:r>
            <w:r>
              <w:rPr>
                <w:rStyle w:val="InstructionsTabelleberschrift"/>
                <w:rFonts w:ascii="Times New Roman" w:hAnsi="Times New Roman"/>
                <w:sz w:val="24"/>
              </w:rPr>
              <w:t xml:space="preserve">Total des pertes anticipées éligibles </w:t>
            </w:r>
          </w:p>
          <w:p w:rsidR="005643EA" w:rsidRPr="00392FFD" w:rsidRDefault="002648B0" w:rsidP="00622B37">
            <w:pPr>
              <w:pStyle w:val="InstructionsText"/>
            </w:pPr>
            <w:r>
              <w:t>Article 158, paragraphes 5, 6 et 10, et article 159 du CRR</w:t>
            </w:r>
          </w:p>
          <w:p w:rsidR="005643EA" w:rsidRPr="00392FFD" w:rsidRDefault="00F11185" w:rsidP="00622B37">
            <w:pPr>
              <w:pStyle w:val="InstructionsText"/>
            </w:pPr>
            <w:r>
              <w:t>Ce poste ne sera déclaré que par les établissements qui appliquent l’approche NI. Seules les pertes anticipées liées aux expositions qui ne sont pas en défaut seront déclarées.</w:t>
            </w:r>
          </w:p>
        </w:tc>
      </w:tr>
      <w:tr w:rsidR="00F11185" w:rsidRPr="00392FFD" w:rsidTr="00700DFD">
        <w:tc>
          <w:tcPr>
            <w:tcW w:w="1506" w:type="dxa"/>
          </w:tcPr>
          <w:p w:rsidR="00F11185" w:rsidRPr="00392FFD" w:rsidRDefault="00F11185" w:rsidP="00622B37">
            <w:pPr>
              <w:pStyle w:val="InstructionsText"/>
            </w:pPr>
            <w:r>
              <w:t>145</w:t>
            </w:r>
          </w:p>
          <w:p w:rsidR="005643EA" w:rsidRPr="00392FFD" w:rsidRDefault="005643EA" w:rsidP="00622B37">
            <w:pPr>
              <w:pStyle w:val="InstructionsText"/>
            </w:pPr>
          </w:p>
        </w:tc>
        <w:tc>
          <w:tcPr>
            <w:tcW w:w="7243" w:type="dxa"/>
          </w:tcPr>
          <w:p w:rsidR="005643EA" w:rsidRPr="00392FFD" w:rsidRDefault="00630711"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4 Excès (+) ou insuffisance (-) NI des ajustements du risque de crédit par rapport aux pertes anticipées sur les expositions en défaut</w:t>
            </w:r>
          </w:p>
          <w:p w:rsidR="005643EA" w:rsidRPr="00392FFD" w:rsidRDefault="00630711" w:rsidP="00622B37">
            <w:pPr>
              <w:pStyle w:val="InstructionsText"/>
            </w:pPr>
            <w:r>
              <w:t>Article 36, paragraphe 1, point d), article 62, point d), et articles 158 et 159 du CRR</w:t>
            </w:r>
          </w:p>
          <w:p w:rsidR="005643EA" w:rsidRPr="00201704" w:rsidRDefault="00630711" w:rsidP="00622B37">
            <w:pPr>
              <w:pStyle w:val="InstructionsText"/>
              <w:rPr>
                <w:rStyle w:val="InstructionsTabelleberschrift"/>
                <w:rFonts w:ascii="Times New Roman" w:hAnsi="Times New Roman"/>
                <w:b w:val="0"/>
                <w:bCs w:val="0"/>
                <w:sz w:val="24"/>
                <w:u w:val="none"/>
              </w:rPr>
            </w:pPr>
            <w:r>
              <w:t xml:space="preserve">Ce poste ne sera déclaré que par les établissements qui appliquent </w:t>
            </w:r>
            <w:r>
              <w:lastRenderedPageBreak/>
              <w:t>l’approche NI.</w:t>
            </w:r>
          </w:p>
        </w:tc>
      </w:tr>
      <w:tr w:rsidR="00F11185" w:rsidRPr="00392FFD" w:rsidTr="00700DFD">
        <w:tc>
          <w:tcPr>
            <w:tcW w:w="1506" w:type="dxa"/>
          </w:tcPr>
          <w:p w:rsidR="00F11185" w:rsidRPr="00392FFD" w:rsidRDefault="00F11185" w:rsidP="00622B37">
            <w:pPr>
              <w:pStyle w:val="InstructionsText"/>
            </w:pPr>
            <w:r>
              <w:lastRenderedPageBreak/>
              <w:t>150</w:t>
            </w:r>
          </w:p>
          <w:p w:rsidR="005643EA" w:rsidRPr="00392FFD" w:rsidRDefault="005643EA" w:rsidP="00622B37">
            <w:pPr>
              <w:pStyle w:val="InstructionsText"/>
            </w:pPr>
          </w:p>
        </w:tc>
        <w:tc>
          <w:tcPr>
            <w:tcW w:w="7243" w:type="dxa"/>
          </w:tcPr>
          <w:p w:rsidR="005643EA" w:rsidRPr="00392FFD" w:rsidRDefault="00630711"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4.1</w:t>
            </w:r>
            <w:r>
              <w:tab/>
            </w:r>
            <w:r>
              <w:rPr>
                <w:rStyle w:val="InstructionsTabelleberschrift"/>
                <w:rFonts w:ascii="Times New Roman" w:hAnsi="Times New Roman"/>
                <w:sz w:val="24"/>
              </w:rPr>
              <w:t>Ajustements pour risque de crédit spécifique et positions tra</w:t>
            </w:r>
            <w:r>
              <w:rPr>
                <w:rStyle w:val="InstructionsTabelleberschrift"/>
                <w:rFonts w:ascii="Times New Roman" w:hAnsi="Times New Roman"/>
                <w:sz w:val="24"/>
              </w:rPr>
              <w:t>i</w:t>
            </w:r>
            <w:r>
              <w:rPr>
                <w:rStyle w:val="InstructionsTabelleberschrift"/>
                <w:rFonts w:ascii="Times New Roman" w:hAnsi="Times New Roman"/>
                <w:sz w:val="24"/>
              </w:rPr>
              <w:t>tées de la même façon</w:t>
            </w:r>
          </w:p>
          <w:p w:rsidR="005643EA" w:rsidRPr="00392FFD" w:rsidRDefault="00630711" w:rsidP="00622B37">
            <w:pPr>
              <w:pStyle w:val="InstructionsText"/>
            </w:pPr>
            <w:r>
              <w:t>Article 159 du CRR</w:t>
            </w:r>
          </w:p>
          <w:p w:rsidR="005643EA" w:rsidRPr="00201704" w:rsidRDefault="00630711" w:rsidP="00622B37">
            <w:pPr>
              <w:pStyle w:val="InstructionsText"/>
              <w:rPr>
                <w:rStyle w:val="InstructionsTabelleberschrift"/>
                <w:rFonts w:ascii="Times New Roman" w:hAnsi="Times New Roman"/>
                <w:b w:val="0"/>
                <w:bCs w:val="0"/>
                <w:sz w:val="24"/>
                <w:u w:val="none"/>
              </w:rPr>
            </w:pPr>
            <w:r>
              <w:t>Ce poste ne sera déclaré que par les établissements qui appliquent l’approche NI.</w:t>
            </w:r>
          </w:p>
        </w:tc>
      </w:tr>
      <w:tr w:rsidR="00F11185" w:rsidRPr="00392FFD" w:rsidTr="00700DFD">
        <w:tc>
          <w:tcPr>
            <w:tcW w:w="1506" w:type="dxa"/>
          </w:tcPr>
          <w:p w:rsidR="00F11185" w:rsidRPr="00392FFD" w:rsidRDefault="00F11185" w:rsidP="00622B37">
            <w:pPr>
              <w:pStyle w:val="InstructionsText"/>
            </w:pPr>
            <w:r>
              <w:t>155</w:t>
            </w:r>
          </w:p>
          <w:p w:rsidR="005643EA" w:rsidRPr="00392FFD" w:rsidRDefault="005643EA" w:rsidP="00622B37">
            <w:pPr>
              <w:pStyle w:val="InstructionsText"/>
            </w:pPr>
          </w:p>
        </w:tc>
        <w:tc>
          <w:tcPr>
            <w:tcW w:w="7243" w:type="dxa"/>
          </w:tcPr>
          <w:p w:rsidR="005643EA" w:rsidRPr="00392FFD" w:rsidRDefault="00630711"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4.2</w:t>
            </w:r>
            <w:r>
              <w:tab/>
            </w:r>
            <w:r>
              <w:rPr>
                <w:rStyle w:val="InstructionsTabelleberschrift"/>
                <w:rFonts w:ascii="Times New Roman" w:hAnsi="Times New Roman"/>
                <w:sz w:val="24"/>
              </w:rPr>
              <w:t>Total des pertes anticipées éligibles</w:t>
            </w:r>
          </w:p>
          <w:p w:rsidR="005643EA" w:rsidRPr="00392FFD" w:rsidRDefault="00630711" w:rsidP="00622B37">
            <w:pPr>
              <w:pStyle w:val="InstructionsText"/>
              <w:rPr>
                <w:rStyle w:val="InstructionsTabelleberschrift"/>
                <w:rFonts w:ascii="Times New Roman" w:hAnsi="Times New Roman"/>
                <w:sz w:val="24"/>
              </w:rPr>
            </w:pPr>
            <w:r>
              <w:t>Article 158, paragraphes 5, 6 et 10, et article 159 du CRR</w:t>
            </w:r>
          </w:p>
          <w:p w:rsidR="005643EA" w:rsidRPr="00201704" w:rsidRDefault="00F11185" w:rsidP="00622B37">
            <w:pPr>
              <w:pStyle w:val="InstructionsText"/>
              <w:rPr>
                <w:rStyle w:val="InstructionsTabelleberschrift"/>
                <w:rFonts w:ascii="Times New Roman" w:hAnsi="Times New Roman"/>
                <w:b w:val="0"/>
                <w:bCs w:val="0"/>
                <w:sz w:val="24"/>
                <w:u w:val="none"/>
              </w:rPr>
            </w:pPr>
            <w:r>
              <w:t>Ce poste ne sera déclaré que par les établissements qui appliquent l’approche NI. Seules les pertes anticipées liées aux expositions en d</w:t>
            </w:r>
            <w:r>
              <w:t>é</w:t>
            </w:r>
            <w:r>
              <w:t>faut seront déclarées.</w:t>
            </w:r>
          </w:p>
        </w:tc>
      </w:tr>
      <w:tr w:rsidR="002648B0" w:rsidRPr="00392FFD" w:rsidTr="00700DFD">
        <w:tc>
          <w:tcPr>
            <w:tcW w:w="1506" w:type="dxa"/>
          </w:tcPr>
          <w:p w:rsidR="002648B0" w:rsidRPr="00392FFD" w:rsidRDefault="002648B0" w:rsidP="00622B37">
            <w:pPr>
              <w:pStyle w:val="InstructionsText"/>
            </w:pPr>
            <w:r>
              <w:t>160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5</w:t>
            </w:r>
            <w:r>
              <w:tab/>
            </w:r>
            <w:r>
              <w:rPr>
                <w:rStyle w:val="InstructionsTabelleberschrift"/>
                <w:rFonts w:ascii="Times New Roman" w:hAnsi="Times New Roman"/>
                <w:sz w:val="24"/>
              </w:rPr>
              <w:t>Montants d’exposition pondérés pour le calcul du plafond de l’excès de provision pouvant être considéré comme T2</w:t>
            </w:r>
          </w:p>
          <w:p w:rsidR="005643EA" w:rsidRPr="00392FFD" w:rsidRDefault="002648B0" w:rsidP="00622B37">
            <w:pPr>
              <w:pStyle w:val="InstructionsText"/>
            </w:pPr>
            <w:r>
              <w:t>Article 62, point d), du CRR</w:t>
            </w:r>
          </w:p>
          <w:p w:rsidR="005643EA" w:rsidRPr="00392FFD" w:rsidRDefault="002648B0" w:rsidP="00622B37">
            <w:pPr>
              <w:pStyle w:val="InstructionsText"/>
            </w:pPr>
            <w:r>
              <w:t>Pour les établissements qui appliquent la méthode NI, conformément à l'article 62, point d) du CRR, l'excédent de provisions (par rapport aux pertes anticipées) pouvant être intégré dans les fonds propres de catég</w:t>
            </w:r>
            <w:r>
              <w:t>o</w:t>
            </w:r>
            <w:r>
              <w:t>rie 2 est plafonné à 0,6 % des montants d'exposition pondérés calculés selon l'approche NI.</w:t>
            </w:r>
          </w:p>
          <w:p w:rsidR="005643EA" w:rsidRPr="00392FFD" w:rsidRDefault="002648B0" w:rsidP="00622B37">
            <w:pPr>
              <w:pStyle w:val="InstructionsText"/>
            </w:pPr>
            <w:r>
              <w:t>Le montant à déclarer dans ce poste correspond aux montants d'expos</w:t>
            </w:r>
            <w:r>
              <w:t>i</w:t>
            </w:r>
            <w:r>
              <w:t>tion pondérés (c'est-à-dire non multipliés par 0,6 %), ce qui constitue la base de calcul du plafond.</w:t>
            </w:r>
          </w:p>
        </w:tc>
      </w:tr>
      <w:tr w:rsidR="002648B0" w:rsidRPr="00392FFD" w:rsidTr="00700DFD">
        <w:tc>
          <w:tcPr>
            <w:tcW w:w="1506" w:type="dxa"/>
          </w:tcPr>
          <w:p w:rsidR="002648B0" w:rsidRPr="00392FFD" w:rsidRDefault="002648B0" w:rsidP="00622B37">
            <w:pPr>
              <w:pStyle w:val="InstructionsText"/>
            </w:pPr>
            <w:r>
              <w:t>170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6</w:t>
            </w:r>
            <w:r>
              <w:tab/>
            </w:r>
            <w:r>
              <w:rPr>
                <w:rStyle w:val="InstructionsTabelleberschrift"/>
                <w:rFonts w:ascii="Times New Roman" w:hAnsi="Times New Roman"/>
                <w:sz w:val="24"/>
              </w:rPr>
              <w:t>Total des provisions brutes pouvant être incluses dans les fonds propres T2</w:t>
            </w:r>
          </w:p>
          <w:p w:rsidR="005643EA" w:rsidRPr="00392FFD" w:rsidRDefault="002648B0" w:rsidP="00622B37">
            <w:pPr>
              <w:pStyle w:val="InstructionsText"/>
            </w:pPr>
            <w:r>
              <w:t>Article 62, point c), du CRR</w:t>
            </w:r>
          </w:p>
          <w:p w:rsidR="005643EA" w:rsidRPr="00392FFD" w:rsidRDefault="002648B0" w:rsidP="00622B37">
            <w:pPr>
              <w:pStyle w:val="InstructionsText"/>
            </w:pPr>
            <w:r>
              <w:t>Ce poste comprend les ajustements pour risque de crédit général pouvant être inclus dans les fonds propres de catégorie 2, avant plafonnement.</w:t>
            </w:r>
          </w:p>
          <w:p w:rsidR="005643EA" w:rsidRPr="00392FFD" w:rsidRDefault="002648B0" w:rsidP="00622B37">
            <w:pPr>
              <w:pStyle w:val="InstructionsText"/>
            </w:pPr>
            <w:r>
              <w:t>Les montants à déclarer sont les montants bruts d’effets fiscaux.</w:t>
            </w:r>
          </w:p>
        </w:tc>
      </w:tr>
      <w:tr w:rsidR="002648B0" w:rsidRPr="00392FFD" w:rsidTr="00700DFD">
        <w:tc>
          <w:tcPr>
            <w:tcW w:w="1506" w:type="dxa"/>
          </w:tcPr>
          <w:p w:rsidR="002648B0" w:rsidRPr="00392FFD" w:rsidRDefault="002648B0" w:rsidP="00622B37">
            <w:pPr>
              <w:pStyle w:val="InstructionsText"/>
            </w:pPr>
            <w:r>
              <w:t>180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7</w:t>
            </w:r>
            <w:r>
              <w:tab/>
            </w:r>
            <w:r>
              <w:rPr>
                <w:rStyle w:val="InstructionsTabelleberschrift"/>
                <w:rFonts w:ascii="Times New Roman" w:hAnsi="Times New Roman"/>
                <w:sz w:val="24"/>
              </w:rPr>
              <w:t>Montants d'exposition pondérés pour le calcul du plafond de la provision pouvant être considérée comme T2</w:t>
            </w:r>
          </w:p>
          <w:p w:rsidR="005643EA" w:rsidRPr="00392FFD" w:rsidRDefault="002648B0" w:rsidP="00622B37">
            <w:pPr>
              <w:pStyle w:val="InstructionsText"/>
            </w:pPr>
            <w:r>
              <w:t>Article 62, point c), du CRR</w:t>
            </w:r>
          </w:p>
          <w:p w:rsidR="005643EA" w:rsidRPr="00392FFD" w:rsidRDefault="002648B0" w:rsidP="00622B37">
            <w:pPr>
              <w:pStyle w:val="InstructionsText"/>
            </w:pPr>
            <w:r>
              <w:t>Selon l'article 62, point c), du CRR, les ajustements pour risque de crédit pouvant être intégrés dans les fonds propres de catégorie 2 sont plafo</w:t>
            </w:r>
            <w:r>
              <w:t>n</w:t>
            </w:r>
            <w:r>
              <w:t>nés à 1,25 % des montants d'exposition pondérés.</w:t>
            </w:r>
          </w:p>
          <w:p w:rsidR="005643EA" w:rsidRPr="00392FFD" w:rsidRDefault="002648B0" w:rsidP="00622B37">
            <w:pPr>
              <w:pStyle w:val="InstructionsText"/>
            </w:pPr>
            <w:r>
              <w:t>Le montant à déclarer dans ce poste correspond aux montants d'expos</w:t>
            </w:r>
            <w:r>
              <w:t>i</w:t>
            </w:r>
            <w:r>
              <w:t>tion pondérés (c'est-à-dire non multipliés par 1,25 %), ce qui constitue la base de calcul du plafond.</w:t>
            </w:r>
          </w:p>
        </w:tc>
      </w:tr>
      <w:tr w:rsidR="002648B0" w:rsidRPr="00392FFD" w:rsidTr="00700DFD">
        <w:tc>
          <w:tcPr>
            <w:tcW w:w="1506" w:type="dxa"/>
          </w:tcPr>
          <w:p w:rsidR="002648B0" w:rsidRPr="00392FFD" w:rsidRDefault="002648B0" w:rsidP="00622B37">
            <w:pPr>
              <w:pStyle w:val="InstructionsText"/>
            </w:pPr>
            <w:r>
              <w:t>190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8</w:t>
            </w:r>
            <w:r>
              <w:tab/>
            </w:r>
            <w:r>
              <w:rPr>
                <w:rStyle w:val="InstructionsTabelleberschrift"/>
                <w:rFonts w:ascii="Times New Roman" w:hAnsi="Times New Roman"/>
                <w:sz w:val="24"/>
              </w:rPr>
              <w:t>Seuil non déductible des participations dans des entités du secteur financier dans lesquelles un établissement ne détient pas d'investissement important</w:t>
            </w:r>
          </w:p>
          <w:p w:rsidR="005643EA" w:rsidRPr="00392FFD" w:rsidRDefault="002648B0" w:rsidP="00622B37">
            <w:pPr>
              <w:pStyle w:val="InstructionsText"/>
            </w:pPr>
            <w:r>
              <w:t>Article 46, paragraphe 1, point a), du CRR</w:t>
            </w:r>
          </w:p>
          <w:p w:rsidR="005643EA" w:rsidRPr="00392FFD" w:rsidRDefault="002648B0" w:rsidP="00622B37">
            <w:pPr>
              <w:pStyle w:val="InstructionsText"/>
            </w:pPr>
            <w:r>
              <w:lastRenderedPageBreak/>
              <w:t>Ce poste traite du seuil en deçà duquel les participations dans des entités du secteur financier dans lesquelles l’établissement ne détient pas d’investissement important ne sont pas déduites. Le montant résulte de l’addition de tous les éléments formant la base de ce seuil puis de la mu</w:t>
            </w:r>
            <w:r>
              <w:t>l</w:t>
            </w:r>
            <w:r>
              <w:t>tiplication de la somme obtenue par 10 %.</w:t>
            </w:r>
          </w:p>
        </w:tc>
      </w:tr>
      <w:tr w:rsidR="002648B0" w:rsidRPr="00392FFD" w:rsidTr="00700DFD">
        <w:tc>
          <w:tcPr>
            <w:tcW w:w="1506" w:type="dxa"/>
          </w:tcPr>
          <w:p w:rsidR="002648B0" w:rsidRPr="00392FFD" w:rsidRDefault="002648B0" w:rsidP="00622B37">
            <w:pPr>
              <w:pStyle w:val="InstructionsText"/>
            </w:pPr>
            <w:r>
              <w:lastRenderedPageBreak/>
              <w:t>200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9</w:t>
            </w:r>
            <w:r>
              <w:tab/>
            </w:r>
            <w:r>
              <w:rPr>
                <w:rStyle w:val="InstructionsTabelleberschrift"/>
                <w:rFonts w:ascii="Times New Roman" w:hAnsi="Times New Roman"/>
                <w:sz w:val="24"/>
              </w:rPr>
              <w:t xml:space="preserve">Seuil CET1 de 10 % </w:t>
            </w:r>
          </w:p>
          <w:p w:rsidR="005643EA" w:rsidRPr="00392FFD" w:rsidRDefault="002648B0" w:rsidP="00622B37">
            <w:pPr>
              <w:pStyle w:val="InstructionsText"/>
            </w:pPr>
            <w:r>
              <w:t>Article 48, paragraphe 1, points a) et b), du CRR</w:t>
            </w:r>
          </w:p>
          <w:p w:rsidR="005643EA" w:rsidRPr="00392FFD" w:rsidRDefault="002648B0" w:rsidP="00622B37">
            <w:pPr>
              <w:pStyle w:val="InstructionsText"/>
            </w:pPr>
            <w:r>
              <w:t>Ce poste contient le seuil de 10 % pour les participations dans des entités du secteur financier dans lesquelles l’établissement détient un investi</w:t>
            </w:r>
            <w:r>
              <w:t>s</w:t>
            </w:r>
            <w:r>
              <w:t>sement important, et pour les actifs d’impôt différé dépendant de bén</w:t>
            </w:r>
            <w:r>
              <w:t>é</w:t>
            </w:r>
            <w:r>
              <w:t>fices futurs et résultant de différences temporelles.</w:t>
            </w:r>
          </w:p>
          <w:p w:rsidR="005643EA" w:rsidRPr="00392FFD" w:rsidRDefault="003C7853" w:rsidP="00622B37">
            <w:pPr>
              <w:pStyle w:val="InstructionsText"/>
            </w:pPr>
            <w:r>
              <w:t>Le montant résulte de l’addition de tous les éléments formant la base de ce seuil puis de la multiplication de la somme obtenue par 10 %.</w:t>
            </w:r>
          </w:p>
        </w:tc>
      </w:tr>
      <w:tr w:rsidR="002648B0" w:rsidRPr="00392FFD" w:rsidTr="00700DFD">
        <w:tc>
          <w:tcPr>
            <w:tcW w:w="1506" w:type="dxa"/>
          </w:tcPr>
          <w:p w:rsidR="002648B0" w:rsidRPr="00392FFD" w:rsidRDefault="002648B0" w:rsidP="00622B37">
            <w:pPr>
              <w:pStyle w:val="InstructionsText"/>
            </w:pPr>
            <w:r>
              <w:t>210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10</w:t>
            </w:r>
            <w:r>
              <w:tab/>
            </w:r>
            <w:r>
              <w:rPr>
                <w:rStyle w:val="InstructionsTabelleberschrift"/>
                <w:rFonts w:ascii="Times New Roman" w:hAnsi="Times New Roman"/>
                <w:sz w:val="24"/>
              </w:rPr>
              <w:t xml:space="preserve">Seuil CET1 de 17,65 % </w:t>
            </w:r>
          </w:p>
          <w:p w:rsidR="005643EA" w:rsidRPr="00392FFD" w:rsidRDefault="002648B0" w:rsidP="00622B37">
            <w:pPr>
              <w:pStyle w:val="InstructionsText"/>
            </w:pPr>
            <w:r>
              <w:t>Article 48, point 1, du CRR</w:t>
            </w:r>
          </w:p>
          <w:p w:rsidR="005643EA" w:rsidRPr="00392FFD" w:rsidRDefault="002648B0" w:rsidP="00622B37">
            <w:pPr>
              <w:pStyle w:val="InstructionsText"/>
            </w:pPr>
            <w:r>
              <w:t>Ce poste contient le seuil de 17,65% pour les participations dans des e</w:t>
            </w:r>
            <w:r>
              <w:t>n</w:t>
            </w:r>
            <w:r>
              <w:t>tités du secteur financier dans lesquelles l'établissement détient un inve</w:t>
            </w:r>
            <w:r>
              <w:t>s</w:t>
            </w:r>
            <w:r>
              <w:t>tissement important, et pour les actifs d'impôt différé dépendant de bén</w:t>
            </w:r>
            <w:r>
              <w:t>é</w:t>
            </w:r>
            <w:r>
              <w:t>fices futurs et résultant de différences temporelles, qui sera appliqué au-delà du seuil de 10 %.</w:t>
            </w:r>
          </w:p>
          <w:p w:rsidR="005643EA" w:rsidRPr="00392FFD" w:rsidRDefault="002648B0" w:rsidP="00622B37">
            <w:pPr>
              <w:pStyle w:val="InstructionsText"/>
            </w:pPr>
            <w:r>
              <w:t>Le seuil est calculé de sorte que le montant des deux éléments qui est comptabilisé ne peut excéder 15 % des fonds propres de base de catég</w:t>
            </w:r>
            <w:r>
              <w:t>o</w:t>
            </w:r>
            <w:r>
              <w:t>rie 1 finals, c’est-à-dire les fonds propres de base de catégorie 1 calculés après toutes les déductions et sans inclure aucun ajustement dû aux di</w:t>
            </w:r>
            <w:r>
              <w:t>s</w:t>
            </w:r>
            <w:r>
              <w:t>positions transitoires.</w:t>
            </w:r>
          </w:p>
        </w:tc>
      </w:tr>
      <w:tr w:rsidR="00216D67" w:rsidRPr="00392FFD" w:rsidTr="00700DFD">
        <w:tc>
          <w:tcPr>
            <w:tcW w:w="1506" w:type="dxa"/>
          </w:tcPr>
          <w:p w:rsidR="00216D67" w:rsidRPr="00392FFD" w:rsidRDefault="00216D67" w:rsidP="00622B37">
            <w:pPr>
              <w:pStyle w:val="InstructionsText"/>
            </w:pPr>
            <w:r>
              <w:t>225</w:t>
            </w:r>
          </w:p>
        </w:tc>
        <w:tc>
          <w:tcPr>
            <w:tcW w:w="7243" w:type="dxa"/>
          </w:tcPr>
          <w:p w:rsidR="00216D67" w:rsidRPr="00201704" w:rsidRDefault="00216D67"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11.1</w:t>
            </w:r>
            <w:r>
              <w:tab/>
            </w:r>
            <w:r>
              <w:rPr>
                <w:rStyle w:val="InstructionsTabelleberschrift"/>
                <w:rFonts w:ascii="Times New Roman" w:hAnsi="Times New Roman"/>
                <w:sz w:val="24"/>
              </w:rPr>
              <w:t>Fonds propres éligibles dans le cadre de participations qual</w:t>
            </w:r>
            <w:r>
              <w:rPr>
                <w:rStyle w:val="InstructionsTabelleberschrift"/>
                <w:rFonts w:ascii="Times New Roman" w:hAnsi="Times New Roman"/>
                <w:sz w:val="24"/>
              </w:rPr>
              <w:t>i</w:t>
            </w:r>
            <w:r>
              <w:rPr>
                <w:rStyle w:val="InstructionsTabelleberschrift"/>
                <w:rFonts w:ascii="Times New Roman" w:hAnsi="Times New Roman"/>
                <w:sz w:val="24"/>
              </w:rPr>
              <w:t>fiées hors du secteur financier</w:t>
            </w:r>
          </w:p>
          <w:p w:rsidR="00216D67" w:rsidRPr="00392FFD" w:rsidRDefault="00216D67" w:rsidP="00622B37">
            <w:pPr>
              <w:pStyle w:val="InstructionsText"/>
              <w:rPr>
                <w:rStyle w:val="InstructionsTabelleberschrift"/>
                <w:rFonts w:ascii="Times New Roman" w:hAnsi="Times New Roman"/>
                <w:sz w:val="24"/>
              </w:rPr>
            </w:pPr>
            <w:r>
              <w:rPr>
                <w:rStyle w:val="InstructionsTabelleberschrift"/>
                <w:rFonts w:ascii="Times New Roman" w:hAnsi="Times New Roman"/>
                <w:b w:val="0"/>
                <w:sz w:val="24"/>
                <w:u w:val="none"/>
              </w:rPr>
              <w:t>Article 4, paragraphe 1, point 71 a)</w:t>
            </w:r>
          </w:p>
        </w:tc>
      </w:tr>
      <w:tr w:rsidR="00216D67" w:rsidRPr="00392FFD" w:rsidTr="00700DFD">
        <w:tc>
          <w:tcPr>
            <w:tcW w:w="1506" w:type="dxa"/>
          </w:tcPr>
          <w:p w:rsidR="00216D67" w:rsidRPr="00392FFD" w:rsidRDefault="00216D67" w:rsidP="00622B37">
            <w:pPr>
              <w:pStyle w:val="InstructionsText"/>
            </w:pPr>
            <w:r>
              <w:t>226</w:t>
            </w:r>
          </w:p>
        </w:tc>
        <w:tc>
          <w:tcPr>
            <w:tcW w:w="7243" w:type="dxa"/>
          </w:tcPr>
          <w:p w:rsidR="00216D67" w:rsidRPr="00201704" w:rsidRDefault="00216D67"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11.2</w:t>
            </w:r>
            <w:r>
              <w:tab/>
            </w:r>
            <w:r>
              <w:rPr>
                <w:rStyle w:val="InstructionsTabelleberschrift"/>
                <w:rFonts w:ascii="Times New Roman" w:hAnsi="Times New Roman"/>
                <w:sz w:val="24"/>
              </w:rPr>
              <w:t>Fonds propres éligibles dans le cadre de grands risques</w:t>
            </w:r>
          </w:p>
          <w:p w:rsidR="00216D67" w:rsidRPr="00201704" w:rsidRDefault="00216D67" w:rsidP="00622B37">
            <w:pPr>
              <w:pStyle w:val="InstructionsText"/>
              <w:rPr>
                <w:rStyle w:val="InstructionsTabelleberschrift"/>
                <w:rFonts w:ascii="Times New Roman" w:hAnsi="Times New Roman"/>
                <w:b w:val="0"/>
                <w:bCs w:val="0"/>
                <w:sz w:val="24"/>
                <w:u w:val="none"/>
              </w:rPr>
            </w:pPr>
            <w:r>
              <w:t>Article 4, paragraphe 1, point 71 b)</w:t>
            </w:r>
          </w:p>
        </w:tc>
      </w:tr>
      <w:tr w:rsidR="002648B0" w:rsidRPr="00392FFD" w:rsidTr="00700DFD">
        <w:tc>
          <w:tcPr>
            <w:tcW w:w="1506" w:type="dxa"/>
          </w:tcPr>
          <w:p w:rsidR="002648B0" w:rsidRPr="00392FFD" w:rsidRDefault="002648B0" w:rsidP="00622B37">
            <w:pPr>
              <w:pStyle w:val="InstructionsText"/>
            </w:pPr>
            <w:r>
              <w:t>230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12</w:t>
            </w:r>
            <w:r>
              <w:tab/>
            </w:r>
            <w:r>
              <w:rPr>
                <w:rStyle w:val="InstructionsTabelleberschrift"/>
                <w:rFonts w:ascii="Times New Roman" w:hAnsi="Times New Roman"/>
                <w:sz w:val="24"/>
              </w:rPr>
              <w:t>Détentions de fonds propres CET1 d'entités du secteur fina</w:t>
            </w:r>
            <w:r>
              <w:rPr>
                <w:rStyle w:val="InstructionsTabelleberschrift"/>
                <w:rFonts w:ascii="Times New Roman" w:hAnsi="Times New Roman"/>
                <w:sz w:val="24"/>
              </w:rPr>
              <w:t>n</w:t>
            </w:r>
            <w:r>
              <w:rPr>
                <w:rStyle w:val="InstructionsTabelleberschrift"/>
                <w:rFonts w:ascii="Times New Roman" w:hAnsi="Times New Roman"/>
                <w:sz w:val="24"/>
              </w:rPr>
              <w:t>cier dans lesquelles l'établissement ne détient pas d'investissement important, nettes des positions courtes</w:t>
            </w:r>
          </w:p>
          <w:p w:rsidR="005643EA" w:rsidRPr="00392FFD" w:rsidRDefault="002648B0" w:rsidP="00622B37">
            <w:pPr>
              <w:pStyle w:val="InstructionsText"/>
            </w:pPr>
            <w:r>
              <w:t>Articles 44 à 46 et article 49 du CRR</w:t>
            </w:r>
          </w:p>
        </w:tc>
      </w:tr>
      <w:tr w:rsidR="002648B0" w:rsidRPr="00392FFD" w:rsidTr="00700DFD">
        <w:tc>
          <w:tcPr>
            <w:tcW w:w="1506" w:type="dxa"/>
          </w:tcPr>
          <w:p w:rsidR="002648B0" w:rsidRPr="00392FFD" w:rsidRDefault="002648B0" w:rsidP="00622B37">
            <w:pPr>
              <w:pStyle w:val="InstructionsText"/>
            </w:pPr>
            <w:r>
              <w:t>240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12.1</w:t>
            </w:r>
            <w:r>
              <w:tab/>
            </w:r>
            <w:r>
              <w:rPr>
                <w:rStyle w:val="InstructionsTabelleberschrift"/>
                <w:rFonts w:ascii="Times New Roman" w:hAnsi="Times New Roman"/>
                <w:sz w:val="24"/>
              </w:rPr>
              <w:t>Détentions directes de fonds propres CET1 d’entités du se</w:t>
            </w:r>
            <w:r>
              <w:rPr>
                <w:rStyle w:val="InstructionsTabelleberschrift"/>
                <w:rFonts w:ascii="Times New Roman" w:hAnsi="Times New Roman"/>
                <w:sz w:val="24"/>
              </w:rPr>
              <w:t>c</w:t>
            </w:r>
            <w:r>
              <w:rPr>
                <w:rStyle w:val="InstructionsTabelleberschrift"/>
                <w:rFonts w:ascii="Times New Roman" w:hAnsi="Times New Roman"/>
                <w:sz w:val="24"/>
              </w:rPr>
              <w:t>teur financier dans lesquelles l’établissement ne détient pas d’investissement important</w:t>
            </w:r>
          </w:p>
          <w:p w:rsidR="005643EA" w:rsidRPr="00392FFD" w:rsidRDefault="002648B0" w:rsidP="00622B37">
            <w:pPr>
              <w:pStyle w:val="InstructionsText"/>
            </w:pPr>
            <w:r>
              <w:t>Articles 44, 45, 46 et 49 du CRR</w:t>
            </w:r>
          </w:p>
        </w:tc>
      </w:tr>
      <w:tr w:rsidR="002648B0" w:rsidRPr="00392FFD" w:rsidTr="00700DFD">
        <w:tc>
          <w:tcPr>
            <w:tcW w:w="1506" w:type="dxa"/>
          </w:tcPr>
          <w:p w:rsidR="002648B0" w:rsidRPr="00392FFD" w:rsidRDefault="002648B0" w:rsidP="00622B37">
            <w:pPr>
              <w:pStyle w:val="InstructionsText"/>
            </w:pPr>
            <w:r>
              <w:t>250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12.1.1</w:t>
            </w:r>
            <w:r>
              <w:tab/>
            </w:r>
            <w:r>
              <w:rPr>
                <w:rStyle w:val="InstructionsTabelleberschrift"/>
                <w:rFonts w:ascii="Times New Roman" w:hAnsi="Times New Roman"/>
                <w:sz w:val="24"/>
              </w:rPr>
              <w:t>Détentions directes brutes de fonds propres CET1 d'entités du secteur financier dans lesquelles l'établissement ne détient pas d'investissement important</w:t>
            </w:r>
          </w:p>
          <w:p w:rsidR="005643EA" w:rsidRPr="00392FFD" w:rsidRDefault="002648B0" w:rsidP="00622B37">
            <w:pPr>
              <w:pStyle w:val="InstructionsText"/>
            </w:pPr>
            <w:r>
              <w:t>Articles 44, 46 et 49 du CRR</w:t>
            </w:r>
          </w:p>
          <w:p w:rsidR="005643EA" w:rsidRPr="00392FFD" w:rsidRDefault="002648B0" w:rsidP="00622B37">
            <w:pPr>
              <w:pStyle w:val="InstructionsText"/>
            </w:pPr>
            <w:r>
              <w:lastRenderedPageBreak/>
              <w:t>Détentions directes d’instruments de fonds propres de base de catégorie 1 d’entités du secteur financier dans lesquelles l’établissement ne détient pas d’investissement important, à l’exclusion:</w:t>
            </w:r>
          </w:p>
          <w:p w:rsidR="005643EA" w:rsidRPr="00392FFD" w:rsidRDefault="002648B0" w:rsidP="00622B37">
            <w:pPr>
              <w:pStyle w:val="InstructionsText"/>
            </w:pPr>
            <w:r>
              <w:t>a)</w:t>
            </w:r>
            <w:r>
              <w:tab/>
              <w:t>des positions de prise ferme détenues pendant cinq jours o</w:t>
            </w:r>
            <w:r>
              <w:t>u</w:t>
            </w:r>
            <w:r>
              <w:t xml:space="preserve">vrables ou moins; </w:t>
            </w:r>
          </w:p>
          <w:p w:rsidR="005643EA" w:rsidRPr="00392FFD" w:rsidRDefault="002648B0" w:rsidP="00622B37">
            <w:pPr>
              <w:pStyle w:val="InstructionsText"/>
            </w:pPr>
            <w:r>
              <w:t>b)</w:t>
            </w:r>
            <w:r>
              <w:tab/>
              <w:t>des montants relatifs aux investissements pour lesquels on a</w:t>
            </w:r>
            <w:r>
              <w:t>p</w:t>
            </w:r>
            <w:r>
              <w:t xml:space="preserve">plique une alternative à la déduction visée à l'article 49; et </w:t>
            </w:r>
          </w:p>
          <w:p w:rsidR="005643EA" w:rsidRPr="00392FFD" w:rsidRDefault="002648B0" w:rsidP="00B74792">
            <w:pPr>
              <w:pStyle w:val="InstructionsText"/>
            </w:pPr>
            <w:r>
              <w:t>c)</w:t>
            </w:r>
            <w:r>
              <w:tab/>
              <w:t>des détentions traitées comme des détentions croisées conform</w:t>
            </w:r>
            <w:r>
              <w:t>é</w:t>
            </w:r>
            <w:r>
              <w:t>ment à l’article 36, paragraphe 1, point g), du CRR.</w:t>
            </w:r>
          </w:p>
        </w:tc>
      </w:tr>
      <w:tr w:rsidR="002648B0" w:rsidRPr="00392FFD" w:rsidTr="00700DFD">
        <w:tc>
          <w:tcPr>
            <w:tcW w:w="1506" w:type="dxa"/>
          </w:tcPr>
          <w:p w:rsidR="002648B0" w:rsidRPr="00392FFD" w:rsidRDefault="002648B0" w:rsidP="00622B37">
            <w:pPr>
              <w:pStyle w:val="InstructionsText"/>
            </w:pPr>
            <w:r>
              <w:lastRenderedPageBreak/>
              <w:t>260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12.1.2</w:t>
            </w:r>
            <w:r>
              <w:tab/>
            </w:r>
            <w:r>
              <w:rPr>
                <w:rStyle w:val="InstructionsTabelleberschrift"/>
                <w:rFonts w:ascii="Times New Roman" w:hAnsi="Times New Roman"/>
                <w:sz w:val="24"/>
              </w:rPr>
              <w:t>(-) Positions courtes compensatoires autorisées par rapport aux détentions brutes directes figurant ci-dessus</w:t>
            </w:r>
          </w:p>
          <w:p w:rsidR="005643EA" w:rsidRPr="00392FFD" w:rsidRDefault="002648B0" w:rsidP="00622B37">
            <w:pPr>
              <w:pStyle w:val="InstructionsText"/>
            </w:pPr>
            <w:r>
              <w:t>Article 45 du CRR</w:t>
            </w:r>
          </w:p>
          <w:p w:rsidR="005643EA" w:rsidRPr="00392FFD" w:rsidRDefault="002648B0" w:rsidP="00622B37">
            <w:pPr>
              <w:pStyle w:val="InstructionsText"/>
            </w:pPr>
            <w:r>
              <w:t>L’article 45 du CRR autorise la compensation de positions courtes sur la même exposition sous-jacente, pour autant que l’échéance de la position courte soit identique à celle de la position longue ou que l’échéance rés</w:t>
            </w:r>
            <w:r>
              <w:t>i</w:t>
            </w:r>
            <w:r>
              <w:t>duelle soit d’au moins un an.</w:t>
            </w:r>
          </w:p>
        </w:tc>
      </w:tr>
      <w:tr w:rsidR="002648B0" w:rsidRPr="00392FFD" w:rsidTr="00700DFD">
        <w:tc>
          <w:tcPr>
            <w:tcW w:w="1506" w:type="dxa"/>
          </w:tcPr>
          <w:p w:rsidR="002648B0" w:rsidRPr="00392FFD" w:rsidRDefault="002648B0" w:rsidP="00622B37">
            <w:pPr>
              <w:pStyle w:val="InstructionsText"/>
            </w:pPr>
            <w:r>
              <w:t>270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12.2</w:t>
            </w:r>
            <w:r>
              <w:tab/>
            </w:r>
            <w:r>
              <w:rPr>
                <w:rStyle w:val="InstructionsTabelleberschrift"/>
                <w:rFonts w:ascii="Times New Roman" w:hAnsi="Times New Roman"/>
                <w:sz w:val="24"/>
              </w:rPr>
              <w:t>Détentions indirectes de fonds propres CET1 d'entités du se</w:t>
            </w:r>
            <w:r>
              <w:rPr>
                <w:rStyle w:val="InstructionsTabelleberschrift"/>
                <w:rFonts w:ascii="Times New Roman" w:hAnsi="Times New Roman"/>
                <w:sz w:val="24"/>
              </w:rPr>
              <w:t>c</w:t>
            </w:r>
            <w:r>
              <w:rPr>
                <w:rStyle w:val="InstructionsTabelleberschrift"/>
                <w:rFonts w:ascii="Times New Roman" w:hAnsi="Times New Roman"/>
                <w:sz w:val="24"/>
              </w:rPr>
              <w:t>teur financier dans lesquelles l'établissement ne détient pas d'inve</w:t>
            </w:r>
            <w:r>
              <w:rPr>
                <w:rStyle w:val="InstructionsTabelleberschrift"/>
                <w:rFonts w:ascii="Times New Roman" w:hAnsi="Times New Roman"/>
                <w:sz w:val="24"/>
              </w:rPr>
              <w:t>s</w:t>
            </w:r>
            <w:r>
              <w:rPr>
                <w:rStyle w:val="InstructionsTabelleberschrift"/>
                <w:rFonts w:ascii="Times New Roman" w:hAnsi="Times New Roman"/>
                <w:sz w:val="24"/>
              </w:rPr>
              <w:t>tissement important</w:t>
            </w:r>
          </w:p>
          <w:p w:rsidR="005643EA" w:rsidRPr="00392FFD" w:rsidRDefault="002648B0" w:rsidP="00622B37">
            <w:pPr>
              <w:pStyle w:val="InstructionsText"/>
            </w:pPr>
            <w:r>
              <w:t>Article 4, paragraphe 1, point 114, et articles 44 et 45 du CRR.</w:t>
            </w:r>
          </w:p>
        </w:tc>
      </w:tr>
      <w:tr w:rsidR="002648B0" w:rsidRPr="00392FFD" w:rsidTr="00700DFD">
        <w:tc>
          <w:tcPr>
            <w:tcW w:w="1506" w:type="dxa"/>
          </w:tcPr>
          <w:p w:rsidR="002648B0" w:rsidRPr="00392FFD" w:rsidRDefault="002648B0" w:rsidP="00622B37">
            <w:pPr>
              <w:pStyle w:val="InstructionsText"/>
            </w:pPr>
            <w:r>
              <w:t>280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12.2.1</w:t>
            </w:r>
            <w:r>
              <w:tab/>
            </w:r>
            <w:r>
              <w:rPr>
                <w:rStyle w:val="InstructionsTabelleberschrift"/>
                <w:rFonts w:ascii="Times New Roman" w:hAnsi="Times New Roman"/>
                <w:sz w:val="24"/>
              </w:rPr>
              <w:t>Détentions indirectes brutes de fonds propres CET1 d'entités du secteur financier dans lesquelles l'établissement ne détient pas d'investissement important</w:t>
            </w:r>
          </w:p>
          <w:p w:rsidR="005643EA" w:rsidRPr="00392FFD" w:rsidRDefault="002648B0" w:rsidP="00622B37">
            <w:pPr>
              <w:pStyle w:val="InstructionsText"/>
            </w:pPr>
            <w:r>
              <w:t>Article 4, paragraphe 1, point 114, et articles 44 et 45 du CRR.</w:t>
            </w:r>
          </w:p>
          <w:p w:rsidR="005643EA" w:rsidRPr="00392FFD" w:rsidRDefault="002648B0" w:rsidP="00622B37">
            <w:pPr>
              <w:pStyle w:val="InstructionsText"/>
            </w:pPr>
            <w:r>
              <w:t>Le montant à déclarer correspond aux détentions indirectes dans le po</w:t>
            </w:r>
            <w:r>
              <w:t>r</w:t>
            </w:r>
            <w:r>
              <w:t>tefeuille de négociation d’instruments de capital d’entités du secteur f</w:t>
            </w:r>
            <w:r>
              <w:t>i</w:t>
            </w:r>
            <w:r>
              <w:t>nancier qui prennent la forme de détentions dans des titres indiciels. On obtient ce montant en calculant l’exposition sous-jacente sur les instr</w:t>
            </w:r>
            <w:r>
              <w:t>u</w:t>
            </w:r>
            <w:r>
              <w:t>ments de capital des entités du secteur financier faisant partie de ces i</w:t>
            </w:r>
            <w:r>
              <w:t>n</w:t>
            </w:r>
            <w:r>
              <w:t>dices.</w:t>
            </w:r>
          </w:p>
          <w:p w:rsidR="005643EA" w:rsidRPr="00392FFD" w:rsidRDefault="002648B0" w:rsidP="00622B37">
            <w:pPr>
              <w:pStyle w:val="InstructionsText"/>
            </w:pPr>
            <w:r>
              <w:t>Les détentions traitées comme des détentions croisées conformément à l’article 36, paragraphe 1, point g), du CRR ne seront pas incluses.</w:t>
            </w:r>
          </w:p>
        </w:tc>
      </w:tr>
      <w:tr w:rsidR="002648B0" w:rsidRPr="00392FFD" w:rsidTr="00700DFD">
        <w:trPr>
          <w:trHeight w:val="850"/>
        </w:trPr>
        <w:tc>
          <w:tcPr>
            <w:tcW w:w="1506" w:type="dxa"/>
          </w:tcPr>
          <w:p w:rsidR="002648B0" w:rsidRPr="00392FFD" w:rsidRDefault="002648B0" w:rsidP="00622B37">
            <w:pPr>
              <w:pStyle w:val="InstructionsText"/>
            </w:pPr>
            <w:r>
              <w:t>290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12.2.2</w:t>
            </w:r>
            <w:r>
              <w:tab/>
            </w:r>
            <w:r>
              <w:rPr>
                <w:rStyle w:val="InstructionsTabelleberschrift"/>
                <w:rFonts w:ascii="Times New Roman" w:hAnsi="Times New Roman"/>
                <w:sz w:val="24"/>
              </w:rPr>
              <w:t>(-) Positions courtes compensatoires autorisées par rapport aux détentions brutes indirectes figurant ci-dessus</w:t>
            </w:r>
          </w:p>
          <w:p w:rsidR="005643EA" w:rsidRPr="00392FFD" w:rsidRDefault="002648B0" w:rsidP="00622B37">
            <w:pPr>
              <w:pStyle w:val="InstructionsText"/>
            </w:pPr>
            <w:r>
              <w:t>Article 4, paragraphe 1, point 114, et article 45 du CRR</w:t>
            </w:r>
          </w:p>
          <w:p w:rsidR="005643EA" w:rsidRPr="00392FFD" w:rsidRDefault="002648B0" w:rsidP="00622B37">
            <w:pPr>
              <w:pStyle w:val="InstructionsText"/>
            </w:pPr>
            <w:r>
              <w:t>L’article 45, point a), du CRR autorise la compensation de positions courtes sur la même exposition sous-jacente, pour autant que l’échéance de la position courte soit identique à celle de la position longue ou que l’échéance résiduelle soit d’au moins un an.</w:t>
            </w:r>
          </w:p>
        </w:tc>
      </w:tr>
      <w:tr w:rsidR="002648B0" w:rsidRPr="00392FFD" w:rsidTr="00700DFD">
        <w:tc>
          <w:tcPr>
            <w:tcW w:w="1506" w:type="dxa"/>
          </w:tcPr>
          <w:p w:rsidR="002648B0" w:rsidRPr="00392FFD" w:rsidRDefault="002648B0" w:rsidP="00622B37">
            <w:pPr>
              <w:pStyle w:val="InstructionsText"/>
            </w:pPr>
            <w:r>
              <w:t>291</w:t>
            </w:r>
          </w:p>
        </w:tc>
        <w:tc>
          <w:tcPr>
            <w:tcW w:w="7243" w:type="dxa"/>
            <w:vAlign w:val="center"/>
          </w:tcPr>
          <w:p w:rsidR="005643EA" w:rsidRPr="00392FFD" w:rsidRDefault="002648B0"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sz w:val="24"/>
              </w:rPr>
              <w:t>12.3.1</w:t>
            </w:r>
            <w:r>
              <w:tab/>
            </w:r>
            <w:r>
              <w:rPr>
                <w:rStyle w:val="InstructionsTabelleberschrift"/>
                <w:rFonts w:ascii="Times New Roman" w:hAnsi="Times New Roman"/>
                <w:sz w:val="24"/>
              </w:rPr>
              <w:t>Détentions synthétiques de fonds propres CET1 d’entités du secteur financier dans lesquelles l’établissement ne détient pas d’investissement important</w:t>
            </w:r>
          </w:p>
          <w:p w:rsidR="005643EA" w:rsidRPr="00392FFD" w:rsidRDefault="002648B0"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lastRenderedPageBreak/>
              <w:t>Article 4, paragraphe 1, point 126, et articles 44 et 45 du CRR.</w:t>
            </w:r>
          </w:p>
        </w:tc>
      </w:tr>
      <w:tr w:rsidR="002648B0" w:rsidRPr="00392FFD" w:rsidTr="00700DFD">
        <w:tc>
          <w:tcPr>
            <w:tcW w:w="1506" w:type="dxa"/>
          </w:tcPr>
          <w:p w:rsidR="005643EA" w:rsidRPr="00392FFD" w:rsidRDefault="002648B0" w:rsidP="00A4319E">
            <w:pPr>
              <w:pStyle w:val="InstructionsText"/>
            </w:pPr>
            <w:r>
              <w:lastRenderedPageBreak/>
              <w:t>292</w:t>
            </w:r>
          </w:p>
        </w:tc>
        <w:tc>
          <w:tcPr>
            <w:tcW w:w="7243" w:type="dxa"/>
            <w:vAlign w:val="center"/>
          </w:tcPr>
          <w:p w:rsidR="005643EA" w:rsidRPr="00392FFD" w:rsidRDefault="002648B0"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sz w:val="24"/>
              </w:rPr>
              <w:t>12.3.2</w:t>
            </w:r>
            <w:r>
              <w:tab/>
            </w:r>
            <w:r>
              <w:rPr>
                <w:rStyle w:val="InstructionsTabelleberschrift"/>
                <w:rFonts w:ascii="Times New Roman" w:hAnsi="Times New Roman"/>
                <w:sz w:val="24"/>
              </w:rPr>
              <w:t>Détentions synthétiques brutes de fonds propres CET1 d'e</w:t>
            </w:r>
            <w:r>
              <w:rPr>
                <w:rStyle w:val="InstructionsTabelleberschrift"/>
                <w:rFonts w:ascii="Times New Roman" w:hAnsi="Times New Roman"/>
                <w:sz w:val="24"/>
              </w:rPr>
              <w:t>n</w:t>
            </w:r>
            <w:r>
              <w:rPr>
                <w:rStyle w:val="InstructionsTabelleberschrift"/>
                <w:rFonts w:ascii="Times New Roman" w:hAnsi="Times New Roman"/>
                <w:sz w:val="24"/>
              </w:rPr>
              <w:t>tités du secteur financier dans lesquelles l'établissement ne détient pas d'investissement important</w:t>
            </w:r>
          </w:p>
          <w:p w:rsidR="005643EA" w:rsidRPr="00392FFD" w:rsidRDefault="00805255"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 4, paragraphe 1, point 126, et articles 44 et 45 du CRR.</w:t>
            </w:r>
          </w:p>
        </w:tc>
      </w:tr>
      <w:tr w:rsidR="002648B0" w:rsidRPr="00392FFD" w:rsidTr="00700DFD">
        <w:tc>
          <w:tcPr>
            <w:tcW w:w="1506" w:type="dxa"/>
          </w:tcPr>
          <w:p w:rsidR="005643EA" w:rsidRPr="00392FFD" w:rsidRDefault="002648B0" w:rsidP="00A4319E">
            <w:pPr>
              <w:pStyle w:val="InstructionsText"/>
            </w:pPr>
            <w:r>
              <w:t>293</w:t>
            </w:r>
          </w:p>
        </w:tc>
        <w:tc>
          <w:tcPr>
            <w:tcW w:w="7243" w:type="dxa"/>
            <w:vAlign w:val="center"/>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12.3.3</w:t>
            </w:r>
            <w:r>
              <w:tab/>
            </w:r>
            <w:r>
              <w:rPr>
                <w:rStyle w:val="InstructionsTabelleberschrift"/>
                <w:rFonts w:ascii="Times New Roman" w:hAnsi="Times New Roman"/>
                <w:sz w:val="24"/>
              </w:rPr>
              <w:t>(-) Positions courtes compensatoires autorisées par rapport aux détentions brutes synthétiques figurant ci-dessus</w:t>
            </w:r>
          </w:p>
          <w:p w:rsidR="005643EA" w:rsidRPr="00392FFD" w:rsidRDefault="00805255"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 4, paragraphe 1, point 126, et article 45 du CRR</w:t>
            </w:r>
          </w:p>
        </w:tc>
      </w:tr>
      <w:tr w:rsidR="002648B0" w:rsidRPr="00392FFD" w:rsidTr="00700DFD">
        <w:tc>
          <w:tcPr>
            <w:tcW w:w="1506" w:type="dxa"/>
          </w:tcPr>
          <w:p w:rsidR="002648B0" w:rsidRPr="00392FFD" w:rsidRDefault="002648B0" w:rsidP="00622B37">
            <w:pPr>
              <w:pStyle w:val="InstructionsText"/>
            </w:pPr>
            <w:r>
              <w:t>300</w:t>
            </w:r>
          </w:p>
        </w:tc>
        <w:tc>
          <w:tcPr>
            <w:tcW w:w="7243"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w:t>
            </w:r>
            <w:r>
              <w:tab/>
            </w:r>
            <w:r>
              <w:rPr>
                <w:rStyle w:val="InstructionsTabelleberschrift"/>
                <w:rFonts w:ascii="Times New Roman" w:hAnsi="Times New Roman"/>
                <w:sz w:val="24"/>
              </w:rPr>
              <w:t>Détentions de fonds propres AT1 d'entités du secteur fina</w:t>
            </w:r>
            <w:r>
              <w:rPr>
                <w:rStyle w:val="InstructionsTabelleberschrift"/>
                <w:rFonts w:ascii="Times New Roman" w:hAnsi="Times New Roman"/>
                <w:sz w:val="24"/>
              </w:rPr>
              <w:t>n</w:t>
            </w:r>
            <w:r>
              <w:rPr>
                <w:rStyle w:val="InstructionsTabelleberschrift"/>
                <w:rFonts w:ascii="Times New Roman" w:hAnsi="Times New Roman"/>
                <w:sz w:val="24"/>
              </w:rPr>
              <w:t>cier dans lesquelles l'établissement ne détient pas d'investissement important, nettes des positions courtes</w:t>
            </w:r>
          </w:p>
          <w:p w:rsidR="005643EA" w:rsidRPr="00392FFD" w:rsidRDefault="002648B0" w:rsidP="00622B37">
            <w:pPr>
              <w:pStyle w:val="InstructionsText"/>
            </w:pPr>
            <w:r>
              <w:t>Articles 58 à 60 du CRR</w:t>
            </w:r>
          </w:p>
        </w:tc>
      </w:tr>
      <w:tr w:rsidR="002648B0" w:rsidRPr="00392FFD" w:rsidTr="00700DFD">
        <w:tc>
          <w:tcPr>
            <w:tcW w:w="1506" w:type="dxa"/>
          </w:tcPr>
          <w:p w:rsidR="002648B0" w:rsidRPr="00392FFD" w:rsidRDefault="002648B0" w:rsidP="00622B37">
            <w:pPr>
              <w:pStyle w:val="InstructionsText"/>
            </w:pPr>
            <w:r>
              <w:t>310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13.1</w:t>
            </w:r>
            <w:r>
              <w:tab/>
            </w:r>
            <w:r>
              <w:rPr>
                <w:rStyle w:val="InstructionsTabelleberschrift"/>
                <w:rFonts w:ascii="Times New Roman" w:hAnsi="Times New Roman"/>
                <w:sz w:val="24"/>
              </w:rPr>
              <w:t>Détentions directes de fonds propres AT1 d’entités du secteur financier dans lesquelles l’établissement ne détient pas d’investissement important</w:t>
            </w:r>
          </w:p>
          <w:p w:rsidR="005643EA" w:rsidRPr="00392FFD" w:rsidRDefault="002648B0" w:rsidP="00622B37">
            <w:pPr>
              <w:pStyle w:val="InstructionsText"/>
            </w:pPr>
            <w:r>
              <w:t>Articles 58 et 59 et article 60, paragraphe 2, du CRR</w:t>
            </w:r>
          </w:p>
        </w:tc>
      </w:tr>
      <w:tr w:rsidR="002648B0" w:rsidRPr="00392FFD" w:rsidTr="00700DFD">
        <w:tc>
          <w:tcPr>
            <w:tcW w:w="1506" w:type="dxa"/>
          </w:tcPr>
          <w:p w:rsidR="002648B0" w:rsidRPr="00392FFD" w:rsidRDefault="002648B0" w:rsidP="00622B37">
            <w:pPr>
              <w:pStyle w:val="InstructionsText"/>
            </w:pPr>
            <w:r>
              <w:t>320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13.1.1</w:t>
            </w:r>
            <w:r>
              <w:tab/>
            </w:r>
            <w:r>
              <w:rPr>
                <w:rStyle w:val="InstructionsTabelleberschrift"/>
                <w:rFonts w:ascii="Times New Roman" w:hAnsi="Times New Roman"/>
                <w:sz w:val="24"/>
              </w:rPr>
              <w:t>Détentions directes brutes de fonds propres AT1 d'entités du secteur financier dans lesquelles l'établissement ne détient pas d'investissement important</w:t>
            </w:r>
          </w:p>
          <w:p w:rsidR="005643EA" w:rsidRPr="00392FFD" w:rsidRDefault="002648B0" w:rsidP="00622B37">
            <w:pPr>
              <w:pStyle w:val="InstructionsText"/>
            </w:pPr>
            <w:r>
              <w:t>Article 58 et article 60, paragraphe 2, du CRR</w:t>
            </w:r>
          </w:p>
          <w:p w:rsidR="005643EA" w:rsidRPr="00392FFD" w:rsidRDefault="002648B0" w:rsidP="00622B37">
            <w:pPr>
              <w:pStyle w:val="InstructionsText"/>
            </w:pPr>
            <w:r>
              <w:t>Détentions directes d’instruments de fonds propres additionnels de cat</w:t>
            </w:r>
            <w:r>
              <w:t>é</w:t>
            </w:r>
            <w:r>
              <w:t>gorie 1 d’entités du secteur financier dans lesquelles l’établissement ne détient pas d’investissement important, à l’exclusion:</w:t>
            </w:r>
          </w:p>
          <w:p w:rsidR="005643EA" w:rsidRPr="00392FFD" w:rsidRDefault="002648B0" w:rsidP="00622B37">
            <w:pPr>
              <w:pStyle w:val="InstructionsText"/>
            </w:pPr>
            <w:r>
              <w:t>a)</w:t>
            </w:r>
            <w:r>
              <w:tab/>
              <w:t>des positions de prise ferme détenues pendant cinq jours o</w:t>
            </w:r>
            <w:r>
              <w:t>u</w:t>
            </w:r>
            <w:r>
              <w:t xml:space="preserve">vrables ou moins; et </w:t>
            </w:r>
          </w:p>
          <w:p w:rsidR="005643EA" w:rsidRPr="00392FFD" w:rsidRDefault="002648B0" w:rsidP="00B74792">
            <w:pPr>
              <w:pStyle w:val="InstructionsText"/>
            </w:pPr>
            <w:r>
              <w:t>b)</w:t>
            </w:r>
            <w:r>
              <w:tab/>
              <w:t>des détentions traitées comme des détentions croisées conform</w:t>
            </w:r>
            <w:r>
              <w:t>é</w:t>
            </w:r>
            <w:r>
              <w:t>ment à l'article 56, point b), du CRR.</w:t>
            </w:r>
          </w:p>
        </w:tc>
      </w:tr>
      <w:tr w:rsidR="002648B0" w:rsidRPr="00392FFD" w:rsidTr="00700DFD">
        <w:tc>
          <w:tcPr>
            <w:tcW w:w="1506" w:type="dxa"/>
          </w:tcPr>
          <w:p w:rsidR="002648B0" w:rsidRPr="00392FFD" w:rsidRDefault="002648B0" w:rsidP="00622B37">
            <w:pPr>
              <w:pStyle w:val="InstructionsText"/>
            </w:pPr>
            <w:r>
              <w:t>330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13.1.2</w:t>
            </w:r>
            <w:r>
              <w:tab/>
            </w:r>
            <w:r>
              <w:rPr>
                <w:rStyle w:val="InstructionsTabelleberschrift"/>
                <w:rFonts w:ascii="Times New Roman" w:hAnsi="Times New Roman"/>
                <w:sz w:val="24"/>
              </w:rPr>
              <w:t>(-) Positions courtes compensatoires autorisées par rapport aux détentions brutes directes figurant ci-dessus</w:t>
            </w:r>
          </w:p>
          <w:p w:rsidR="005643EA" w:rsidRPr="00392FFD" w:rsidRDefault="002648B0" w:rsidP="00622B37">
            <w:pPr>
              <w:pStyle w:val="InstructionsText"/>
            </w:pPr>
            <w:r>
              <w:t>Article 59 du CRR</w:t>
            </w:r>
          </w:p>
          <w:p w:rsidR="005643EA" w:rsidRPr="00392FFD" w:rsidRDefault="002648B0" w:rsidP="00622B37">
            <w:pPr>
              <w:pStyle w:val="InstructionsText"/>
            </w:pPr>
            <w:r>
              <w:t>L’article 59, point a), du CRR autorise la compensation de positions courtes sur la même exposition sous-jacente, pour autant que l’échéance de la position courte soit identique à celle de la position longue ou que l’échéance résiduelle soit d’au moins un an.</w:t>
            </w:r>
          </w:p>
        </w:tc>
      </w:tr>
      <w:tr w:rsidR="002648B0" w:rsidRPr="00392FFD" w:rsidTr="00700DFD">
        <w:tc>
          <w:tcPr>
            <w:tcW w:w="1506" w:type="dxa"/>
          </w:tcPr>
          <w:p w:rsidR="002648B0" w:rsidRPr="00392FFD" w:rsidRDefault="002648B0" w:rsidP="00622B37">
            <w:pPr>
              <w:pStyle w:val="InstructionsText"/>
            </w:pPr>
            <w:r>
              <w:t>340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13.2</w:t>
            </w:r>
            <w:r>
              <w:tab/>
            </w:r>
            <w:r>
              <w:rPr>
                <w:rStyle w:val="InstructionsTabelleberschrift"/>
                <w:rFonts w:ascii="Times New Roman" w:hAnsi="Times New Roman"/>
                <w:sz w:val="24"/>
              </w:rPr>
              <w:t>Détentions indirectes de fonds propres AT1 d'entités du se</w:t>
            </w:r>
            <w:r>
              <w:rPr>
                <w:rStyle w:val="InstructionsTabelleberschrift"/>
                <w:rFonts w:ascii="Times New Roman" w:hAnsi="Times New Roman"/>
                <w:sz w:val="24"/>
              </w:rPr>
              <w:t>c</w:t>
            </w:r>
            <w:r>
              <w:rPr>
                <w:rStyle w:val="InstructionsTabelleberschrift"/>
                <w:rFonts w:ascii="Times New Roman" w:hAnsi="Times New Roman"/>
                <w:sz w:val="24"/>
              </w:rPr>
              <w:t>teur financier dans lesquelles l'établissement ne détient pas d'inve</w:t>
            </w:r>
            <w:r>
              <w:rPr>
                <w:rStyle w:val="InstructionsTabelleberschrift"/>
                <w:rFonts w:ascii="Times New Roman" w:hAnsi="Times New Roman"/>
                <w:sz w:val="24"/>
              </w:rPr>
              <w:t>s</w:t>
            </w:r>
            <w:r>
              <w:rPr>
                <w:rStyle w:val="InstructionsTabelleberschrift"/>
                <w:rFonts w:ascii="Times New Roman" w:hAnsi="Times New Roman"/>
                <w:sz w:val="24"/>
              </w:rPr>
              <w:t>tissement important</w:t>
            </w:r>
          </w:p>
          <w:p w:rsidR="005643EA" w:rsidRPr="00392FFD" w:rsidRDefault="002648B0" w:rsidP="00622B37">
            <w:pPr>
              <w:pStyle w:val="InstructionsText"/>
            </w:pPr>
            <w:r>
              <w:t>Article 4, paragraphe 1, point 114, et articles 58 et 59 du CRR.</w:t>
            </w:r>
          </w:p>
        </w:tc>
      </w:tr>
      <w:tr w:rsidR="002648B0" w:rsidRPr="00392FFD" w:rsidTr="00700DFD">
        <w:tc>
          <w:tcPr>
            <w:tcW w:w="1506" w:type="dxa"/>
          </w:tcPr>
          <w:p w:rsidR="002648B0" w:rsidRPr="00392FFD" w:rsidRDefault="002648B0" w:rsidP="00622B37">
            <w:pPr>
              <w:pStyle w:val="InstructionsText"/>
            </w:pPr>
            <w:r>
              <w:t>350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13.2.1</w:t>
            </w:r>
            <w:r>
              <w:tab/>
            </w:r>
            <w:r>
              <w:rPr>
                <w:rStyle w:val="InstructionsTabelleberschrift"/>
                <w:rFonts w:ascii="Times New Roman" w:hAnsi="Times New Roman"/>
                <w:sz w:val="24"/>
              </w:rPr>
              <w:t>Détentions indirectes brutes de fonds propres AT1 d'entités du secteur financier dans lesquelles l'établissement ne détient pas d'investissement important</w:t>
            </w:r>
          </w:p>
          <w:p w:rsidR="005643EA" w:rsidRPr="00392FFD" w:rsidRDefault="002648B0" w:rsidP="00622B37">
            <w:pPr>
              <w:pStyle w:val="InstructionsText"/>
            </w:pPr>
            <w:r>
              <w:lastRenderedPageBreak/>
              <w:t>Article 4, paragraphe 1, point 114, et articles 58 et 59 du CRR.</w:t>
            </w:r>
          </w:p>
          <w:p w:rsidR="005643EA" w:rsidRPr="00392FFD" w:rsidRDefault="002648B0" w:rsidP="00622B37">
            <w:pPr>
              <w:pStyle w:val="InstructionsText"/>
            </w:pPr>
            <w:r>
              <w:t>Le montant à déclarer correspond aux détentions indirectes dans le po</w:t>
            </w:r>
            <w:r>
              <w:t>r</w:t>
            </w:r>
            <w:r>
              <w:t>tefeuille de négociation d’instruments de capital d’entités du secteur f</w:t>
            </w:r>
            <w:r>
              <w:t>i</w:t>
            </w:r>
            <w:r>
              <w:t>nancier qui prennent la forme de détentions dans des titres indiciels. On obtient ce montant en calculant l’exposition sous-jacente sur les instr</w:t>
            </w:r>
            <w:r>
              <w:t>u</w:t>
            </w:r>
            <w:r>
              <w:t>ments de capital des entités du secteur financier faisant partie de ces i</w:t>
            </w:r>
            <w:r>
              <w:t>n</w:t>
            </w:r>
            <w:r>
              <w:t>dices.</w:t>
            </w:r>
          </w:p>
          <w:p w:rsidR="005643EA" w:rsidRPr="00392FFD" w:rsidRDefault="002648B0" w:rsidP="00622B37">
            <w:pPr>
              <w:pStyle w:val="InstructionsText"/>
            </w:pPr>
            <w:r>
              <w:t>Les détentions traitées comme des détentions croisées conformément à l’article 56, point b), du CRR ne seront pas incluses.</w:t>
            </w:r>
          </w:p>
        </w:tc>
      </w:tr>
      <w:tr w:rsidR="002648B0" w:rsidRPr="00392FFD" w:rsidTr="00700DFD">
        <w:tc>
          <w:tcPr>
            <w:tcW w:w="1506" w:type="dxa"/>
          </w:tcPr>
          <w:p w:rsidR="002648B0" w:rsidRPr="00392FFD" w:rsidRDefault="002648B0" w:rsidP="00622B37">
            <w:pPr>
              <w:pStyle w:val="InstructionsText"/>
            </w:pPr>
            <w:r>
              <w:lastRenderedPageBreak/>
              <w:t>360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13.2.2</w:t>
            </w:r>
            <w:r>
              <w:tab/>
            </w:r>
            <w:r>
              <w:rPr>
                <w:rStyle w:val="InstructionsTabelleberschrift"/>
                <w:rFonts w:ascii="Times New Roman" w:hAnsi="Times New Roman"/>
                <w:sz w:val="24"/>
              </w:rPr>
              <w:t>(-) Positions courtes compensatoires autorisées par rapport aux détentions brutes indirectes figurant ci-dessus</w:t>
            </w:r>
          </w:p>
          <w:p w:rsidR="005643EA" w:rsidRPr="00392FFD" w:rsidRDefault="002648B0" w:rsidP="00622B37">
            <w:pPr>
              <w:pStyle w:val="InstructionsText"/>
            </w:pPr>
            <w:r>
              <w:t>Article 4, paragraphe 1, point 114, et article 59 du CRR</w:t>
            </w:r>
          </w:p>
          <w:p w:rsidR="005643EA" w:rsidRPr="00392FFD" w:rsidRDefault="002648B0" w:rsidP="00622B37">
            <w:pPr>
              <w:pStyle w:val="InstructionsText"/>
            </w:pPr>
            <w:r>
              <w:t>L’article 59, point a), du CRR autorise la compensation de positions courtes sur la même exposition sous-jacente, pour autant que l’échéance de la position courte soit identique à celle de la position longue ou que l’échéance résiduelle soit d’au moins un an.</w:t>
            </w:r>
          </w:p>
        </w:tc>
      </w:tr>
      <w:tr w:rsidR="002648B0" w:rsidRPr="00392FFD" w:rsidTr="00700DFD">
        <w:tc>
          <w:tcPr>
            <w:tcW w:w="1506" w:type="dxa"/>
          </w:tcPr>
          <w:p w:rsidR="002648B0" w:rsidRPr="00392FFD" w:rsidRDefault="002648B0" w:rsidP="00622B37">
            <w:pPr>
              <w:pStyle w:val="InstructionsText"/>
            </w:pPr>
            <w:r>
              <w:t>361</w:t>
            </w:r>
          </w:p>
        </w:tc>
        <w:tc>
          <w:tcPr>
            <w:tcW w:w="7243" w:type="dxa"/>
            <w:vAlign w:val="center"/>
          </w:tcPr>
          <w:p w:rsidR="005643EA" w:rsidRPr="00201704" w:rsidRDefault="002648B0" w:rsidP="00622B37">
            <w:pPr>
              <w:pStyle w:val="InstructionsText"/>
            </w:pPr>
            <w:r>
              <w:rPr>
                <w:rStyle w:val="InstructionsTabelleberschrift"/>
                <w:rFonts w:ascii="Times New Roman" w:hAnsi="Times New Roman"/>
                <w:sz w:val="24"/>
              </w:rPr>
              <w:t>13.3</w:t>
            </w:r>
            <w:r>
              <w:tab/>
            </w:r>
            <w:r>
              <w:rPr>
                <w:rStyle w:val="InstructionsTabelleberschrift"/>
                <w:rFonts w:ascii="Times New Roman" w:hAnsi="Times New Roman"/>
                <w:sz w:val="24"/>
              </w:rPr>
              <w:t>Détentions synthétiques de fonds propres AT1 d’entités du secteur financier dans lesquelles l’établissement ne détient pas d’investissement important</w:t>
            </w:r>
          </w:p>
          <w:p w:rsidR="005643EA" w:rsidRPr="00201704" w:rsidRDefault="002648B0" w:rsidP="00622B37">
            <w:pPr>
              <w:pStyle w:val="InstructionsText"/>
              <w:rPr>
                <w:rStyle w:val="InstructionsTabelleberschrift"/>
                <w:rFonts w:ascii="Times New Roman" w:hAnsi="Times New Roman"/>
                <w:b w:val="0"/>
                <w:bCs w:val="0"/>
                <w:sz w:val="24"/>
                <w:u w:val="none"/>
              </w:rPr>
            </w:pPr>
            <w:r>
              <w:t>Article 4, paragraphe 1, point 126, et articles 58 et 59 du CRR.</w:t>
            </w:r>
          </w:p>
        </w:tc>
      </w:tr>
      <w:tr w:rsidR="002648B0" w:rsidRPr="00392FFD" w:rsidTr="00700DFD">
        <w:tc>
          <w:tcPr>
            <w:tcW w:w="1506" w:type="dxa"/>
          </w:tcPr>
          <w:p w:rsidR="002648B0" w:rsidRPr="00392FFD" w:rsidRDefault="002648B0" w:rsidP="00622B37">
            <w:pPr>
              <w:pStyle w:val="InstructionsText"/>
            </w:pPr>
            <w:r>
              <w:t>362</w:t>
            </w:r>
          </w:p>
        </w:tc>
        <w:tc>
          <w:tcPr>
            <w:tcW w:w="7243" w:type="dxa"/>
            <w:vAlign w:val="center"/>
          </w:tcPr>
          <w:p w:rsidR="005643EA" w:rsidRPr="00201704" w:rsidRDefault="002648B0" w:rsidP="00622B37">
            <w:pPr>
              <w:pStyle w:val="InstructionsText"/>
            </w:pPr>
            <w:r>
              <w:rPr>
                <w:rStyle w:val="InstructionsTabelleberschrift"/>
                <w:rFonts w:ascii="Times New Roman" w:hAnsi="Times New Roman"/>
                <w:sz w:val="24"/>
              </w:rPr>
              <w:t>13.3.1</w:t>
            </w:r>
            <w:r>
              <w:tab/>
            </w:r>
            <w:r>
              <w:rPr>
                <w:rStyle w:val="InstructionsTabelleberschrift"/>
                <w:rFonts w:ascii="Times New Roman" w:hAnsi="Times New Roman"/>
                <w:sz w:val="24"/>
              </w:rPr>
              <w:t>Détentions synthétiques brutes de fonds propres AT1 d'ent</w:t>
            </w:r>
            <w:r>
              <w:rPr>
                <w:rStyle w:val="InstructionsTabelleberschrift"/>
                <w:rFonts w:ascii="Times New Roman" w:hAnsi="Times New Roman"/>
                <w:sz w:val="24"/>
              </w:rPr>
              <w:t>i</w:t>
            </w:r>
            <w:r>
              <w:rPr>
                <w:rStyle w:val="InstructionsTabelleberschrift"/>
                <w:rFonts w:ascii="Times New Roman" w:hAnsi="Times New Roman"/>
                <w:sz w:val="24"/>
              </w:rPr>
              <w:t>tés du secteur financier dans lesquelles l'établissement ne détient pas d'investissement important</w:t>
            </w:r>
          </w:p>
          <w:p w:rsidR="005643EA" w:rsidRPr="00201704" w:rsidRDefault="002648B0" w:rsidP="00622B37">
            <w:pPr>
              <w:pStyle w:val="InstructionsText"/>
              <w:rPr>
                <w:rStyle w:val="InstructionsTabelleberschrift"/>
                <w:rFonts w:ascii="Times New Roman" w:hAnsi="Times New Roman"/>
                <w:b w:val="0"/>
                <w:bCs w:val="0"/>
                <w:sz w:val="24"/>
                <w:u w:val="none"/>
              </w:rPr>
            </w:pPr>
            <w:r>
              <w:t>Article 4, paragraphe 1, point 126, et articles 58 et 59 du CRR.</w:t>
            </w:r>
          </w:p>
        </w:tc>
      </w:tr>
      <w:tr w:rsidR="002648B0" w:rsidRPr="00392FFD" w:rsidTr="00700DFD">
        <w:tc>
          <w:tcPr>
            <w:tcW w:w="1506" w:type="dxa"/>
          </w:tcPr>
          <w:p w:rsidR="002648B0" w:rsidRPr="00392FFD" w:rsidRDefault="002648B0" w:rsidP="00622B37">
            <w:pPr>
              <w:pStyle w:val="InstructionsText"/>
            </w:pPr>
            <w:r>
              <w:t>363</w:t>
            </w:r>
          </w:p>
        </w:tc>
        <w:tc>
          <w:tcPr>
            <w:tcW w:w="7243" w:type="dxa"/>
            <w:vAlign w:val="center"/>
          </w:tcPr>
          <w:p w:rsidR="005643EA" w:rsidRPr="00201704" w:rsidRDefault="002648B0" w:rsidP="00622B37">
            <w:pPr>
              <w:pStyle w:val="InstructionsText"/>
            </w:pPr>
            <w:r>
              <w:rPr>
                <w:rStyle w:val="InstructionsTabelleberschrift"/>
                <w:rFonts w:ascii="Times New Roman" w:hAnsi="Times New Roman"/>
                <w:sz w:val="24"/>
              </w:rPr>
              <w:t>13.3.2</w:t>
            </w:r>
            <w:r>
              <w:tab/>
            </w:r>
            <w:r>
              <w:rPr>
                <w:rStyle w:val="InstructionsTabelleberschrift"/>
                <w:rFonts w:ascii="Times New Roman" w:hAnsi="Times New Roman"/>
                <w:sz w:val="24"/>
              </w:rPr>
              <w:t>(-) Positions courtes compensatoires autorisées par rapport aux détentions brutes synthétiques figurant ci-dessus</w:t>
            </w:r>
          </w:p>
          <w:p w:rsidR="005643EA" w:rsidRPr="00201704" w:rsidRDefault="002648B0" w:rsidP="00622B37">
            <w:pPr>
              <w:pStyle w:val="InstructionsText"/>
              <w:rPr>
                <w:rStyle w:val="InstructionsTabelleberschrift"/>
                <w:rFonts w:ascii="Times New Roman" w:hAnsi="Times New Roman"/>
                <w:b w:val="0"/>
                <w:bCs w:val="0"/>
                <w:sz w:val="24"/>
                <w:u w:val="none"/>
              </w:rPr>
            </w:pPr>
            <w:r>
              <w:t>Article 4, paragraphe 1, point 126, et article 59 du CRR</w:t>
            </w:r>
          </w:p>
        </w:tc>
      </w:tr>
      <w:tr w:rsidR="002648B0" w:rsidRPr="00392FFD" w:rsidTr="00700DFD">
        <w:tc>
          <w:tcPr>
            <w:tcW w:w="1506" w:type="dxa"/>
          </w:tcPr>
          <w:p w:rsidR="002648B0" w:rsidRPr="00392FFD" w:rsidRDefault="002648B0" w:rsidP="00622B37">
            <w:pPr>
              <w:pStyle w:val="InstructionsText"/>
            </w:pPr>
            <w:r>
              <w:t>370</w:t>
            </w:r>
          </w:p>
        </w:tc>
        <w:tc>
          <w:tcPr>
            <w:tcW w:w="7243" w:type="dxa"/>
          </w:tcPr>
          <w:p w:rsidR="005643EA" w:rsidRPr="00201704" w:rsidRDefault="00C66473" w:rsidP="00622B37">
            <w:pPr>
              <w:pStyle w:val="InstructionsText"/>
            </w:pPr>
            <w:r>
              <w:rPr>
                <w:rStyle w:val="InstructionsTabelleberschrift"/>
                <w:rFonts w:ascii="Times New Roman" w:hAnsi="Times New Roman"/>
                <w:sz w:val="24"/>
              </w:rPr>
              <w:t>14.</w:t>
            </w:r>
            <w:r>
              <w:tab/>
            </w:r>
            <w:r>
              <w:rPr>
                <w:rStyle w:val="InstructionsTabelleberschrift"/>
                <w:rFonts w:ascii="Times New Roman" w:hAnsi="Times New Roman"/>
                <w:sz w:val="24"/>
              </w:rPr>
              <w:t>Détentions de fonds propres T2 d'entités du secteur financier dans lesquelles l'établissement ne détient pas d'investissement i</w:t>
            </w:r>
            <w:r>
              <w:rPr>
                <w:rStyle w:val="InstructionsTabelleberschrift"/>
                <w:rFonts w:ascii="Times New Roman" w:hAnsi="Times New Roman"/>
                <w:sz w:val="24"/>
              </w:rPr>
              <w:t>m</w:t>
            </w:r>
            <w:r>
              <w:rPr>
                <w:rStyle w:val="InstructionsTabelleberschrift"/>
                <w:rFonts w:ascii="Times New Roman" w:hAnsi="Times New Roman"/>
                <w:sz w:val="24"/>
              </w:rPr>
              <w:t>portant, nettes des positions courtes</w:t>
            </w:r>
          </w:p>
          <w:p w:rsidR="005643EA" w:rsidRPr="00392FFD" w:rsidRDefault="002648B0" w:rsidP="00622B37">
            <w:pPr>
              <w:pStyle w:val="InstructionsText"/>
            </w:pPr>
            <w:r>
              <w:t>Articles 68 à 70 du CRR</w:t>
            </w:r>
          </w:p>
        </w:tc>
      </w:tr>
      <w:tr w:rsidR="002648B0" w:rsidRPr="00392FFD" w:rsidTr="00700DFD">
        <w:tc>
          <w:tcPr>
            <w:tcW w:w="1506" w:type="dxa"/>
          </w:tcPr>
          <w:p w:rsidR="002648B0" w:rsidRPr="00392FFD" w:rsidRDefault="002648B0" w:rsidP="00622B37">
            <w:pPr>
              <w:pStyle w:val="InstructionsText"/>
            </w:pPr>
            <w:r>
              <w:t>380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14.1</w:t>
            </w:r>
            <w:r>
              <w:tab/>
            </w:r>
            <w:r>
              <w:rPr>
                <w:rStyle w:val="InstructionsTabelleberschrift"/>
                <w:rFonts w:ascii="Times New Roman" w:hAnsi="Times New Roman"/>
                <w:sz w:val="24"/>
              </w:rPr>
              <w:t>Détentions directes de fonds propres T2 d’entités du secteur financier dans lesquelles l’établissement ne détient pas d’investissement important</w:t>
            </w:r>
          </w:p>
          <w:p w:rsidR="005643EA" w:rsidRPr="00392FFD" w:rsidRDefault="002648B0" w:rsidP="00622B37">
            <w:pPr>
              <w:pStyle w:val="InstructionsText"/>
            </w:pPr>
            <w:r>
              <w:t>Articles 68 et 69 et article 70, paragraphe 2, du CRR</w:t>
            </w:r>
          </w:p>
        </w:tc>
      </w:tr>
      <w:tr w:rsidR="002648B0" w:rsidRPr="00392FFD" w:rsidTr="00700DFD">
        <w:tc>
          <w:tcPr>
            <w:tcW w:w="1506" w:type="dxa"/>
          </w:tcPr>
          <w:p w:rsidR="002648B0" w:rsidRPr="00392FFD" w:rsidRDefault="002648B0" w:rsidP="00622B37">
            <w:pPr>
              <w:pStyle w:val="InstructionsText"/>
            </w:pPr>
            <w:r>
              <w:t>390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14.1.1</w:t>
            </w:r>
            <w:r>
              <w:tab/>
            </w:r>
            <w:r>
              <w:rPr>
                <w:rStyle w:val="InstructionsTabelleberschrift"/>
                <w:rFonts w:ascii="Times New Roman" w:hAnsi="Times New Roman"/>
                <w:sz w:val="24"/>
              </w:rPr>
              <w:t>Détentions directes brutes de fonds propres T2 d'entités du secteur financier dans lesquelles l'établissement ne détient pas d'investissement important</w:t>
            </w:r>
          </w:p>
          <w:p w:rsidR="005643EA" w:rsidRPr="00392FFD" w:rsidRDefault="002648B0" w:rsidP="00622B37">
            <w:pPr>
              <w:pStyle w:val="InstructionsText"/>
            </w:pPr>
            <w:r>
              <w:t>Article 68 et article 70, paragraphe 2, du CRR</w:t>
            </w:r>
          </w:p>
          <w:p w:rsidR="005643EA" w:rsidRPr="00392FFD" w:rsidRDefault="002648B0" w:rsidP="00622B37">
            <w:pPr>
              <w:pStyle w:val="InstructionsText"/>
            </w:pPr>
            <w:r>
              <w:t>Détentions directes d’instruments de fonds propres de catégorie 2 d’entités du secteur financier dans lesquelles l’établissement ne détient pas d’investissement important, à l’exclusion:</w:t>
            </w:r>
          </w:p>
          <w:p w:rsidR="005643EA" w:rsidRPr="00392FFD" w:rsidRDefault="002648B0" w:rsidP="00622B37">
            <w:pPr>
              <w:pStyle w:val="InstructionsText"/>
            </w:pPr>
            <w:r>
              <w:lastRenderedPageBreak/>
              <w:t>a)</w:t>
            </w:r>
            <w:r>
              <w:tab/>
              <w:t>des positions de prise ferme détenues pendant cinq jours o</w:t>
            </w:r>
            <w:r>
              <w:t>u</w:t>
            </w:r>
            <w:r>
              <w:t xml:space="preserve">vrables ou moins; et </w:t>
            </w:r>
          </w:p>
          <w:p w:rsidR="005643EA" w:rsidRPr="00392FFD" w:rsidRDefault="002648B0" w:rsidP="00B74792">
            <w:pPr>
              <w:pStyle w:val="InstructionsText"/>
            </w:pPr>
            <w:r>
              <w:t>b)</w:t>
            </w:r>
            <w:r>
              <w:tab/>
              <w:t>des détentions traitées comme des détentions croisées conform</w:t>
            </w:r>
            <w:r>
              <w:t>é</w:t>
            </w:r>
            <w:r>
              <w:t>ment à l'article 66, point b), du CRR.</w:t>
            </w:r>
          </w:p>
        </w:tc>
      </w:tr>
      <w:tr w:rsidR="002648B0" w:rsidRPr="00392FFD" w:rsidTr="00700DFD">
        <w:tc>
          <w:tcPr>
            <w:tcW w:w="1506" w:type="dxa"/>
          </w:tcPr>
          <w:p w:rsidR="002648B0" w:rsidRPr="00392FFD" w:rsidRDefault="002648B0" w:rsidP="00622B37">
            <w:pPr>
              <w:pStyle w:val="InstructionsText"/>
            </w:pPr>
            <w:r>
              <w:lastRenderedPageBreak/>
              <w:t>400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14.1.2</w:t>
            </w:r>
            <w:r>
              <w:tab/>
            </w:r>
            <w:r>
              <w:rPr>
                <w:rStyle w:val="InstructionsTabelleberschrift"/>
                <w:rFonts w:ascii="Times New Roman" w:hAnsi="Times New Roman"/>
                <w:sz w:val="24"/>
              </w:rPr>
              <w:t>(-) Positions courtes compensatoires autorisées par rapport aux détentions brutes directes figurant ci-dessus</w:t>
            </w:r>
          </w:p>
          <w:p w:rsidR="005643EA" w:rsidRPr="00392FFD" w:rsidRDefault="002648B0" w:rsidP="00622B37">
            <w:pPr>
              <w:pStyle w:val="InstructionsText"/>
            </w:pPr>
            <w:r>
              <w:t>Article 69 du CRR</w:t>
            </w:r>
          </w:p>
          <w:p w:rsidR="005643EA" w:rsidRPr="00392FFD" w:rsidRDefault="002648B0" w:rsidP="00622B37">
            <w:pPr>
              <w:pStyle w:val="InstructionsText"/>
            </w:pPr>
            <w:r>
              <w:t>L’article 69, point a), du CRR autorise la compensation de positions courtes sur la même exposition sous-jacente, pour autant que l’échéance de la position courte soit identique à celle de la position longue ou que l’échéance résiduelle soit d’au moins un an.</w:t>
            </w:r>
          </w:p>
        </w:tc>
      </w:tr>
      <w:tr w:rsidR="002648B0" w:rsidRPr="00392FFD" w:rsidTr="00700DFD">
        <w:tc>
          <w:tcPr>
            <w:tcW w:w="1506" w:type="dxa"/>
          </w:tcPr>
          <w:p w:rsidR="002648B0" w:rsidRPr="00392FFD" w:rsidRDefault="002648B0" w:rsidP="00622B37">
            <w:pPr>
              <w:pStyle w:val="InstructionsText"/>
            </w:pPr>
            <w:r>
              <w:t>410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14.2</w:t>
            </w:r>
            <w:r>
              <w:tab/>
            </w:r>
            <w:r>
              <w:rPr>
                <w:rStyle w:val="InstructionsTabelleberschrift"/>
                <w:rFonts w:ascii="Times New Roman" w:hAnsi="Times New Roman"/>
                <w:sz w:val="24"/>
              </w:rPr>
              <w:t>Détentions indirectes de fonds propres T2 d'entités du se</w:t>
            </w:r>
            <w:r>
              <w:rPr>
                <w:rStyle w:val="InstructionsTabelleberschrift"/>
                <w:rFonts w:ascii="Times New Roman" w:hAnsi="Times New Roman"/>
                <w:sz w:val="24"/>
              </w:rPr>
              <w:t>c</w:t>
            </w:r>
            <w:r>
              <w:rPr>
                <w:rStyle w:val="InstructionsTabelleberschrift"/>
                <w:rFonts w:ascii="Times New Roman" w:hAnsi="Times New Roman"/>
                <w:sz w:val="24"/>
              </w:rPr>
              <w:t>teur financier dans lesquelles l'établissement ne détient pas d'inve</w:t>
            </w:r>
            <w:r>
              <w:rPr>
                <w:rStyle w:val="InstructionsTabelleberschrift"/>
                <w:rFonts w:ascii="Times New Roman" w:hAnsi="Times New Roman"/>
                <w:sz w:val="24"/>
              </w:rPr>
              <w:t>s</w:t>
            </w:r>
            <w:r>
              <w:rPr>
                <w:rStyle w:val="InstructionsTabelleberschrift"/>
                <w:rFonts w:ascii="Times New Roman" w:hAnsi="Times New Roman"/>
                <w:sz w:val="24"/>
              </w:rPr>
              <w:t>tissement important</w:t>
            </w:r>
          </w:p>
          <w:p w:rsidR="005643EA" w:rsidRPr="00392FFD" w:rsidRDefault="002648B0" w:rsidP="00622B37">
            <w:pPr>
              <w:pStyle w:val="InstructionsText"/>
            </w:pPr>
            <w:r>
              <w:t>Article 4, paragraphe 1, point 114, et articles 68 et 69 du CRR</w:t>
            </w:r>
          </w:p>
        </w:tc>
      </w:tr>
      <w:tr w:rsidR="002648B0" w:rsidRPr="00392FFD" w:rsidTr="00700DFD">
        <w:tc>
          <w:tcPr>
            <w:tcW w:w="1506" w:type="dxa"/>
          </w:tcPr>
          <w:p w:rsidR="002648B0" w:rsidRPr="00392FFD" w:rsidRDefault="002648B0" w:rsidP="00622B37">
            <w:pPr>
              <w:pStyle w:val="InstructionsText"/>
            </w:pPr>
            <w:r>
              <w:t>420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14.2.1</w:t>
            </w:r>
            <w:r>
              <w:tab/>
            </w:r>
            <w:r>
              <w:rPr>
                <w:rStyle w:val="InstructionsTabelleberschrift"/>
                <w:rFonts w:ascii="Times New Roman" w:hAnsi="Times New Roman"/>
                <w:sz w:val="24"/>
              </w:rPr>
              <w:t>Détentions indirectes brutes de fonds propres T2 d'entités du secteur financier dans lesquelles l'établissement ne détient pas d'investissement important</w:t>
            </w:r>
          </w:p>
          <w:p w:rsidR="005643EA" w:rsidRPr="00392FFD" w:rsidRDefault="002648B0" w:rsidP="00622B37">
            <w:pPr>
              <w:pStyle w:val="InstructionsText"/>
            </w:pPr>
            <w:r>
              <w:t>Article 4, paragraphe 1, point 114, et articles 68 et 69 du CRR.</w:t>
            </w:r>
          </w:p>
          <w:p w:rsidR="005643EA" w:rsidRPr="00392FFD" w:rsidRDefault="002648B0" w:rsidP="00622B37">
            <w:pPr>
              <w:pStyle w:val="InstructionsText"/>
            </w:pPr>
            <w:r>
              <w:t>Le montant à déclarer correspond aux détentions indirectes dans le po</w:t>
            </w:r>
            <w:r>
              <w:t>r</w:t>
            </w:r>
            <w:r>
              <w:t>tefeuille de négociation d’instruments de capital d’entités du secteur f</w:t>
            </w:r>
            <w:r>
              <w:t>i</w:t>
            </w:r>
            <w:r>
              <w:t>nancier qui prennent la forme de détentions dans des titres indiciels. On obtient ce montant en calculant l’exposition sous-jacente sur les instr</w:t>
            </w:r>
            <w:r>
              <w:t>u</w:t>
            </w:r>
            <w:r>
              <w:t>ments de capital des entités du secteur financier faisant partie de ces i</w:t>
            </w:r>
            <w:r>
              <w:t>n</w:t>
            </w:r>
            <w:r>
              <w:t>dices.</w:t>
            </w:r>
          </w:p>
          <w:p w:rsidR="005643EA" w:rsidRPr="00392FFD" w:rsidRDefault="002648B0" w:rsidP="00622B37">
            <w:pPr>
              <w:pStyle w:val="InstructionsText"/>
            </w:pPr>
            <w:r>
              <w:t>Les détentions traitées comme des détentions croisées conformément à l’article 66, point b), du CRR ne seront pas incluses.</w:t>
            </w:r>
          </w:p>
        </w:tc>
      </w:tr>
      <w:tr w:rsidR="002648B0" w:rsidRPr="00392FFD" w:rsidTr="00700DFD">
        <w:tc>
          <w:tcPr>
            <w:tcW w:w="1506" w:type="dxa"/>
          </w:tcPr>
          <w:p w:rsidR="002648B0" w:rsidRPr="00392FFD" w:rsidRDefault="002648B0" w:rsidP="00622B37">
            <w:pPr>
              <w:pStyle w:val="InstructionsText"/>
            </w:pPr>
            <w:r>
              <w:t>430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14.2.2</w:t>
            </w:r>
            <w:r>
              <w:tab/>
            </w:r>
            <w:r>
              <w:rPr>
                <w:rStyle w:val="InstructionsTabelleberschrift"/>
                <w:rFonts w:ascii="Times New Roman" w:hAnsi="Times New Roman"/>
                <w:sz w:val="24"/>
              </w:rPr>
              <w:t>(-) Positions courtes compensatoires autorisées par rapport aux détentions brutes indirectes figurant ci-dessus</w:t>
            </w:r>
          </w:p>
          <w:p w:rsidR="005643EA" w:rsidRPr="00392FFD" w:rsidRDefault="002648B0" w:rsidP="00622B37">
            <w:pPr>
              <w:pStyle w:val="InstructionsText"/>
            </w:pPr>
            <w:r>
              <w:t>Article 4, paragraphe 1, point 114, et article 69 du CRR</w:t>
            </w:r>
          </w:p>
          <w:p w:rsidR="005643EA" w:rsidRPr="00392FFD" w:rsidRDefault="002648B0" w:rsidP="00622B37">
            <w:pPr>
              <w:pStyle w:val="InstructionsText"/>
            </w:pPr>
            <w:r>
              <w:t>L’article 69, point a), du CRR autorise la compensation de positions courtes sur la même exposition sous-jacente, pour autant que l’échéance de la position courte soit identique à celle de la position longue ou que l’échéance résiduelle soit d’au moins un an.</w:t>
            </w:r>
          </w:p>
        </w:tc>
      </w:tr>
      <w:tr w:rsidR="00DE5A31" w:rsidRPr="00392FFD" w:rsidTr="00700DFD">
        <w:tc>
          <w:tcPr>
            <w:tcW w:w="1506" w:type="dxa"/>
          </w:tcPr>
          <w:p w:rsidR="00DE5A31" w:rsidRPr="00392FFD" w:rsidRDefault="00DE5A31" w:rsidP="00622B37">
            <w:pPr>
              <w:pStyle w:val="InstructionsText"/>
            </w:pPr>
            <w:r>
              <w:t>431</w:t>
            </w:r>
          </w:p>
        </w:tc>
        <w:tc>
          <w:tcPr>
            <w:tcW w:w="7243" w:type="dxa"/>
          </w:tcPr>
          <w:p w:rsidR="005643EA" w:rsidRPr="00201704" w:rsidRDefault="00DE5A31" w:rsidP="00622B37">
            <w:pPr>
              <w:pStyle w:val="InstructionsText"/>
            </w:pPr>
            <w:r>
              <w:rPr>
                <w:rStyle w:val="InstructionsTabelleberschrift"/>
                <w:rFonts w:ascii="Times New Roman" w:hAnsi="Times New Roman"/>
                <w:sz w:val="24"/>
              </w:rPr>
              <w:t>14.3</w:t>
            </w:r>
            <w:r>
              <w:tab/>
            </w:r>
            <w:r>
              <w:rPr>
                <w:rStyle w:val="InstructionsTabelleberschrift"/>
                <w:rFonts w:ascii="Times New Roman" w:hAnsi="Times New Roman"/>
                <w:sz w:val="24"/>
              </w:rPr>
              <w:t>Détentions synthétiques de fonds propres T2 d’entités du se</w:t>
            </w:r>
            <w:r>
              <w:rPr>
                <w:rStyle w:val="InstructionsTabelleberschrift"/>
                <w:rFonts w:ascii="Times New Roman" w:hAnsi="Times New Roman"/>
                <w:sz w:val="24"/>
              </w:rPr>
              <w:t>c</w:t>
            </w:r>
            <w:r>
              <w:rPr>
                <w:rStyle w:val="InstructionsTabelleberschrift"/>
                <w:rFonts w:ascii="Times New Roman" w:hAnsi="Times New Roman"/>
                <w:sz w:val="24"/>
              </w:rPr>
              <w:t>teur financier dans lesquelles l'établissement ne détient pas d’investissement important</w:t>
            </w:r>
          </w:p>
          <w:p w:rsidR="005643EA" w:rsidRPr="00392FFD" w:rsidRDefault="00805255" w:rsidP="00622B37">
            <w:pPr>
              <w:pStyle w:val="InstructionsText"/>
              <w:rPr>
                <w:rStyle w:val="InstructionsTabelleberschrift"/>
                <w:rFonts w:ascii="Times New Roman" w:hAnsi="Times New Roman"/>
                <w:sz w:val="24"/>
              </w:rPr>
            </w:pPr>
            <w:r>
              <w:t>Article 4, paragraphe 1, point 126, et articles 68 et 69 du CRR.</w:t>
            </w:r>
          </w:p>
        </w:tc>
      </w:tr>
      <w:tr w:rsidR="00DE5A31" w:rsidRPr="00392FFD" w:rsidTr="00700DFD">
        <w:tc>
          <w:tcPr>
            <w:tcW w:w="1506" w:type="dxa"/>
          </w:tcPr>
          <w:p w:rsidR="00DE5A31" w:rsidRPr="00392FFD" w:rsidRDefault="00DE5A31" w:rsidP="00622B37">
            <w:pPr>
              <w:pStyle w:val="InstructionsText"/>
            </w:pPr>
            <w:r>
              <w:t>432</w:t>
            </w:r>
          </w:p>
        </w:tc>
        <w:tc>
          <w:tcPr>
            <w:tcW w:w="7243" w:type="dxa"/>
          </w:tcPr>
          <w:p w:rsidR="005643EA" w:rsidRPr="00201704" w:rsidRDefault="00DE5A31" w:rsidP="00622B37">
            <w:pPr>
              <w:pStyle w:val="InstructionsText"/>
            </w:pPr>
            <w:r>
              <w:rPr>
                <w:rStyle w:val="InstructionsTabelleberschrift"/>
                <w:rFonts w:ascii="Times New Roman" w:hAnsi="Times New Roman"/>
                <w:sz w:val="24"/>
              </w:rPr>
              <w:t>14.3.1</w:t>
            </w:r>
            <w:r>
              <w:tab/>
            </w:r>
            <w:r>
              <w:rPr>
                <w:rStyle w:val="InstructionsTabelleberschrift"/>
                <w:rFonts w:ascii="Times New Roman" w:hAnsi="Times New Roman"/>
                <w:sz w:val="24"/>
              </w:rPr>
              <w:t>Détentions synthétiques brutes de fonds propres T2 d'entités du secteur financier lorsque l'établissement ne détient pas d'investi</w:t>
            </w:r>
            <w:r>
              <w:rPr>
                <w:rStyle w:val="InstructionsTabelleberschrift"/>
                <w:rFonts w:ascii="Times New Roman" w:hAnsi="Times New Roman"/>
                <w:sz w:val="24"/>
              </w:rPr>
              <w:t>s</w:t>
            </w:r>
            <w:r>
              <w:rPr>
                <w:rStyle w:val="InstructionsTabelleberschrift"/>
                <w:rFonts w:ascii="Times New Roman" w:hAnsi="Times New Roman"/>
                <w:sz w:val="24"/>
              </w:rPr>
              <w:t>sement important</w:t>
            </w:r>
          </w:p>
          <w:p w:rsidR="005643EA" w:rsidRPr="00201704" w:rsidRDefault="00805255" w:rsidP="00622B37">
            <w:pPr>
              <w:pStyle w:val="InstructionsText"/>
              <w:rPr>
                <w:rStyle w:val="InstructionsTabelleberschrift"/>
                <w:rFonts w:ascii="Times New Roman" w:hAnsi="Times New Roman"/>
                <w:b w:val="0"/>
                <w:bCs w:val="0"/>
                <w:sz w:val="24"/>
                <w:u w:val="none"/>
              </w:rPr>
            </w:pPr>
            <w:r>
              <w:t>Article 4, paragraphe 1, point 126, et articles 68 et 69 du CRR.</w:t>
            </w:r>
          </w:p>
        </w:tc>
      </w:tr>
      <w:tr w:rsidR="00DE5A31" w:rsidRPr="00392FFD" w:rsidTr="00700DFD">
        <w:tc>
          <w:tcPr>
            <w:tcW w:w="1506" w:type="dxa"/>
          </w:tcPr>
          <w:p w:rsidR="00DE5A31" w:rsidRPr="00392FFD" w:rsidRDefault="00DE5A31" w:rsidP="00622B37">
            <w:pPr>
              <w:pStyle w:val="InstructionsText"/>
            </w:pPr>
            <w:r>
              <w:lastRenderedPageBreak/>
              <w:t>433</w:t>
            </w:r>
          </w:p>
        </w:tc>
        <w:tc>
          <w:tcPr>
            <w:tcW w:w="7243" w:type="dxa"/>
          </w:tcPr>
          <w:p w:rsidR="005643EA" w:rsidRPr="00201704" w:rsidRDefault="00DE5A31" w:rsidP="00622B37">
            <w:pPr>
              <w:pStyle w:val="InstructionsText"/>
            </w:pPr>
            <w:r>
              <w:rPr>
                <w:rStyle w:val="InstructionsTabelleberschrift"/>
                <w:rFonts w:ascii="Times New Roman" w:hAnsi="Times New Roman"/>
                <w:sz w:val="24"/>
              </w:rPr>
              <w:t>14.3.2</w:t>
            </w:r>
            <w:r>
              <w:tab/>
            </w:r>
            <w:r>
              <w:rPr>
                <w:rStyle w:val="InstructionsTabelleberschrift"/>
                <w:rFonts w:ascii="Times New Roman" w:hAnsi="Times New Roman"/>
                <w:sz w:val="24"/>
              </w:rPr>
              <w:t>(-) Positions courtes compensatoires autorisées par rapport aux détentions brutes synthétiques figurant ci-dessus</w:t>
            </w:r>
          </w:p>
          <w:p w:rsidR="005643EA" w:rsidRPr="00201704" w:rsidRDefault="00805255" w:rsidP="00622B37">
            <w:pPr>
              <w:pStyle w:val="InstructionsText"/>
              <w:rPr>
                <w:rStyle w:val="InstructionsTabelleberschrift"/>
                <w:rFonts w:ascii="Times New Roman" w:hAnsi="Times New Roman"/>
                <w:b w:val="0"/>
                <w:bCs w:val="0"/>
                <w:sz w:val="24"/>
                <w:u w:val="none"/>
              </w:rPr>
            </w:pPr>
            <w:r>
              <w:t>Article 4, paragraphe 1, point 126, et article 69 du CRR</w:t>
            </w:r>
          </w:p>
        </w:tc>
      </w:tr>
      <w:tr w:rsidR="002648B0" w:rsidRPr="00392FFD" w:rsidTr="00700DFD">
        <w:tc>
          <w:tcPr>
            <w:tcW w:w="1506" w:type="dxa"/>
          </w:tcPr>
          <w:p w:rsidR="002648B0" w:rsidRPr="00392FFD" w:rsidRDefault="002648B0" w:rsidP="00622B37">
            <w:pPr>
              <w:pStyle w:val="InstructionsText"/>
            </w:pPr>
            <w:r>
              <w:t>440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15</w:t>
            </w:r>
            <w:r>
              <w:tab/>
            </w:r>
            <w:r>
              <w:rPr>
                <w:rStyle w:val="InstructionsTabelleberschrift"/>
                <w:rFonts w:ascii="Times New Roman" w:hAnsi="Times New Roman"/>
                <w:sz w:val="24"/>
              </w:rPr>
              <w:t>Détentions de fonds propres CET1 d’entités du secteur fina</w:t>
            </w:r>
            <w:r>
              <w:rPr>
                <w:rStyle w:val="InstructionsTabelleberschrift"/>
                <w:rFonts w:ascii="Times New Roman" w:hAnsi="Times New Roman"/>
                <w:sz w:val="24"/>
              </w:rPr>
              <w:t>n</w:t>
            </w:r>
            <w:r>
              <w:rPr>
                <w:rStyle w:val="InstructionsTabelleberschrift"/>
                <w:rFonts w:ascii="Times New Roman" w:hAnsi="Times New Roman"/>
                <w:sz w:val="24"/>
              </w:rPr>
              <w:t>cier dans lesquelles l'établissement détient un investissement impo</w:t>
            </w:r>
            <w:r>
              <w:rPr>
                <w:rStyle w:val="InstructionsTabelleberschrift"/>
                <w:rFonts w:ascii="Times New Roman" w:hAnsi="Times New Roman"/>
                <w:sz w:val="24"/>
              </w:rPr>
              <w:t>r</w:t>
            </w:r>
            <w:r>
              <w:rPr>
                <w:rStyle w:val="InstructionsTabelleberschrift"/>
                <w:rFonts w:ascii="Times New Roman" w:hAnsi="Times New Roman"/>
                <w:sz w:val="24"/>
              </w:rPr>
              <w:t>tant, nettes des positions courtes</w:t>
            </w:r>
          </w:p>
          <w:p w:rsidR="005643EA" w:rsidRPr="00392FFD" w:rsidRDefault="002648B0" w:rsidP="00622B37">
            <w:pPr>
              <w:pStyle w:val="InstructionsText"/>
            </w:pPr>
            <w:r>
              <w:t>Articles 44, 45, 47 et 49 du CRR</w:t>
            </w:r>
          </w:p>
        </w:tc>
      </w:tr>
      <w:tr w:rsidR="002648B0" w:rsidRPr="00392FFD" w:rsidTr="00700DFD">
        <w:tc>
          <w:tcPr>
            <w:tcW w:w="1506" w:type="dxa"/>
          </w:tcPr>
          <w:p w:rsidR="002648B0" w:rsidRPr="00392FFD" w:rsidRDefault="008F54B0" w:rsidP="00622B37">
            <w:pPr>
              <w:pStyle w:val="InstructionsText"/>
            </w:pPr>
            <w:r>
              <w:t>450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15.1</w:t>
            </w:r>
            <w:r>
              <w:tab/>
            </w:r>
            <w:r>
              <w:rPr>
                <w:rStyle w:val="InstructionsTabelleberschrift"/>
                <w:rFonts w:ascii="Times New Roman" w:hAnsi="Times New Roman"/>
                <w:sz w:val="24"/>
              </w:rPr>
              <w:t>Détentions directes de fonds propres CET1 d'entités du se</w:t>
            </w:r>
            <w:r>
              <w:rPr>
                <w:rStyle w:val="InstructionsTabelleberschrift"/>
                <w:rFonts w:ascii="Times New Roman" w:hAnsi="Times New Roman"/>
                <w:sz w:val="24"/>
              </w:rPr>
              <w:t>c</w:t>
            </w:r>
            <w:r>
              <w:rPr>
                <w:rStyle w:val="InstructionsTabelleberschrift"/>
                <w:rFonts w:ascii="Times New Roman" w:hAnsi="Times New Roman"/>
                <w:sz w:val="24"/>
              </w:rPr>
              <w:t>teur financier lorsque l'établissement détient un investissement i</w:t>
            </w:r>
            <w:r>
              <w:rPr>
                <w:rStyle w:val="InstructionsTabelleberschrift"/>
                <w:rFonts w:ascii="Times New Roman" w:hAnsi="Times New Roman"/>
                <w:sz w:val="24"/>
              </w:rPr>
              <w:t>m</w:t>
            </w:r>
            <w:r>
              <w:rPr>
                <w:rStyle w:val="InstructionsTabelleberschrift"/>
                <w:rFonts w:ascii="Times New Roman" w:hAnsi="Times New Roman"/>
                <w:sz w:val="24"/>
              </w:rPr>
              <w:t>portant</w:t>
            </w:r>
          </w:p>
          <w:p w:rsidR="005643EA" w:rsidRPr="00392FFD" w:rsidRDefault="002648B0" w:rsidP="00622B37">
            <w:pPr>
              <w:pStyle w:val="InstructionsText"/>
            </w:pPr>
            <w:r>
              <w:t>Articles 44, 45, 47 et 49 du CRR</w:t>
            </w:r>
          </w:p>
        </w:tc>
      </w:tr>
      <w:tr w:rsidR="002648B0" w:rsidRPr="00392FFD" w:rsidTr="00700DFD">
        <w:tc>
          <w:tcPr>
            <w:tcW w:w="1506" w:type="dxa"/>
          </w:tcPr>
          <w:p w:rsidR="002648B0" w:rsidRPr="00392FFD" w:rsidRDefault="008F54B0" w:rsidP="00622B37">
            <w:pPr>
              <w:pStyle w:val="InstructionsText"/>
            </w:pPr>
            <w:r>
              <w:t>460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15.1.1</w:t>
            </w:r>
            <w:r>
              <w:tab/>
            </w:r>
            <w:r>
              <w:rPr>
                <w:rStyle w:val="InstructionsTabelleberschrift"/>
                <w:rFonts w:ascii="Times New Roman" w:hAnsi="Times New Roman"/>
                <w:sz w:val="24"/>
              </w:rPr>
              <w:t>Détentions directes brutes de fonds propres CET1 d'entités du secteur financier lorsque l'établissement détient un investiss</w:t>
            </w:r>
            <w:r>
              <w:rPr>
                <w:rStyle w:val="InstructionsTabelleberschrift"/>
                <w:rFonts w:ascii="Times New Roman" w:hAnsi="Times New Roman"/>
                <w:sz w:val="24"/>
              </w:rPr>
              <w:t>e</w:t>
            </w:r>
            <w:r>
              <w:rPr>
                <w:rStyle w:val="InstructionsTabelleberschrift"/>
                <w:rFonts w:ascii="Times New Roman" w:hAnsi="Times New Roman"/>
                <w:sz w:val="24"/>
              </w:rPr>
              <w:t>ment important</w:t>
            </w:r>
          </w:p>
          <w:p w:rsidR="005643EA" w:rsidRPr="00392FFD" w:rsidRDefault="002648B0" w:rsidP="00622B37">
            <w:pPr>
              <w:pStyle w:val="InstructionsText"/>
            </w:pPr>
            <w:r>
              <w:t>Articles 44, 45, 47 et 49 du CRR</w:t>
            </w:r>
          </w:p>
          <w:p w:rsidR="005643EA" w:rsidRPr="00392FFD" w:rsidRDefault="002648B0" w:rsidP="00622B37">
            <w:pPr>
              <w:pStyle w:val="InstructionsText"/>
            </w:pPr>
            <w:r>
              <w:t>Détentions directes d’instruments de fonds propres de base de catégorie 1 d’entités du secteur financier dans lesquelles l’établissement possède un investissement important, à l’exclusion:</w:t>
            </w:r>
          </w:p>
          <w:p w:rsidR="005643EA" w:rsidRPr="00392FFD" w:rsidRDefault="002648B0" w:rsidP="00622B37">
            <w:pPr>
              <w:pStyle w:val="InstructionsText"/>
            </w:pPr>
            <w:r>
              <w:t>a)</w:t>
            </w:r>
            <w:r>
              <w:tab/>
              <w:t>des positions de prise ferme détenues pendant cinq jours o</w:t>
            </w:r>
            <w:r>
              <w:t>u</w:t>
            </w:r>
            <w:r>
              <w:t xml:space="preserve">vrables ou moins; </w:t>
            </w:r>
          </w:p>
          <w:p w:rsidR="005643EA" w:rsidRPr="00392FFD" w:rsidRDefault="002648B0" w:rsidP="00622B37">
            <w:pPr>
              <w:pStyle w:val="InstructionsText"/>
            </w:pPr>
            <w:r>
              <w:t>b)</w:t>
            </w:r>
            <w:r>
              <w:tab/>
              <w:t>des montants relatifs aux investissements pour lesquels on a</w:t>
            </w:r>
            <w:r>
              <w:t>p</w:t>
            </w:r>
            <w:r>
              <w:t xml:space="preserve">plique une alternative à la déduction visée à l'article 49; et </w:t>
            </w:r>
          </w:p>
          <w:p w:rsidR="005643EA" w:rsidRPr="00392FFD" w:rsidRDefault="002648B0" w:rsidP="00A4319E">
            <w:pPr>
              <w:pStyle w:val="InstructionsText"/>
            </w:pPr>
            <w:r>
              <w:t>c)</w:t>
            </w:r>
            <w:r>
              <w:tab/>
              <w:t>des détentions traitées comme des détentions croisées conform</w:t>
            </w:r>
            <w:r>
              <w:t>é</w:t>
            </w:r>
            <w:r>
              <w:t>ment à l’article 36, paragraphe 1, point g), du CRR.</w:t>
            </w:r>
          </w:p>
        </w:tc>
      </w:tr>
      <w:tr w:rsidR="002648B0" w:rsidRPr="00392FFD" w:rsidTr="00700DFD">
        <w:tc>
          <w:tcPr>
            <w:tcW w:w="1506" w:type="dxa"/>
          </w:tcPr>
          <w:p w:rsidR="002648B0" w:rsidRPr="00392FFD" w:rsidRDefault="002648B0" w:rsidP="00622B37">
            <w:pPr>
              <w:pStyle w:val="InstructionsText"/>
            </w:pPr>
            <w:r>
              <w:t>470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15.1.2</w:t>
            </w:r>
            <w:r>
              <w:tab/>
            </w:r>
            <w:r>
              <w:rPr>
                <w:rStyle w:val="InstructionsTabelleberschrift"/>
                <w:rFonts w:ascii="Times New Roman" w:hAnsi="Times New Roman"/>
                <w:sz w:val="24"/>
              </w:rPr>
              <w:t>(-) Positions courtes compensatoires autorisées par rapport aux détentions brutes directes figurant ci-dessus</w:t>
            </w:r>
          </w:p>
          <w:p w:rsidR="005643EA" w:rsidRPr="00392FFD" w:rsidRDefault="002648B0" w:rsidP="00622B37">
            <w:pPr>
              <w:pStyle w:val="InstructionsText"/>
            </w:pPr>
            <w:r>
              <w:t>Article 45 du CRR</w:t>
            </w:r>
          </w:p>
          <w:p w:rsidR="005643EA" w:rsidRPr="00392FFD" w:rsidRDefault="002648B0" w:rsidP="00622B37">
            <w:pPr>
              <w:pStyle w:val="InstructionsText"/>
            </w:pPr>
            <w:r>
              <w:t>L’article 45, point a), du CRR autorise la compensation de positions courtes sur la même exposition sous-jacente, pour autant que l’échéance de la position courte soit identique à celle de la position longue ou que l’échéance résiduelle soit d’au moins un an.</w:t>
            </w:r>
          </w:p>
        </w:tc>
      </w:tr>
      <w:tr w:rsidR="002648B0" w:rsidRPr="00392FFD" w:rsidTr="00700DFD">
        <w:tc>
          <w:tcPr>
            <w:tcW w:w="1506" w:type="dxa"/>
          </w:tcPr>
          <w:p w:rsidR="002648B0" w:rsidRPr="00392FFD" w:rsidRDefault="002648B0" w:rsidP="00622B37">
            <w:pPr>
              <w:pStyle w:val="InstructionsText"/>
            </w:pPr>
            <w:r>
              <w:t>480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15.2</w:t>
            </w:r>
            <w:r>
              <w:tab/>
            </w:r>
            <w:r>
              <w:rPr>
                <w:rStyle w:val="InstructionsTabelleberschrift"/>
                <w:rFonts w:ascii="Times New Roman" w:hAnsi="Times New Roman"/>
                <w:sz w:val="24"/>
              </w:rPr>
              <w:t>Détentions indirectes de fonds propres CET1 d'entités du se</w:t>
            </w:r>
            <w:r>
              <w:rPr>
                <w:rStyle w:val="InstructionsTabelleberschrift"/>
                <w:rFonts w:ascii="Times New Roman" w:hAnsi="Times New Roman"/>
                <w:sz w:val="24"/>
              </w:rPr>
              <w:t>c</w:t>
            </w:r>
            <w:r>
              <w:rPr>
                <w:rStyle w:val="InstructionsTabelleberschrift"/>
                <w:rFonts w:ascii="Times New Roman" w:hAnsi="Times New Roman"/>
                <w:sz w:val="24"/>
              </w:rPr>
              <w:t>teur financier lorsque l'établissement détient un investissement i</w:t>
            </w:r>
            <w:r>
              <w:rPr>
                <w:rStyle w:val="InstructionsTabelleberschrift"/>
                <w:rFonts w:ascii="Times New Roman" w:hAnsi="Times New Roman"/>
                <w:sz w:val="24"/>
              </w:rPr>
              <w:t>m</w:t>
            </w:r>
            <w:r>
              <w:rPr>
                <w:rStyle w:val="InstructionsTabelleberschrift"/>
                <w:rFonts w:ascii="Times New Roman" w:hAnsi="Times New Roman"/>
                <w:sz w:val="24"/>
              </w:rPr>
              <w:t>portant</w:t>
            </w:r>
          </w:p>
          <w:p w:rsidR="005643EA" w:rsidRPr="00392FFD" w:rsidRDefault="002648B0" w:rsidP="00622B37">
            <w:pPr>
              <w:pStyle w:val="InstructionsText"/>
            </w:pPr>
            <w:r>
              <w:t>Article 4, paragraphe 1, point 114, et articles 44 et 45 du CRR.</w:t>
            </w:r>
          </w:p>
        </w:tc>
      </w:tr>
      <w:tr w:rsidR="002648B0" w:rsidRPr="00392FFD" w:rsidTr="00700DFD">
        <w:tc>
          <w:tcPr>
            <w:tcW w:w="1506" w:type="dxa"/>
          </w:tcPr>
          <w:p w:rsidR="002648B0" w:rsidRPr="00392FFD" w:rsidRDefault="002648B0" w:rsidP="00622B37">
            <w:pPr>
              <w:pStyle w:val="InstructionsText"/>
            </w:pPr>
            <w:r>
              <w:t>490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15.2.1</w:t>
            </w:r>
            <w:r>
              <w:tab/>
            </w:r>
            <w:r>
              <w:rPr>
                <w:rStyle w:val="InstructionsTabelleberschrift"/>
                <w:rFonts w:ascii="Times New Roman" w:hAnsi="Times New Roman"/>
                <w:sz w:val="24"/>
              </w:rPr>
              <w:t>Détentions indirectes brutes de fonds propres CET1 d'entités du secteur financier lorsque l'établissement détient un investiss</w:t>
            </w:r>
            <w:r>
              <w:rPr>
                <w:rStyle w:val="InstructionsTabelleberschrift"/>
                <w:rFonts w:ascii="Times New Roman" w:hAnsi="Times New Roman"/>
                <w:sz w:val="24"/>
              </w:rPr>
              <w:t>e</w:t>
            </w:r>
            <w:r>
              <w:rPr>
                <w:rStyle w:val="InstructionsTabelleberschrift"/>
                <w:rFonts w:ascii="Times New Roman" w:hAnsi="Times New Roman"/>
                <w:sz w:val="24"/>
              </w:rPr>
              <w:t>ment important</w:t>
            </w:r>
          </w:p>
          <w:p w:rsidR="005643EA" w:rsidRPr="00392FFD" w:rsidRDefault="002648B0" w:rsidP="00622B37">
            <w:pPr>
              <w:pStyle w:val="InstructionsText"/>
            </w:pPr>
            <w:r>
              <w:t>Article 4, paragraphe 1, point 114, et articles 44 et 45 du CRR.</w:t>
            </w:r>
          </w:p>
          <w:p w:rsidR="005643EA" w:rsidRPr="00392FFD" w:rsidRDefault="002648B0" w:rsidP="00622B37">
            <w:pPr>
              <w:pStyle w:val="InstructionsText"/>
            </w:pPr>
            <w:r>
              <w:t>Le montant à déclarer correspond aux détentions indirectes dans le po</w:t>
            </w:r>
            <w:r>
              <w:t>r</w:t>
            </w:r>
            <w:r>
              <w:t>tefeuille de négociation d’instruments de capital d’entités du secteur f</w:t>
            </w:r>
            <w:r>
              <w:t>i</w:t>
            </w:r>
            <w:r>
              <w:t xml:space="preserve">nancier qui prennent la forme de détentions dans des titres indiciels. On </w:t>
            </w:r>
            <w:r>
              <w:lastRenderedPageBreak/>
              <w:t>obtient ce montant en calculant l’exposition sous-jacente sur les instr</w:t>
            </w:r>
            <w:r>
              <w:t>u</w:t>
            </w:r>
            <w:r>
              <w:t>ments de capital des entités du secteur financier faisant partie de ces i</w:t>
            </w:r>
            <w:r>
              <w:t>n</w:t>
            </w:r>
            <w:r>
              <w:t>dices.</w:t>
            </w:r>
          </w:p>
          <w:p w:rsidR="005643EA" w:rsidRPr="00392FFD" w:rsidRDefault="002648B0" w:rsidP="00622B37">
            <w:pPr>
              <w:pStyle w:val="InstructionsText"/>
            </w:pPr>
            <w:r>
              <w:t>Les détentions traitées comme des détentions croisées conformément à l’article 36, paragraphe 1, point g), du CRR ne seront pas incluses.</w:t>
            </w:r>
          </w:p>
        </w:tc>
      </w:tr>
      <w:tr w:rsidR="002648B0" w:rsidRPr="00392FFD" w:rsidTr="00700DFD">
        <w:tc>
          <w:tcPr>
            <w:tcW w:w="1506" w:type="dxa"/>
          </w:tcPr>
          <w:p w:rsidR="002648B0" w:rsidRPr="00392FFD" w:rsidRDefault="002648B0" w:rsidP="00622B37">
            <w:pPr>
              <w:pStyle w:val="InstructionsText"/>
            </w:pPr>
            <w:r>
              <w:lastRenderedPageBreak/>
              <w:t>500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15.2.2</w:t>
            </w:r>
            <w:r>
              <w:tab/>
            </w:r>
            <w:r>
              <w:rPr>
                <w:rStyle w:val="InstructionsTabelleberschrift"/>
                <w:rFonts w:ascii="Times New Roman" w:hAnsi="Times New Roman"/>
                <w:sz w:val="24"/>
              </w:rPr>
              <w:t>(-) Positions courtes compensatoires autorisées par rapport aux détentions brutes indirectes figurant ci-dessus</w:t>
            </w:r>
          </w:p>
          <w:p w:rsidR="005643EA" w:rsidRPr="00392FFD" w:rsidRDefault="002648B0" w:rsidP="00622B37">
            <w:pPr>
              <w:pStyle w:val="InstructionsText"/>
            </w:pPr>
            <w:r>
              <w:t>Article 4, paragraphe 1, point 114, et article 45 du CRR</w:t>
            </w:r>
          </w:p>
          <w:p w:rsidR="005643EA" w:rsidRPr="00392FFD" w:rsidRDefault="002648B0" w:rsidP="00622B37">
            <w:pPr>
              <w:pStyle w:val="InstructionsText"/>
            </w:pPr>
            <w:r>
              <w:t>L’article 45, point a), du CRR autorise la compensation de positions courtes sur la même exposition sous-jacente, pour autant que l’échéance de la position courte soit identique à celle de la position longue ou que l’échéance résiduelle soit d’au moins un an.</w:t>
            </w:r>
          </w:p>
        </w:tc>
      </w:tr>
      <w:tr w:rsidR="00DE5A31" w:rsidRPr="00392FFD" w:rsidTr="00700DFD">
        <w:tc>
          <w:tcPr>
            <w:tcW w:w="1506" w:type="dxa"/>
          </w:tcPr>
          <w:p w:rsidR="00DE5A31" w:rsidRPr="00392FFD" w:rsidRDefault="00DE5A31" w:rsidP="00622B37">
            <w:pPr>
              <w:pStyle w:val="InstructionsText"/>
            </w:pPr>
            <w:r>
              <w:t>501</w:t>
            </w:r>
          </w:p>
        </w:tc>
        <w:tc>
          <w:tcPr>
            <w:tcW w:w="7243" w:type="dxa"/>
          </w:tcPr>
          <w:p w:rsidR="005643EA" w:rsidRPr="00201704" w:rsidRDefault="00DE5A31" w:rsidP="00622B37">
            <w:pPr>
              <w:pStyle w:val="InstructionsText"/>
            </w:pPr>
            <w:r>
              <w:rPr>
                <w:rStyle w:val="InstructionsTabelleberschrift"/>
                <w:rFonts w:ascii="Times New Roman" w:hAnsi="Times New Roman"/>
                <w:sz w:val="24"/>
              </w:rPr>
              <w:t>15.3</w:t>
            </w:r>
            <w:r>
              <w:tab/>
            </w:r>
            <w:r>
              <w:rPr>
                <w:rStyle w:val="InstructionsTabelleberschrift"/>
                <w:rFonts w:ascii="Times New Roman" w:hAnsi="Times New Roman"/>
                <w:sz w:val="24"/>
              </w:rPr>
              <w:t>Détentions synthétiques de fonds propres CET1 d'entités du secteur financier lorsque l'établissement détient un investissement important</w:t>
            </w:r>
          </w:p>
          <w:p w:rsidR="005643EA" w:rsidRPr="00392FFD" w:rsidRDefault="00805255" w:rsidP="00622B37">
            <w:pPr>
              <w:pStyle w:val="InstructionsText"/>
            </w:pPr>
            <w:r>
              <w:t>Article 4, paragraphe 1, point 126, et articles 44 et 45 du CRR.</w:t>
            </w:r>
          </w:p>
        </w:tc>
      </w:tr>
      <w:tr w:rsidR="00DE5A31" w:rsidRPr="00392FFD" w:rsidTr="00700DFD">
        <w:tc>
          <w:tcPr>
            <w:tcW w:w="1506" w:type="dxa"/>
          </w:tcPr>
          <w:p w:rsidR="00DE5A31" w:rsidRPr="00392FFD" w:rsidRDefault="00DE5A31" w:rsidP="00622B37">
            <w:pPr>
              <w:pStyle w:val="InstructionsText"/>
            </w:pPr>
            <w:r>
              <w:t>502</w:t>
            </w:r>
          </w:p>
        </w:tc>
        <w:tc>
          <w:tcPr>
            <w:tcW w:w="7243" w:type="dxa"/>
          </w:tcPr>
          <w:p w:rsidR="005643EA" w:rsidRPr="00201704" w:rsidRDefault="00DE5A31" w:rsidP="00622B37">
            <w:pPr>
              <w:pStyle w:val="InstructionsText"/>
            </w:pPr>
            <w:r>
              <w:rPr>
                <w:rStyle w:val="InstructionsTabelleberschrift"/>
                <w:rFonts w:ascii="Times New Roman" w:hAnsi="Times New Roman"/>
                <w:sz w:val="24"/>
              </w:rPr>
              <w:t>15.3.1</w:t>
            </w:r>
            <w:r>
              <w:tab/>
            </w:r>
            <w:r>
              <w:rPr>
                <w:rStyle w:val="InstructionsTabelleberschrift"/>
                <w:rFonts w:ascii="Times New Roman" w:hAnsi="Times New Roman"/>
                <w:sz w:val="24"/>
              </w:rPr>
              <w:t>Détentions synthétiques brutes de fonds propres CET1 d'e</w:t>
            </w:r>
            <w:r>
              <w:rPr>
                <w:rStyle w:val="InstructionsTabelleberschrift"/>
                <w:rFonts w:ascii="Times New Roman" w:hAnsi="Times New Roman"/>
                <w:sz w:val="24"/>
              </w:rPr>
              <w:t>n</w:t>
            </w:r>
            <w:r>
              <w:rPr>
                <w:rStyle w:val="InstructionsTabelleberschrift"/>
                <w:rFonts w:ascii="Times New Roman" w:hAnsi="Times New Roman"/>
                <w:sz w:val="24"/>
              </w:rPr>
              <w:t>tités du secteur financier lorsque l'établissement détient un investi</w:t>
            </w:r>
            <w:r>
              <w:rPr>
                <w:rStyle w:val="InstructionsTabelleberschrift"/>
                <w:rFonts w:ascii="Times New Roman" w:hAnsi="Times New Roman"/>
                <w:sz w:val="24"/>
              </w:rPr>
              <w:t>s</w:t>
            </w:r>
            <w:r>
              <w:rPr>
                <w:rStyle w:val="InstructionsTabelleberschrift"/>
                <w:rFonts w:ascii="Times New Roman" w:hAnsi="Times New Roman"/>
                <w:sz w:val="24"/>
              </w:rPr>
              <w:t>sement important</w:t>
            </w:r>
          </w:p>
          <w:p w:rsidR="005643EA" w:rsidRPr="00392FFD" w:rsidRDefault="00805255" w:rsidP="00622B37">
            <w:pPr>
              <w:pStyle w:val="InstructionsText"/>
            </w:pPr>
            <w:r>
              <w:t>Article 4, paragraphe 1, point 126, et articles 44 et 45 du CRR.</w:t>
            </w:r>
          </w:p>
        </w:tc>
      </w:tr>
      <w:tr w:rsidR="00DE5A31" w:rsidRPr="00392FFD" w:rsidTr="00700DFD">
        <w:tc>
          <w:tcPr>
            <w:tcW w:w="1506" w:type="dxa"/>
          </w:tcPr>
          <w:p w:rsidR="00DE5A31" w:rsidRPr="00392FFD" w:rsidRDefault="00E81DB9" w:rsidP="00622B37">
            <w:pPr>
              <w:pStyle w:val="InstructionsText"/>
            </w:pPr>
            <w:r>
              <w:t>503</w:t>
            </w:r>
          </w:p>
        </w:tc>
        <w:tc>
          <w:tcPr>
            <w:tcW w:w="7243" w:type="dxa"/>
          </w:tcPr>
          <w:p w:rsidR="005643EA" w:rsidRPr="00201704" w:rsidRDefault="00E81DB9" w:rsidP="00622B37">
            <w:pPr>
              <w:pStyle w:val="InstructionsText"/>
            </w:pPr>
            <w:r>
              <w:rPr>
                <w:rStyle w:val="InstructionsTabelleberschrift"/>
                <w:rFonts w:ascii="Times New Roman" w:hAnsi="Times New Roman"/>
                <w:sz w:val="24"/>
              </w:rPr>
              <w:t>15.3.2</w:t>
            </w:r>
            <w:r>
              <w:tab/>
            </w:r>
            <w:r>
              <w:rPr>
                <w:rStyle w:val="InstructionsTabelleberschrift"/>
                <w:rFonts w:ascii="Times New Roman" w:hAnsi="Times New Roman"/>
                <w:sz w:val="24"/>
              </w:rPr>
              <w:t>(-) Positions courtes compensatoires autorisées par rapport aux détentions brutes synthétiques figurant ci-dessus</w:t>
            </w:r>
          </w:p>
          <w:p w:rsidR="005643EA" w:rsidRPr="00392FFD" w:rsidRDefault="00805255" w:rsidP="00622B37">
            <w:pPr>
              <w:pStyle w:val="InstructionsText"/>
            </w:pPr>
            <w:r>
              <w:t>Article 4, paragraphe 1, point 126, et article 45 du CRR</w:t>
            </w:r>
          </w:p>
        </w:tc>
      </w:tr>
      <w:tr w:rsidR="002648B0" w:rsidRPr="00392FFD" w:rsidTr="00700DFD">
        <w:tc>
          <w:tcPr>
            <w:tcW w:w="1506" w:type="dxa"/>
          </w:tcPr>
          <w:p w:rsidR="002648B0" w:rsidRPr="00392FFD" w:rsidRDefault="002648B0" w:rsidP="00622B37">
            <w:pPr>
              <w:pStyle w:val="InstructionsText"/>
            </w:pPr>
            <w:r>
              <w:t>510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16 Détentions de fonds propres AT1 d’entités du secteur financier dans lesquelles l'établissement détient un investissement important, nettes des positions courtes</w:t>
            </w:r>
          </w:p>
          <w:p w:rsidR="005643EA" w:rsidRPr="00392FFD" w:rsidRDefault="002648B0" w:rsidP="00622B37">
            <w:pPr>
              <w:pStyle w:val="InstructionsText"/>
            </w:pPr>
            <w:r>
              <w:t>Articles 58 et 59 du CRR</w:t>
            </w:r>
          </w:p>
        </w:tc>
      </w:tr>
      <w:tr w:rsidR="002648B0" w:rsidRPr="00392FFD" w:rsidTr="00700DFD">
        <w:tc>
          <w:tcPr>
            <w:tcW w:w="1506" w:type="dxa"/>
          </w:tcPr>
          <w:p w:rsidR="002648B0" w:rsidRPr="00392FFD" w:rsidRDefault="002648B0" w:rsidP="00622B37">
            <w:pPr>
              <w:pStyle w:val="InstructionsText"/>
            </w:pPr>
            <w:r>
              <w:t>520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16.1</w:t>
            </w:r>
            <w:r>
              <w:tab/>
            </w:r>
            <w:r>
              <w:rPr>
                <w:rStyle w:val="InstructionsTabelleberschrift"/>
                <w:rFonts w:ascii="Times New Roman" w:hAnsi="Times New Roman"/>
                <w:sz w:val="24"/>
              </w:rPr>
              <w:t>Détentions directes de fonds propres AT1 d'entités du secteur financier lorsque l'établissement détient un investissement impo</w:t>
            </w:r>
            <w:r>
              <w:rPr>
                <w:rStyle w:val="InstructionsTabelleberschrift"/>
                <w:rFonts w:ascii="Times New Roman" w:hAnsi="Times New Roman"/>
                <w:sz w:val="24"/>
              </w:rPr>
              <w:t>r</w:t>
            </w:r>
            <w:r>
              <w:rPr>
                <w:rStyle w:val="InstructionsTabelleberschrift"/>
                <w:rFonts w:ascii="Times New Roman" w:hAnsi="Times New Roman"/>
                <w:sz w:val="24"/>
              </w:rPr>
              <w:t>tant</w:t>
            </w:r>
          </w:p>
          <w:p w:rsidR="005643EA" w:rsidRPr="00392FFD" w:rsidRDefault="002648B0" w:rsidP="00622B37">
            <w:pPr>
              <w:pStyle w:val="InstructionsText"/>
            </w:pPr>
            <w:r>
              <w:t>Articles 58 et 59 du CRR</w:t>
            </w:r>
          </w:p>
        </w:tc>
      </w:tr>
      <w:tr w:rsidR="002648B0" w:rsidRPr="00392FFD" w:rsidTr="00700DFD">
        <w:tc>
          <w:tcPr>
            <w:tcW w:w="1506" w:type="dxa"/>
          </w:tcPr>
          <w:p w:rsidR="002648B0" w:rsidRPr="00392FFD" w:rsidRDefault="002648B0" w:rsidP="00622B37">
            <w:pPr>
              <w:pStyle w:val="InstructionsText"/>
            </w:pPr>
            <w:r>
              <w:t>530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16.1.1</w:t>
            </w:r>
            <w:r>
              <w:tab/>
            </w:r>
            <w:r>
              <w:rPr>
                <w:rStyle w:val="InstructionsTabelleberschrift"/>
                <w:rFonts w:ascii="Times New Roman" w:hAnsi="Times New Roman"/>
                <w:sz w:val="24"/>
              </w:rPr>
              <w:t>Détentions directes brutes de fonds propres AT1 d'entités du secteur financier lorsque l'établissement détient un investissement important</w:t>
            </w:r>
          </w:p>
          <w:p w:rsidR="005643EA" w:rsidRPr="00392FFD" w:rsidRDefault="002648B0" w:rsidP="00622B37">
            <w:pPr>
              <w:pStyle w:val="InstructionsText"/>
            </w:pPr>
            <w:r>
              <w:t>Article 58 du CRR</w:t>
            </w:r>
          </w:p>
          <w:p w:rsidR="005643EA" w:rsidRPr="00392FFD" w:rsidRDefault="002648B0" w:rsidP="00622B37">
            <w:pPr>
              <w:pStyle w:val="InstructionsText"/>
            </w:pPr>
            <w:r>
              <w:t>Détentions directes d’instruments de fonds propres additionnels de cat</w:t>
            </w:r>
            <w:r>
              <w:t>é</w:t>
            </w:r>
            <w:r>
              <w:t>gorie 1 d’entités du secteur financier dans lesquelles l’établissement po</w:t>
            </w:r>
            <w:r>
              <w:t>s</w:t>
            </w:r>
            <w:r>
              <w:t>sède un investissement important, à l’exclusion:</w:t>
            </w:r>
          </w:p>
          <w:p w:rsidR="005643EA" w:rsidRPr="00392FFD" w:rsidRDefault="002648B0" w:rsidP="00622B37">
            <w:pPr>
              <w:pStyle w:val="InstructionsText"/>
            </w:pPr>
            <w:r>
              <w:t>a)</w:t>
            </w:r>
            <w:r>
              <w:tab/>
              <w:t>des positions de prise ferme détenues pendant cinq jours o</w:t>
            </w:r>
            <w:r>
              <w:t>u</w:t>
            </w:r>
            <w:r>
              <w:t xml:space="preserve">vrables ou moins (article 56, point d)); et </w:t>
            </w:r>
          </w:p>
          <w:p w:rsidR="005643EA" w:rsidRPr="00392FFD" w:rsidRDefault="002648B0" w:rsidP="00A4319E">
            <w:pPr>
              <w:pStyle w:val="InstructionsText"/>
            </w:pPr>
            <w:r>
              <w:t>b)</w:t>
            </w:r>
            <w:r>
              <w:tab/>
              <w:t>des détentions traitées comme des détentions croisées conform</w:t>
            </w:r>
            <w:r>
              <w:t>é</w:t>
            </w:r>
            <w:r>
              <w:lastRenderedPageBreak/>
              <w:t>ment à l'article 56, point b), du CRR.</w:t>
            </w:r>
          </w:p>
        </w:tc>
      </w:tr>
      <w:tr w:rsidR="002648B0" w:rsidRPr="00392FFD" w:rsidTr="00700DFD">
        <w:tc>
          <w:tcPr>
            <w:tcW w:w="1506" w:type="dxa"/>
          </w:tcPr>
          <w:p w:rsidR="002648B0" w:rsidRPr="00392FFD" w:rsidRDefault="002648B0" w:rsidP="00622B37">
            <w:pPr>
              <w:pStyle w:val="InstructionsText"/>
            </w:pPr>
            <w:r>
              <w:lastRenderedPageBreak/>
              <w:t>540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16.1.2</w:t>
            </w:r>
            <w:r>
              <w:tab/>
            </w:r>
            <w:r>
              <w:rPr>
                <w:rStyle w:val="InstructionsTabelleberschrift"/>
                <w:rFonts w:ascii="Times New Roman" w:hAnsi="Times New Roman"/>
                <w:sz w:val="24"/>
              </w:rPr>
              <w:t>(-) Positions courtes compensatoires autorisées par rapport aux détentions brutes directes figurant ci-dessus</w:t>
            </w:r>
          </w:p>
          <w:p w:rsidR="005643EA" w:rsidRPr="00392FFD" w:rsidRDefault="002648B0" w:rsidP="00622B37">
            <w:pPr>
              <w:pStyle w:val="InstructionsText"/>
            </w:pPr>
            <w:r>
              <w:t>Article 59 du CRR</w:t>
            </w:r>
          </w:p>
          <w:p w:rsidR="005643EA" w:rsidRPr="00392FFD" w:rsidRDefault="002648B0" w:rsidP="00622B37">
            <w:pPr>
              <w:pStyle w:val="InstructionsText"/>
            </w:pPr>
            <w:r>
              <w:t>L’article 59, point a), du CRR autorise la compensation de positions courtes sur la même exposition sous-jacente, pour autant que l’échéance de la position courte soit identique à celle de la position longue ou que l’échéance résiduelle soit d’au moins un an.</w:t>
            </w:r>
          </w:p>
        </w:tc>
      </w:tr>
      <w:tr w:rsidR="002648B0" w:rsidRPr="00392FFD" w:rsidTr="00700DFD">
        <w:tc>
          <w:tcPr>
            <w:tcW w:w="1506" w:type="dxa"/>
          </w:tcPr>
          <w:p w:rsidR="002648B0" w:rsidRPr="00392FFD" w:rsidRDefault="002648B0" w:rsidP="00622B37">
            <w:pPr>
              <w:pStyle w:val="InstructionsText"/>
            </w:pPr>
            <w:r>
              <w:t>550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16.2</w:t>
            </w:r>
            <w:r>
              <w:tab/>
            </w:r>
            <w:r>
              <w:rPr>
                <w:rStyle w:val="InstructionsTabelleberschrift"/>
                <w:rFonts w:ascii="Times New Roman" w:hAnsi="Times New Roman"/>
                <w:sz w:val="24"/>
              </w:rPr>
              <w:t>Détentions indirectes de fonds propres AT1 d'entités du se</w:t>
            </w:r>
            <w:r>
              <w:rPr>
                <w:rStyle w:val="InstructionsTabelleberschrift"/>
                <w:rFonts w:ascii="Times New Roman" w:hAnsi="Times New Roman"/>
                <w:sz w:val="24"/>
              </w:rPr>
              <w:t>c</w:t>
            </w:r>
            <w:r>
              <w:rPr>
                <w:rStyle w:val="InstructionsTabelleberschrift"/>
                <w:rFonts w:ascii="Times New Roman" w:hAnsi="Times New Roman"/>
                <w:sz w:val="24"/>
              </w:rPr>
              <w:t>teur financier lorsque l'établissement détient un investissement i</w:t>
            </w:r>
            <w:r>
              <w:rPr>
                <w:rStyle w:val="InstructionsTabelleberschrift"/>
                <w:rFonts w:ascii="Times New Roman" w:hAnsi="Times New Roman"/>
                <w:sz w:val="24"/>
              </w:rPr>
              <w:t>m</w:t>
            </w:r>
            <w:r>
              <w:rPr>
                <w:rStyle w:val="InstructionsTabelleberschrift"/>
                <w:rFonts w:ascii="Times New Roman" w:hAnsi="Times New Roman"/>
                <w:sz w:val="24"/>
              </w:rPr>
              <w:t>portant</w:t>
            </w:r>
          </w:p>
          <w:p w:rsidR="005643EA" w:rsidRPr="00392FFD" w:rsidRDefault="002648B0" w:rsidP="00622B37">
            <w:pPr>
              <w:pStyle w:val="InstructionsText"/>
            </w:pPr>
            <w:r>
              <w:t>Article 4, paragraphe 1, point 114, et articles 58 et 59 du CRR.</w:t>
            </w:r>
          </w:p>
        </w:tc>
      </w:tr>
      <w:tr w:rsidR="002648B0" w:rsidRPr="00392FFD" w:rsidTr="00700DFD">
        <w:tc>
          <w:tcPr>
            <w:tcW w:w="1506" w:type="dxa"/>
          </w:tcPr>
          <w:p w:rsidR="002648B0" w:rsidRPr="00392FFD" w:rsidRDefault="002648B0" w:rsidP="00622B37">
            <w:pPr>
              <w:pStyle w:val="InstructionsText"/>
            </w:pPr>
            <w:r>
              <w:t>560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16.2.1</w:t>
            </w:r>
            <w:r>
              <w:tab/>
            </w:r>
            <w:r>
              <w:rPr>
                <w:rStyle w:val="InstructionsTabelleberschrift"/>
                <w:rFonts w:ascii="Times New Roman" w:hAnsi="Times New Roman"/>
                <w:sz w:val="24"/>
              </w:rPr>
              <w:t>Détentions indirectes brutes de fonds propres AT1 d'entités du secteur financier lorsque l'établissement détient un investiss</w:t>
            </w:r>
            <w:r>
              <w:rPr>
                <w:rStyle w:val="InstructionsTabelleberschrift"/>
                <w:rFonts w:ascii="Times New Roman" w:hAnsi="Times New Roman"/>
                <w:sz w:val="24"/>
              </w:rPr>
              <w:t>e</w:t>
            </w:r>
            <w:r>
              <w:rPr>
                <w:rStyle w:val="InstructionsTabelleberschrift"/>
                <w:rFonts w:ascii="Times New Roman" w:hAnsi="Times New Roman"/>
                <w:sz w:val="24"/>
              </w:rPr>
              <w:t>ment important</w:t>
            </w:r>
          </w:p>
          <w:p w:rsidR="005643EA" w:rsidRPr="00392FFD" w:rsidRDefault="002648B0" w:rsidP="00622B37">
            <w:pPr>
              <w:pStyle w:val="InstructionsText"/>
            </w:pPr>
            <w:r>
              <w:t>Article 4, paragraphe 1, point 114, et articles 58 et 59 du CRR.</w:t>
            </w:r>
          </w:p>
          <w:p w:rsidR="005643EA" w:rsidRPr="00392FFD" w:rsidRDefault="002648B0" w:rsidP="00622B37">
            <w:pPr>
              <w:pStyle w:val="InstructionsText"/>
            </w:pPr>
            <w:r>
              <w:t>Le montant à déclarer correspond aux détentions indirectes dans le po</w:t>
            </w:r>
            <w:r>
              <w:t>r</w:t>
            </w:r>
            <w:r>
              <w:t>tefeuille de négociation d’instruments de capital d’entités du secteur f</w:t>
            </w:r>
            <w:r>
              <w:t>i</w:t>
            </w:r>
            <w:r>
              <w:t>nancier qui prennent la forme de détentions dans des titres indiciels. On obtient ce montant en calculant l’exposition sous-jacente sur les instr</w:t>
            </w:r>
            <w:r>
              <w:t>u</w:t>
            </w:r>
            <w:r>
              <w:t>ments de capital des entités du secteur financier faisant partie de ces i</w:t>
            </w:r>
            <w:r>
              <w:t>n</w:t>
            </w:r>
            <w:r>
              <w:t>dices.</w:t>
            </w:r>
          </w:p>
          <w:p w:rsidR="005643EA" w:rsidRPr="00392FFD" w:rsidRDefault="002648B0" w:rsidP="00622B37">
            <w:pPr>
              <w:pStyle w:val="InstructionsText"/>
            </w:pPr>
            <w:r>
              <w:t>Les détentions traitées comme des détentions croisées conformément à l’article 56, point b), du CRR ne seront pas incluses.</w:t>
            </w:r>
          </w:p>
        </w:tc>
      </w:tr>
      <w:tr w:rsidR="002648B0" w:rsidRPr="00392FFD" w:rsidTr="00700DFD">
        <w:tc>
          <w:tcPr>
            <w:tcW w:w="1506" w:type="dxa"/>
          </w:tcPr>
          <w:p w:rsidR="002648B0" w:rsidRPr="00392FFD" w:rsidRDefault="002648B0" w:rsidP="00622B37">
            <w:pPr>
              <w:pStyle w:val="InstructionsText"/>
            </w:pPr>
            <w:r>
              <w:t>570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16.2.2</w:t>
            </w:r>
            <w:r>
              <w:tab/>
            </w:r>
            <w:r>
              <w:rPr>
                <w:rStyle w:val="InstructionsTabelleberschrift"/>
                <w:rFonts w:ascii="Times New Roman" w:hAnsi="Times New Roman"/>
                <w:sz w:val="24"/>
              </w:rPr>
              <w:t>(-) Positions courtes compensatoires autorisées par rapport aux détentions brutes indirectes figurant ci-dessus</w:t>
            </w:r>
          </w:p>
          <w:p w:rsidR="005643EA" w:rsidRPr="00392FFD" w:rsidRDefault="002648B0" w:rsidP="00622B37">
            <w:pPr>
              <w:pStyle w:val="InstructionsText"/>
            </w:pPr>
            <w:r>
              <w:t>Article 4, paragraphe 1, point 114, et article 59 du CRR</w:t>
            </w:r>
          </w:p>
          <w:p w:rsidR="005643EA" w:rsidRPr="00392FFD" w:rsidRDefault="002648B0" w:rsidP="00622B37">
            <w:pPr>
              <w:pStyle w:val="InstructionsText"/>
            </w:pPr>
            <w:r>
              <w:t>L’article 59, point a), du CRR autorise la compensation de positions courtes sur la même exposition sous-jacente, pour autant que l’échéance de la position courte soit identique à celle de la position longue ou que l’échéance résiduelle soit d’au moins un an.</w:t>
            </w:r>
          </w:p>
        </w:tc>
      </w:tr>
      <w:tr w:rsidR="00E81DB9" w:rsidRPr="00392FFD" w:rsidTr="00700DFD">
        <w:tc>
          <w:tcPr>
            <w:tcW w:w="1506" w:type="dxa"/>
          </w:tcPr>
          <w:p w:rsidR="00E81DB9" w:rsidRPr="00392FFD" w:rsidRDefault="00E81DB9" w:rsidP="00622B37">
            <w:pPr>
              <w:pStyle w:val="InstructionsText"/>
            </w:pPr>
            <w:r>
              <w:t>571</w:t>
            </w:r>
          </w:p>
        </w:tc>
        <w:tc>
          <w:tcPr>
            <w:tcW w:w="7243" w:type="dxa"/>
          </w:tcPr>
          <w:p w:rsidR="005643EA" w:rsidRPr="00201704" w:rsidRDefault="00E81DB9" w:rsidP="00622B37">
            <w:pPr>
              <w:pStyle w:val="InstructionsText"/>
            </w:pPr>
            <w:r>
              <w:rPr>
                <w:rStyle w:val="InstructionsTabelleberschrift"/>
                <w:rFonts w:ascii="Times New Roman" w:hAnsi="Times New Roman"/>
                <w:sz w:val="24"/>
              </w:rPr>
              <w:t>16.3</w:t>
            </w:r>
            <w:r>
              <w:tab/>
            </w:r>
            <w:r>
              <w:rPr>
                <w:rStyle w:val="InstructionsTabelleberschrift"/>
                <w:rFonts w:ascii="Times New Roman" w:hAnsi="Times New Roman"/>
                <w:sz w:val="24"/>
              </w:rPr>
              <w:t>Détentions synthétiques de fonds propres AT1 d'entités du secteur financier lorsque l'établissement détient un investissement important</w:t>
            </w:r>
          </w:p>
          <w:p w:rsidR="005643EA" w:rsidRPr="00201704" w:rsidRDefault="00E81DB9" w:rsidP="00622B37">
            <w:pPr>
              <w:pStyle w:val="InstructionsText"/>
              <w:rPr>
                <w:rStyle w:val="InstructionsTabelleberschrift"/>
                <w:rFonts w:ascii="Times New Roman" w:hAnsi="Times New Roman"/>
                <w:b w:val="0"/>
                <w:bCs w:val="0"/>
                <w:sz w:val="24"/>
                <w:u w:val="none"/>
              </w:rPr>
            </w:pPr>
            <w:r>
              <w:t>Article 4, paragraphe 1, point 126, et articles 58 et 59 du CRR.</w:t>
            </w:r>
          </w:p>
        </w:tc>
      </w:tr>
      <w:tr w:rsidR="00E81DB9" w:rsidRPr="00392FFD" w:rsidTr="00700DFD">
        <w:tc>
          <w:tcPr>
            <w:tcW w:w="1506" w:type="dxa"/>
          </w:tcPr>
          <w:p w:rsidR="00E81DB9" w:rsidRPr="00392FFD" w:rsidRDefault="00E81DB9" w:rsidP="00622B37">
            <w:pPr>
              <w:pStyle w:val="InstructionsText"/>
            </w:pPr>
            <w:r>
              <w:t>572</w:t>
            </w:r>
          </w:p>
        </w:tc>
        <w:tc>
          <w:tcPr>
            <w:tcW w:w="7243" w:type="dxa"/>
          </w:tcPr>
          <w:p w:rsidR="005643EA" w:rsidRPr="00201704" w:rsidRDefault="00E81DB9" w:rsidP="00622B37">
            <w:pPr>
              <w:pStyle w:val="InstructionsText"/>
            </w:pPr>
            <w:r>
              <w:rPr>
                <w:rStyle w:val="InstructionsTabelleberschrift"/>
                <w:rFonts w:ascii="Times New Roman" w:hAnsi="Times New Roman"/>
                <w:sz w:val="24"/>
              </w:rPr>
              <w:t>16.3.1</w:t>
            </w:r>
            <w:r>
              <w:tab/>
            </w:r>
            <w:r>
              <w:rPr>
                <w:rStyle w:val="InstructionsTabelleberschrift"/>
                <w:rFonts w:ascii="Times New Roman" w:hAnsi="Times New Roman"/>
                <w:sz w:val="24"/>
              </w:rPr>
              <w:t>Détentions synthétiques brutes de fonds propres AT1 d'ent</w:t>
            </w:r>
            <w:r>
              <w:rPr>
                <w:rStyle w:val="InstructionsTabelleberschrift"/>
                <w:rFonts w:ascii="Times New Roman" w:hAnsi="Times New Roman"/>
                <w:sz w:val="24"/>
              </w:rPr>
              <w:t>i</w:t>
            </w:r>
            <w:r>
              <w:rPr>
                <w:rStyle w:val="InstructionsTabelleberschrift"/>
                <w:rFonts w:ascii="Times New Roman" w:hAnsi="Times New Roman"/>
                <w:sz w:val="24"/>
              </w:rPr>
              <w:t>tés du secteur financier lorsque l'établissement détient un investi</w:t>
            </w:r>
            <w:r>
              <w:rPr>
                <w:rStyle w:val="InstructionsTabelleberschrift"/>
                <w:rFonts w:ascii="Times New Roman" w:hAnsi="Times New Roman"/>
                <w:sz w:val="24"/>
              </w:rPr>
              <w:t>s</w:t>
            </w:r>
            <w:r>
              <w:rPr>
                <w:rStyle w:val="InstructionsTabelleberschrift"/>
                <w:rFonts w:ascii="Times New Roman" w:hAnsi="Times New Roman"/>
                <w:sz w:val="24"/>
              </w:rPr>
              <w:t>sement important</w:t>
            </w:r>
          </w:p>
          <w:p w:rsidR="005643EA" w:rsidRPr="00201704" w:rsidRDefault="00E81DB9" w:rsidP="00622B37">
            <w:pPr>
              <w:pStyle w:val="InstructionsText"/>
              <w:rPr>
                <w:rStyle w:val="InstructionsTabelleberschrift"/>
                <w:rFonts w:ascii="Times New Roman" w:hAnsi="Times New Roman"/>
                <w:b w:val="0"/>
                <w:bCs w:val="0"/>
                <w:sz w:val="24"/>
                <w:u w:val="none"/>
              </w:rPr>
            </w:pPr>
            <w:r>
              <w:t>Article 4, paragraphe 1, point 126, et articles 58 et 59 du CRR.</w:t>
            </w:r>
          </w:p>
        </w:tc>
      </w:tr>
      <w:tr w:rsidR="00E81DB9" w:rsidRPr="00392FFD" w:rsidTr="00700DFD">
        <w:tc>
          <w:tcPr>
            <w:tcW w:w="1506" w:type="dxa"/>
          </w:tcPr>
          <w:p w:rsidR="00E81DB9" w:rsidRPr="00392FFD" w:rsidRDefault="00E81DB9" w:rsidP="00622B37">
            <w:pPr>
              <w:pStyle w:val="InstructionsText"/>
            </w:pPr>
            <w:r>
              <w:t>573</w:t>
            </w:r>
          </w:p>
        </w:tc>
        <w:tc>
          <w:tcPr>
            <w:tcW w:w="7243" w:type="dxa"/>
          </w:tcPr>
          <w:p w:rsidR="005643EA" w:rsidRPr="00201704" w:rsidRDefault="00E81DB9" w:rsidP="00622B37">
            <w:pPr>
              <w:pStyle w:val="InstructionsText"/>
            </w:pPr>
            <w:r>
              <w:rPr>
                <w:rStyle w:val="InstructionsTabelleberschrift"/>
                <w:rFonts w:ascii="Times New Roman" w:hAnsi="Times New Roman"/>
                <w:sz w:val="24"/>
              </w:rPr>
              <w:t>16.3.2</w:t>
            </w:r>
            <w:r>
              <w:tab/>
            </w:r>
            <w:r>
              <w:rPr>
                <w:rStyle w:val="InstructionsTabelleberschrift"/>
                <w:rFonts w:ascii="Times New Roman" w:hAnsi="Times New Roman"/>
                <w:sz w:val="24"/>
              </w:rPr>
              <w:t>(-) Positions courtes compensatoires autorisées par rapport aux détentions brutes synthétiques figurant ci-dessus</w:t>
            </w:r>
          </w:p>
          <w:p w:rsidR="005643EA" w:rsidRPr="00201704" w:rsidRDefault="00E81DB9" w:rsidP="00622B37">
            <w:pPr>
              <w:pStyle w:val="InstructionsText"/>
              <w:rPr>
                <w:rStyle w:val="InstructionsTabelleberschrift"/>
                <w:rFonts w:ascii="Times New Roman" w:hAnsi="Times New Roman"/>
                <w:b w:val="0"/>
                <w:bCs w:val="0"/>
                <w:sz w:val="24"/>
                <w:u w:val="none"/>
              </w:rPr>
            </w:pPr>
            <w:r>
              <w:t>Article 4, paragraphe 1, point 126, et article 59 du CRR</w:t>
            </w:r>
          </w:p>
        </w:tc>
      </w:tr>
      <w:tr w:rsidR="002648B0" w:rsidRPr="00392FFD" w:rsidTr="00700DFD">
        <w:tc>
          <w:tcPr>
            <w:tcW w:w="1506" w:type="dxa"/>
          </w:tcPr>
          <w:p w:rsidR="002648B0" w:rsidRPr="00392FFD" w:rsidRDefault="002648B0" w:rsidP="00622B37">
            <w:pPr>
              <w:pStyle w:val="InstructionsText"/>
            </w:pPr>
            <w:r>
              <w:lastRenderedPageBreak/>
              <w:t>580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17 Détentions de fonds propres T2 d’entités du secteur financier dans lesquelles l'établissement détient un investissement important, nettes des positions courtes</w:t>
            </w:r>
          </w:p>
          <w:p w:rsidR="005643EA" w:rsidRPr="00392FFD" w:rsidRDefault="002648B0" w:rsidP="00622B37">
            <w:pPr>
              <w:pStyle w:val="InstructionsText"/>
            </w:pPr>
            <w:r>
              <w:t>Articles 68 et 69 du CRR</w:t>
            </w:r>
          </w:p>
        </w:tc>
      </w:tr>
      <w:tr w:rsidR="002648B0" w:rsidRPr="00392FFD" w:rsidTr="00700DFD">
        <w:tc>
          <w:tcPr>
            <w:tcW w:w="1506" w:type="dxa"/>
          </w:tcPr>
          <w:p w:rsidR="002648B0" w:rsidRPr="00392FFD" w:rsidRDefault="002648B0" w:rsidP="00622B37">
            <w:pPr>
              <w:pStyle w:val="InstructionsText"/>
            </w:pPr>
            <w:r>
              <w:t>590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17.1</w:t>
            </w:r>
            <w:r>
              <w:tab/>
            </w:r>
            <w:r>
              <w:rPr>
                <w:rStyle w:val="InstructionsTabelleberschrift"/>
                <w:rFonts w:ascii="Times New Roman" w:hAnsi="Times New Roman"/>
                <w:sz w:val="24"/>
              </w:rPr>
              <w:t>Détentions directes de fonds propres T2 d'entités du secteur financier lorsque l'établissement détient un investissement impo</w:t>
            </w:r>
            <w:r>
              <w:rPr>
                <w:rStyle w:val="InstructionsTabelleberschrift"/>
                <w:rFonts w:ascii="Times New Roman" w:hAnsi="Times New Roman"/>
                <w:sz w:val="24"/>
              </w:rPr>
              <w:t>r</w:t>
            </w:r>
            <w:r>
              <w:rPr>
                <w:rStyle w:val="InstructionsTabelleberschrift"/>
                <w:rFonts w:ascii="Times New Roman" w:hAnsi="Times New Roman"/>
                <w:sz w:val="24"/>
              </w:rPr>
              <w:t>tant</w:t>
            </w:r>
          </w:p>
          <w:p w:rsidR="005643EA" w:rsidRPr="00392FFD" w:rsidRDefault="002648B0" w:rsidP="00622B37">
            <w:pPr>
              <w:pStyle w:val="InstructionsText"/>
            </w:pPr>
            <w:r>
              <w:t>Articles 68 et 69 du CRR</w:t>
            </w:r>
          </w:p>
        </w:tc>
      </w:tr>
      <w:tr w:rsidR="002648B0" w:rsidRPr="00392FFD" w:rsidTr="00700DFD">
        <w:tc>
          <w:tcPr>
            <w:tcW w:w="1506" w:type="dxa"/>
          </w:tcPr>
          <w:p w:rsidR="002648B0" w:rsidRPr="00392FFD" w:rsidRDefault="002648B0" w:rsidP="00622B37">
            <w:pPr>
              <w:pStyle w:val="InstructionsText"/>
            </w:pPr>
            <w:r>
              <w:t>600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17.1.1</w:t>
            </w:r>
            <w:r>
              <w:tab/>
            </w:r>
            <w:r>
              <w:rPr>
                <w:rStyle w:val="InstructionsTabelleberschrift"/>
                <w:rFonts w:ascii="Times New Roman" w:hAnsi="Times New Roman"/>
                <w:sz w:val="24"/>
              </w:rPr>
              <w:t>Détentions directes brutes de fonds propres T2 d'entités du secteur financier lorsque l'établissement détient un investissement important</w:t>
            </w:r>
          </w:p>
          <w:p w:rsidR="005643EA" w:rsidRPr="00392FFD" w:rsidRDefault="002648B0" w:rsidP="00622B37">
            <w:pPr>
              <w:pStyle w:val="InstructionsText"/>
            </w:pPr>
            <w:r>
              <w:t>Article 68 du CRR</w:t>
            </w:r>
          </w:p>
          <w:p w:rsidR="005643EA" w:rsidRPr="00392FFD" w:rsidRDefault="002648B0" w:rsidP="00622B37">
            <w:pPr>
              <w:pStyle w:val="InstructionsText"/>
            </w:pPr>
            <w:r>
              <w:t>Détentions directes d’instruments de fonds propres de catégorie 2 d’entités du secteur financier dans lesquelles l’établissement possède un investissement important, à l’exclusion:</w:t>
            </w:r>
          </w:p>
          <w:p w:rsidR="005643EA" w:rsidRPr="00392FFD" w:rsidRDefault="002648B0" w:rsidP="00622B37">
            <w:pPr>
              <w:pStyle w:val="InstructionsText"/>
            </w:pPr>
            <w:r>
              <w:t>a)</w:t>
            </w:r>
            <w:r>
              <w:tab/>
              <w:t>des positions de prise ferme détenues pendant cinq jours o</w:t>
            </w:r>
            <w:r>
              <w:t>u</w:t>
            </w:r>
            <w:r>
              <w:t xml:space="preserve">vrables ou moins (article 66, point d)); et </w:t>
            </w:r>
          </w:p>
          <w:p w:rsidR="005643EA" w:rsidRPr="00392FFD" w:rsidRDefault="002648B0" w:rsidP="00A4319E">
            <w:pPr>
              <w:pStyle w:val="InstructionsText"/>
            </w:pPr>
            <w:r>
              <w:t>b)</w:t>
            </w:r>
            <w:r>
              <w:tab/>
              <w:t>des détentions traitées comme des détentions croisées conform</w:t>
            </w:r>
            <w:r>
              <w:t>é</w:t>
            </w:r>
            <w:r>
              <w:t>ment à l'article 66, point b), du CRR.</w:t>
            </w:r>
          </w:p>
        </w:tc>
      </w:tr>
      <w:tr w:rsidR="002648B0" w:rsidRPr="00392FFD" w:rsidTr="00700DFD">
        <w:tc>
          <w:tcPr>
            <w:tcW w:w="1506" w:type="dxa"/>
          </w:tcPr>
          <w:p w:rsidR="002648B0" w:rsidRPr="00392FFD" w:rsidRDefault="002648B0" w:rsidP="00622B37">
            <w:pPr>
              <w:pStyle w:val="InstructionsText"/>
            </w:pPr>
            <w:r>
              <w:t>610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17.1.2</w:t>
            </w:r>
            <w:r>
              <w:tab/>
            </w:r>
            <w:r>
              <w:rPr>
                <w:rStyle w:val="InstructionsTabelleberschrift"/>
                <w:rFonts w:ascii="Times New Roman" w:hAnsi="Times New Roman"/>
                <w:sz w:val="24"/>
              </w:rPr>
              <w:t>(-) Positions courtes compensatoires autorisées par rapport aux détentions brutes directes figurant ci-dessus</w:t>
            </w:r>
          </w:p>
          <w:p w:rsidR="005643EA" w:rsidRPr="00392FFD" w:rsidRDefault="002648B0" w:rsidP="00622B37">
            <w:pPr>
              <w:pStyle w:val="InstructionsText"/>
            </w:pPr>
            <w:r>
              <w:t>Article 69 du CRR</w:t>
            </w:r>
          </w:p>
          <w:p w:rsidR="005643EA" w:rsidRPr="00392FFD" w:rsidRDefault="002648B0" w:rsidP="00622B37">
            <w:pPr>
              <w:pStyle w:val="InstructionsText"/>
            </w:pPr>
            <w:r>
              <w:t>L’article 69, point a), du CRR autorise la compensation de positions courtes sur la même exposition sous-jacente, pour autant que l’échéance de la position courte soit identique à celle de la position longue ou que l’échéance résiduelle soit d’au moins un an.</w:t>
            </w:r>
          </w:p>
        </w:tc>
      </w:tr>
      <w:tr w:rsidR="002648B0" w:rsidRPr="00392FFD" w:rsidTr="00700DFD">
        <w:tc>
          <w:tcPr>
            <w:tcW w:w="1506" w:type="dxa"/>
          </w:tcPr>
          <w:p w:rsidR="002648B0" w:rsidRPr="00392FFD" w:rsidRDefault="002648B0" w:rsidP="00622B37">
            <w:pPr>
              <w:pStyle w:val="InstructionsText"/>
            </w:pPr>
            <w:r>
              <w:t>620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17.2</w:t>
            </w:r>
            <w:r>
              <w:tab/>
            </w:r>
            <w:r>
              <w:rPr>
                <w:rStyle w:val="InstructionsTabelleberschrift"/>
                <w:rFonts w:ascii="Times New Roman" w:hAnsi="Times New Roman"/>
                <w:sz w:val="24"/>
              </w:rPr>
              <w:t>Détentions indirectes de fonds propres T2 d'entités du se</w:t>
            </w:r>
            <w:r>
              <w:rPr>
                <w:rStyle w:val="InstructionsTabelleberschrift"/>
                <w:rFonts w:ascii="Times New Roman" w:hAnsi="Times New Roman"/>
                <w:sz w:val="24"/>
              </w:rPr>
              <w:t>c</w:t>
            </w:r>
            <w:r>
              <w:rPr>
                <w:rStyle w:val="InstructionsTabelleberschrift"/>
                <w:rFonts w:ascii="Times New Roman" w:hAnsi="Times New Roman"/>
                <w:sz w:val="24"/>
              </w:rPr>
              <w:t>teur financier lorsque l'établissement détient un investissement i</w:t>
            </w:r>
            <w:r>
              <w:rPr>
                <w:rStyle w:val="InstructionsTabelleberschrift"/>
                <w:rFonts w:ascii="Times New Roman" w:hAnsi="Times New Roman"/>
                <w:sz w:val="24"/>
              </w:rPr>
              <w:t>m</w:t>
            </w:r>
            <w:r>
              <w:rPr>
                <w:rStyle w:val="InstructionsTabelleberschrift"/>
                <w:rFonts w:ascii="Times New Roman" w:hAnsi="Times New Roman"/>
                <w:sz w:val="24"/>
              </w:rPr>
              <w:t>portant</w:t>
            </w:r>
          </w:p>
          <w:p w:rsidR="005643EA" w:rsidRPr="00392FFD" w:rsidRDefault="002648B0" w:rsidP="00622B37">
            <w:pPr>
              <w:pStyle w:val="InstructionsText"/>
            </w:pPr>
            <w:r>
              <w:t>Article 4, paragraphe 1, point 114, et articles 68 et 69 du CRR.</w:t>
            </w:r>
          </w:p>
        </w:tc>
      </w:tr>
      <w:tr w:rsidR="002648B0" w:rsidRPr="00392FFD" w:rsidTr="00700DFD">
        <w:tc>
          <w:tcPr>
            <w:tcW w:w="1506" w:type="dxa"/>
          </w:tcPr>
          <w:p w:rsidR="002648B0" w:rsidRPr="00392FFD" w:rsidRDefault="002648B0" w:rsidP="00622B37">
            <w:pPr>
              <w:pStyle w:val="InstructionsText"/>
            </w:pPr>
            <w:r>
              <w:t>630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17.2.1</w:t>
            </w:r>
            <w:r>
              <w:tab/>
            </w:r>
            <w:r>
              <w:rPr>
                <w:rStyle w:val="InstructionsTabelleberschrift"/>
                <w:rFonts w:ascii="Times New Roman" w:hAnsi="Times New Roman"/>
                <w:sz w:val="24"/>
              </w:rPr>
              <w:t>Détentions indirectes brutes de fonds propres T2 d'entités du secteur financier lorsque l'établissement détient un investissement important</w:t>
            </w:r>
          </w:p>
          <w:p w:rsidR="005643EA" w:rsidRPr="00392FFD" w:rsidRDefault="002648B0" w:rsidP="00622B37">
            <w:pPr>
              <w:pStyle w:val="InstructionsText"/>
            </w:pPr>
            <w:r>
              <w:t>Article 4, paragraphe 1, point 114, et articles 68 et 69 du CRR.</w:t>
            </w:r>
          </w:p>
          <w:p w:rsidR="005643EA" w:rsidRPr="00392FFD" w:rsidRDefault="002648B0" w:rsidP="00622B37">
            <w:pPr>
              <w:pStyle w:val="InstructionsText"/>
            </w:pPr>
            <w:r>
              <w:t>Le montant à déclarer correspond aux détentions indirectes dans le po</w:t>
            </w:r>
            <w:r>
              <w:t>r</w:t>
            </w:r>
            <w:r>
              <w:t>tefeuille de négociation d’instruments de capital d’entités du secteur f</w:t>
            </w:r>
            <w:r>
              <w:t>i</w:t>
            </w:r>
            <w:r>
              <w:t>nancier qui prennent la forme de détentions dans des titres indiciels. On obtient ce montant en calculant l’exposition sous-jacente sur les instr</w:t>
            </w:r>
            <w:r>
              <w:t>u</w:t>
            </w:r>
            <w:r>
              <w:t>ments de capital des entités du secteur financier faisant partie de ces i</w:t>
            </w:r>
            <w:r>
              <w:t>n</w:t>
            </w:r>
            <w:r>
              <w:t>dices.</w:t>
            </w:r>
          </w:p>
          <w:p w:rsidR="005643EA" w:rsidRPr="00392FFD" w:rsidRDefault="002648B0" w:rsidP="00622B37">
            <w:pPr>
              <w:pStyle w:val="InstructionsText"/>
            </w:pPr>
            <w:r>
              <w:t>Les détentions traitées comme des détentions croisées conformément à l’article 66, point b), du CRR ne seront pas incluses.</w:t>
            </w:r>
          </w:p>
        </w:tc>
      </w:tr>
      <w:tr w:rsidR="002648B0" w:rsidRPr="00392FFD" w:rsidTr="00700DFD">
        <w:tc>
          <w:tcPr>
            <w:tcW w:w="1506" w:type="dxa"/>
          </w:tcPr>
          <w:p w:rsidR="002648B0" w:rsidRPr="00392FFD" w:rsidRDefault="002648B0" w:rsidP="00622B37">
            <w:pPr>
              <w:pStyle w:val="InstructionsText"/>
            </w:pPr>
            <w:r>
              <w:lastRenderedPageBreak/>
              <w:t>640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17.2.2</w:t>
            </w:r>
            <w:r>
              <w:tab/>
            </w:r>
            <w:r>
              <w:rPr>
                <w:rStyle w:val="InstructionsTabelleberschrift"/>
                <w:rFonts w:ascii="Times New Roman" w:hAnsi="Times New Roman"/>
                <w:sz w:val="24"/>
              </w:rPr>
              <w:t>(-) Positions courtes compensatoires autorisées par rapport aux détentions brutes indirectes figurant ci-dessus</w:t>
            </w:r>
          </w:p>
          <w:p w:rsidR="005643EA" w:rsidRPr="00392FFD" w:rsidRDefault="002648B0" w:rsidP="00622B37">
            <w:pPr>
              <w:pStyle w:val="InstructionsText"/>
            </w:pPr>
            <w:r>
              <w:t>Article 4, paragraphe 1, point 114, et article 69 du CRR</w:t>
            </w:r>
          </w:p>
          <w:p w:rsidR="005643EA" w:rsidRPr="00392FFD" w:rsidRDefault="002648B0" w:rsidP="00622B37">
            <w:pPr>
              <w:pStyle w:val="InstructionsText"/>
            </w:pPr>
            <w:r>
              <w:t>L’article 69, point a), du CRR autorise la compensation de positions courtes sur la même exposition sous-jacente, pour autant que l’échéance de la position courte soit identique à celle de la position longue ou que l’échéance résiduelle soit d’au moins un an.</w:t>
            </w:r>
          </w:p>
        </w:tc>
      </w:tr>
      <w:tr w:rsidR="002648B0" w:rsidRPr="00392FFD" w:rsidTr="00700DFD">
        <w:tc>
          <w:tcPr>
            <w:tcW w:w="1506" w:type="dxa"/>
          </w:tcPr>
          <w:p w:rsidR="002648B0" w:rsidRPr="00392FFD" w:rsidRDefault="002648B0" w:rsidP="00622B37">
            <w:pPr>
              <w:pStyle w:val="InstructionsText"/>
            </w:pPr>
            <w:r>
              <w:t>641</w:t>
            </w:r>
          </w:p>
        </w:tc>
        <w:tc>
          <w:tcPr>
            <w:tcW w:w="7243" w:type="dxa"/>
            <w:vAlign w:val="center"/>
          </w:tcPr>
          <w:p w:rsidR="005643EA" w:rsidRPr="00201704" w:rsidRDefault="002648B0" w:rsidP="00622B37">
            <w:pPr>
              <w:pStyle w:val="InstructionsText"/>
            </w:pPr>
            <w:r>
              <w:rPr>
                <w:rStyle w:val="InstructionsTabelleberschrift"/>
                <w:rFonts w:ascii="Times New Roman" w:hAnsi="Times New Roman"/>
                <w:sz w:val="24"/>
              </w:rPr>
              <w:t>17.3</w:t>
            </w:r>
            <w:r>
              <w:tab/>
            </w:r>
            <w:r>
              <w:rPr>
                <w:rStyle w:val="InstructionsTabelleberschrift"/>
                <w:rFonts w:ascii="Times New Roman" w:hAnsi="Times New Roman"/>
                <w:sz w:val="24"/>
              </w:rPr>
              <w:t>Détentions synthétiques de fonds propres T2 d'entités du se</w:t>
            </w:r>
            <w:r>
              <w:rPr>
                <w:rStyle w:val="InstructionsTabelleberschrift"/>
                <w:rFonts w:ascii="Times New Roman" w:hAnsi="Times New Roman"/>
                <w:sz w:val="24"/>
              </w:rPr>
              <w:t>c</w:t>
            </w:r>
            <w:r>
              <w:rPr>
                <w:rStyle w:val="InstructionsTabelleberschrift"/>
                <w:rFonts w:ascii="Times New Roman" w:hAnsi="Times New Roman"/>
                <w:sz w:val="24"/>
              </w:rPr>
              <w:t>teur financier lorsque l'établissement détient un investissement i</w:t>
            </w:r>
            <w:r>
              <w:rPr>
                <w:rStyle w:val="InstructionsTabelleberschrift"/>
                <w:rFonts w:ascii="Times New Roman" w:hAnsi="Times New Roman"/>
                <w:sz w:val="24"/>
              </w:rPr>
              <w:t>m</w:t>
            </w:r>
            <w:r>
              <w:rPr>
                <w:rStyle w:val="InstructionsTabelleberschrift"/>
                <w:rFonts w:ascii="Times New Roman" w:hAnsi="Times New Roman"/>
                <w:sz w:val="24"/>
              </w:rPr>
              <w:t>portant</w:t>
            </w:r>
          </w:p>
          <w:p w:rsidR="005643EA" w:rsidRPr="00201704" w:rsidRDefault="00805255" w:rsidP="00622B37">
            <w:pPr>
              <w:pStyle w:val="InstructionsText"/>
              <w:rPr>
                <w:rStyle w:val="InstructionsTabelleberschrift"/>
                <w:rFonts w:ascii="Times New Roman" w:hAnsi="Times New Roman"/>
                <w:b w:val="0"/>
                <w:bCs w:val="0"/>
                <w:sz w:val="24"/>
                <w:u w:val="none"/>
              </w:rPr>
            </w:pPr>
            <w:r>
              <w:t>Article 4, paragraphe 1, point 126, et articles 68 et 69 du CRR.</w:t>
            </w:r>
          </w:p>
        </w:tc>
      </w:tr>
      <w:tr w:rsidR="002648B0" w:rsidRPr="00392FFD" w:rsidTr="00700DFD">
        <w:tc>
          <w:tcPr>
            <w:tcW w:w="1506" w:type="dxa"/>
          </w:tcPr>
          <w:p w:rsidR="002648B0" w:rsidRPr="00392FFD" w:rsidRDefault="002648B0" w:rsidP="00622B37">
            <w:pPr>
              <w:pStyle w:val="InstructionsText"/>
            </w:pPr>
            <w:r>
              <w:t>642</w:t>
            </w:r>
          </w:p>
        </w:tc>
        <w:tc>
          <w:tcPr>
            <w:tcW w:w="7243" w:type="dxa"/>
            <w:vAlign w:val="center"/>
          </w:tcPr>
          <w:p w:rsidR="005643EA" w:rsidRPr="00201704" w:rsidRDefault="002648B0" w:rsidP="00622B37">
            <w:pPr>
              <w:pStyle w:val="InstructionsText"/>
            </w:pPr>
            <w:r>
              <w:rPr>
                <w:rStyle w:val="InstructionsTabelleberschrift"/>
                <w:rFonts w:ascii="Times New Roman" w:hAnsi="Times New Roman"/>
                <w:sz w:val="24"/>
              </w:rPr>
              <w:t>17.3.1</w:t>
            </w:r>
            <w:r>
              <w:tab/>
            </w:r>
            <w:r>
              <w:rPr>
                <w:rStyle w:val="InstructionsTabelleberschrift"/>
                <w:rFonts w:ascii="Times New Roman" w:hAnsi="Times New Roman"/>
                <w:sz w:val="24"/>
              </w:rPr>
              <w:t>Détentions synthétiques brutes de fonds propres T2 d'entités du secteur financier lorsque l'établissement détient un investiss</w:t>
            </w:r>
            <w:r>
              <w:rPr>
                <w:rStyle w:val="InstructionsTabelleberschrift"/>
                <w:rFonts w:ascii="Times New Roman" w:hAnsi="Times New Roman"/>
                <w:sz w:val="24"/>
              </w:rPr>
              <w:t>e</w:t>
            </w:r>
            <w:r>
              <w:rPr>
                <w:rStyle w:val="InstructionsTabelleberschrift"/>
                <w:rFonts w:ascii="Times New Roman" w:hAnsi="Times New Roman"/>
                <w:sz w:val="24"/>
              </w:rPr>
              <w:t>ment important</w:t>
            </w:r>
          </w:p>
          <w:p w:rsidR="005643EA" w:rsidRPr="00201704" w:rsidRDefault="00805255" w:rsidP="00622B37">
            <w:pPr>
              <w:pStyle w:val="InstructionsText"/>
              <w:rPr>
                <w:rStyle w:val="InstructionsTabelleberschrift"/>
                <w:rFonts w:ascii="Times New Roman" w:hAnsi="Times New Roman"/>
                <w:b w:val="0"/>
                <w:bCs w:val="0"/>
                <w:sz w:val="24"/>
                <w:u w:val="none"/>
              </w:rPr>
            </w:pPr>
            <w:r>
              <w:t>Article 4, paragraphe 1, point 126, et articles 68 et 69 du CRR.</w:t>
            </w:r>
          </w:p>
        </w:tc>
      </w:tr>
      <w:tr w:rsidR="002648B0" w:rsidRPr="00392FFD" w:rsidTr="00700DFD">
        <w:tc>
          <w:tcPr>
            <w:tcW w:w="1506" w:type="dxa"/>
          </w:tcPr>
          <w:p w:rsidR="002648B0" w:rsidRPr="00392FFD" w:rsidRDefault="002648B0" w:rsidP="00622B37">
            <w:pPr>
              <w:pStyle w:val="InstructionsText"/>
            </w:pPr>
            <w:r>
              <w:t>643</w:t>
            </w:r>
          </w:p>
        </w:tc>
        <w:tc>
          <w:tcPr>
            <w:tcW w:w="7243" w:type="dxa"/>
            <w:vAlign w:val="center"/>
          </w:tcPr>
          <w:p w:rsidR="005643EA" w:rsidRPr="00201704" w:rsidRDefault="002648B0" w:rsidP="00622B37">
            <w:pPr>
              <w:pStyle w:val="InstructionsText"/>
            </w:pPr>
            <w:r>
              <w:rPr>
                <w:rStyle w:val="InstructionsTabelleberschrift"/>
                <w:rFonts w:ascii="Times New Roman" w:hAnsi="Times New Roman"/>
                <w:sz w:val="24"/>
              </w:rPr>
              <w:t>17.3.2</w:t>
            </w:r>
            <w:r>
              <w:tab/>
            </w:r>
            <w:r>
              <w:rPr>
                <w:rStyle w:val="InstructionsTabelleberschrift"/>
                <w:rFonts w:ascii="Times New Roman" w:hAnsi="Times New Roman"/>
                <w:sz w:val="24"/>
              </w:rPr>
              <w:t>(-) Positions courtes compensatoires autorisées par rapport aux détentions brutes synthétiques figurant ci-dessus</w:t>
            </w:r>
          </w:p>
          <w:p w:rsidR="005643EA" w:rsidRPr="00201704" w:rsidRDefault="00805255" w:rsidP="00622B37">
            <w:pPr>
              <w:pStyle w:val="InstructionsText"/>
              <w:rPr>
                <w:rStyle w:val="InstructionsTabelleberschrift"/>
                <w:rFonts w:ascii="Times New Roman" w:hAnsi="Times New Roman"/>
                <w:b w:val="0"/>
                <w:bCs w:val="0"/>
                <w:sz w:val="24"/>
                <w:u w:val="none"/>
              </w:rPr>
            </w:pPr>
            <w:r>
              <w:t>Article 4, paragraphe 1, point 126, et article 69 du CRR</w:t>
            </w:r>
          </w:p>
        </w:tc>
      </w:tr>
      <w:tr w:rsidR="002648B0" w:rsidRPr="00392FFD" w:rsidTr="00700DFD">
        <w:tc>
          <w:tcPr>
            <w:tcW w:w="1506" w:type="dxa"/>
          </w:tcPr>
          <w:p w:rsidR="002648B0" w:rsidRPr="00392FFD" w:rsidRDefault="002648B0" w:rsidP="00622B37">
            <w:pPr>
              <w:pStyle w:val="InstructionsText"/>
            </w:pPr>
            <w:r>
              <w:t>650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18 Expositions pondérées des détentions de fonds propres CET1 dans des entités du secteur financier qui ne sont pas déduites des fonds propres CET1 de l'établissement</w:t>
            </w:r>
          </w:p>
          <w:p w:rsidR="005643EA" w:rsidRPr="00392FFD" w:rsidRDefault="002648B0" w:rsidP="00622B37">
            <w:pPr>
              <w:pStyle w:val="InstructionsText"/>
            </w:pPr>
            <w:r>
              <w:t>Article 46, paragraphe 4, article 48, paragraphe 4, et article 49, par</w:t>
            </w:r>
            <w:r>
              <w:t>a</w:t>
            </w:r>
            <w:r>
              <w:t>graphe 4, du CRR</w:t>
            </w:r>
          </w:p>
        </w:tc>
      </w:tr>
      <w:tr w:rsidR="002648B0" w:rsidRPr="00392FFD" w:rsidTr="00700DFD">
        <w:tc>
          <w:tcPr>
            <w:tcW w:w="1506" w:type="dxa"/>
          </w:tcPr>
          <w:p w:rsidR="002648B0" w:rsidRPr="00392FFD" w:rsidRDefault="002648B0" w:rsidP="00622B37">
            <w:pPr>
              <w:pStyle w:val="InstructionsText"/>
            </w:pPr>
            <w:r>
              <w:t>660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19 Expositions pondérées des détentions de fonds propres AT1 dans des entités du secteur financier qui ne sont pas déduites des fonds propres AT1 de l'établissement</w:t>
            </w:r>
          </w:p>
          <w:p w:rsidR="005643EA" w:rsidRPr="00392FFD" w:rsidRDefault="002648B0" w:rsidP="00622B37">
            <w:pPr>
              <w:pStyle w:val="InstructionsText"/>
            </w:pPr>
            <w:r>
              <w:t>Article 60, point 4, du CRR</w:t>
            </w:r>
          </w:p>
        </w:tc>
      </w:tr>
      <w:tr w:rsidR="002648B0" w:rsidRPr="00392FFD" w:rsidTr="00700DFD">
        <w:tc>
          <w:tcPr>
            <w:tcW w:w="1506" w:type="dxa"/>
          </w:tcPr>
          <w:p w:rsidR="002648B0" w:rsidRPr="00392FFD" w:rsidRDefault="002648B0" w:rsidP="00622B37">
            <w:pPr>
              <w:pStyle w:val="InstructionsText"/>
            </w:pPr>
            <w:r>
              <w:t>670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20 Expositions pondérées des détentions de fonds propres T2 dans des entités du secteur financier qui ne sont pas déduites des fonds propres T2 de l'établissement</w:t>
            </w:r>
          </w:p>
          <w:p w:rsidR="005643EA" w:rsidRPr="00392FFD" w:rsidRDefault="002648B0" w:rsidP="00622B37">
            <w:pPr>
              <w:pStyle w:val="InstructionsText"/>
            </w:pPr>
            <w:r>
              <w:t>Article 70, point 4, du CRR</w:t>
            </w:r>
          </w:p>
        </w:tc>
      </w:tr>
      <w:tr w:rsidR="002648B0" w:rsidRPr="00392FFD" w:rsidTr="00700DFD">
        <w:tc>
          <w:tcPr>
            <w:tcW w:w="1506" w:type="dxa"/>
          </w:tcPr>
          <w:p w:rsidR="002648B0" w:rsidRPr="00392FFD" w:rsidRDefault="002648B0" w:rsidP="00622B37">
            <w:pPr>
              <w:pStyle w:val="InstructionsText"/>
            </w:pPr>
            <w:r>
              <w:t>680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21</w:t>
            </w:r>
            <w:r>
              <w:tab/>
            </w:r>
            <w:r>
              <w:rPr>
                <w:rStyle w:val="InstructionsTabelleberschrift"/>
                <w:rFonts w:ascii="Times New Roman" w:hAnsi="Times New Roman"/>
                <w:sz w:val="24"/>
              </w:rPr>
              <w:t>Détentions d'instruments de capital CET1 d'entités du se</w:t>
            </w:r>
            <w:r>
              <w:rPr>
                <w:rStyle w:val="InstructionsTabelleberschrift"/>
                <w:rFonts w:ascii="Times New Roman" w:hAnsi="Times New Roman"/>
                <w:sz w:val="24"/>
              </w:rPr>
              <w:t>c</w:t>
            </w:r>
            <w:r>
              <w:rPr>
                <w:rStyle w:val="InstructionsTabelleberschrift"/>
                <w:rFonts w:ascii="Times New Roman" w:hAnsi="Times New Roman"/>
                <w:sz w:val="24"/>
              </w:rPr>
              <w:t>teur financier lorsque l'établissement ne détient pas d'investissement important faisant l’objet d'une non-application provisoire</w:t>
            </w:r>
          </w:p>
          <w:p w:rsidR="005643EA" w:rsidRPr="00392FFD" w:rsidRDefault="002648B0" w:rsidP="00622B37">
            <w:pPr>
              <w:pStyle w:val="InstructionsText"/>
            </w:pPr>
            <w:r>
              <w:t>Article 79 du CRR</w:t>
            </w:r>
          </w:p>
          <w:p w:rsidR="005643EA" w:rsidRPr="00392FFD" w:rsidRDefault="002648B0" w:rsidP="00622B37">
            <w:pPr>
              <w:pStyle w:val="InstructionsText"/>
            </w:pPr>
            <w:r>
              <w:t>Une autorité compétente peut renoncer provisoirement à appliquer les dispositions en matière de déduction des fonds propres de base de cat</w:t>
            </w:r>
            <w:r>
              <w:t>é</w:t>
            </w:r>
            <w:r>
              <w:t>gorie 1, pour cause de détention d’instruments d’une entité spécifique du secteur financier, lorsque cette autorité estime que ces instruments sont détenus dans le cadre d’une opération d’assistance financière destinée à réorganiser et à sauver cette entité.</w:t>
            </w:r>
          </w:p>
          <w:p w:rsidR="005643EA" w:rsidRPr="00392FFD" w:rsidRDefault="002648B0" w:rsidP="00622B37">
            <w:pPr>
              <w:pStyle w:val="InstructionsText"/>
            </w:pPr>
            <w:r>
              <w:t>Remarque: ces instruments seront également déclarés au poste 12.1.</w:t>
            </w:r>
          </w:p>
        </w:tc>
      </w:tr>
      <w:tr w:rsidR="002648B0" w:rsidRPr="00392FFD" w:rsidTr="00700DFD">
        <w:tc>
          <w:tcPr>
            <w:tcW w:w="1506" w:type="dxa"/>
          </w:tcPr>
          <w:p w:rsidR="002648B0" w:rsidRPr="00392FFD" w:rsidRDefault="002648B0" w:rsidP="00622B37">
            <w:pPr>
              <w:pStyle w:val="InstructionsText"/>
            </w:pPr>
            <w:r>
              <w:lastRenderedPageBreak/>
              <w:t>690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22</w:t>
            </w:r>
            <w:r>
              <w:tab/>
            </w:r>
            <w:r>
              <w:rPr>
                <w:rStyle w:val="InstructionsTabelleberschrift"/>
                <w:rFonts w:ascii="Times New Roman" w:hAnsi="Times New Roman"/>
                <w:sz w:val="24"/>
              </w:rPr>
              <w:t>Détentions d'instruments de capital CET1 d'entités du se</w:t>
            </w:r>
            <w:r>
              <w:rPr>
                <w:rStyle w:val="InstructionsTabelleberschrift"/>
                <w:rFonts w:ascii="Times New Roman" w:hAnsi="Times New Roman"/>
                <w:sz w:val="24"/>
              </w:rPr>
              <w:t>c</w:t>
            </w:r>
            <w:r>
              <w:rPr>
                <w:rStyle w:val="InstructionsTabelleberschrift"/>
                <w:rFonts w:ascii="Times New Roman" w:hAnsi="Times New Roman"/>
                <w:sz w:val="24"/>
              </w:rPr>
              <w:t>teur financier lorsque l'établissement détient un investissement i</w:t>
            </w:r>
            <w:r>
              <w:rPr>
                <w:rStyle w:val="InstructionsTabelleberschrift"/>
                <w:rFonts w:ascii="Times New Roman" w:hAnsi="Times New Roman"/>
                <w:sz w:val="24"/>
              </w:rPr>
              <w:t>m</w:t>
            </w:r>
            <w:r>
              <w:rPr>
                <w:rStyle w:val="InstructionsTabelleberschrift"/>
                <w:rFonts w:ascii="Times New Roman" w:hAnsi="Times New Roman"/>
                <w:sz w:val="24"/>
              </w:rPr>
              <w:t>portant faisant l’objet d'une non-application provisoire</w:t>
            </w:r>
          </w:p>
          <w:p w:rsidR="005643EA" w:rsidRPr="00392FFD" w:rsidRDefault="002648B0" w:rsidP="00622B37">
            <w:pPr>
              <w:pStyle w:val="InstructionsText"/>
            </w:pPr>
            <w:r>
              <w:t>Article 79 du CRR</w:t>
            </w:r>
          </w:p>
          <w:p w:rsidR="005643EA" w:rsidRPr="00392FFD" w:rsidRDefault="002648B0" w:rsidP="00622B37">
            <w:pPr>
              <w:pStyle w:val="InstructionsText"/>
            </w:pPr>
            <w:r>
              <w:t>Une autorité compétente peut renoncer provisoirement à appliquer les dispositions en matière de déduction des fonds propres de base de cat</w:t>
            </w:r>
            <w:r>
              <w:t>é</w:t>
            </w:r>
            <w:r>
              <w:t>gorie 1, pour cause de détention d’instruments d’une entité spécifique du secteur financier, lorsque cette autorité estime que ces instruments sont détenus dans le cadre d’une opération d’assistance financière destinée à réorganiser et à sauver cette entité.</w:t>
            </w:r>
          </w:p>
          <w:p w:rsidR="005643EA" w:rsidRPr="00392FFD" w:rsidRDefault="002648B0" w:rsidP="00622B37">
            <w:pPr>
              <w:pStyle w:val="InstructionsText"/>
            </w:pPr>
            <w:r>
              <w:t>Remarque: ces instruments seront également déclarés au poste 15.1.</w:t>
            </w:r>
          </w:p>
        </w:tc>
      </w:tr>
      <w:tr w:rsidR="002648B0" w:rsidRPr="00392FFD" w:rsidTr="00700DFD">
        <w:tc>
          <w:tcPr>
            <w:tcW w:w="1506" w:type="dxa"/>
          </w:tcPr>
          <w:p w:rsidR="002648B0" w:rsidRPr="00392FFD" w:rsidRDefault="002648B0" w:rsidP="00622B37">
            <w:pPr>
              <w:pStyle w:val="InstructionsText"/>
            </w:pPr>
            <w:r>
              <w:t>700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23</w:t>
            </w:r>
            <w:r>
              <w:tab/>
            </w:r>
            <w:r>
              <w:rPr>
                <w:rStyle w:val="InstructionsTabelleberschrift"/>
                <w:rFonts w:ascii="Times New Roman" w:hAnsi="Times New Roman"/>
                <w:sz w:val="24"/>
              </w:rPr>
              <w:t>Détentions d'instruments de capital AT1 d'entités du secteur financier lorsque l'établissement ne détient pas d'investissement i</w:t>
            </w:r>
            <w:r>
              <w:rPr>
                <w:rStyle w:val="InstructionsTabelleberschrift"/>
                <w:rFonts w:ascii="Times New Roman" w:hAnsi="Times New Roman"/>
                <w:sz w:val="24"/>
              </w:rPr>
              <w:t>m</w:t>
            </w:r>
            <w:r>
              <w:rPr>
                <w:rStyle w:val="InstructionsTabelleberschrift"/>
                <w:rFonts w:ascii="Times New Roman" w:hAnsi="Times New Roman"/>
                <w:sz w:val="24"/>
              </w:rPr>
              <w:t>portant faisant l’objet d’une non-application provisoire</w:t>
            </w:r>
          </w:p>
          <w:p w:rsidR="005643EA" w:rsidRPr="00392FFD" w:rsidRDefault="002648B0" w:rsidP="00622B37">
            <w:pPr>
              <w:pStyle w:val="InstructionsText"/>
            </w:pPr>
            <w:r>
              <w:t>Article 79 du CRR</w:t>
            </w:r>
          </w:p>
          <w:p w:rsidR="005643EA" w:rsidRPr="00392FFD" w:rsidRDefault="002648B0" w:rsidP="00622B37">
            <w:pPr>
              <w:pStyle w:val="InstructionsText"/>
            </w:pPr>
            <w:r>
              <w:t>Une autorité compétente peut renoncer provisoirement à appliquer les dispositions en matière de déduction des fonds propres additionnels de catégorie 1, pour cause de détention d’instruments d’une entité spéc</w:t>
            </w:r>
            <w:r>
              <w:t>i</w:t>
            </w:r>
            <w:r>
              <w:t>fique du secteur financier, lorsque cette autorité estime que ces instr</w:t>
            </w:r>
            <w:r>
              <w:t>u</w:t>
            </w:r>
            <w:r>
              <w:t>ments sont détenus dans le cadre d’une opération d’assistance financière destinée à réorganiser et à sauver cette entité.</w:t>
            </w:r>
          </w:p>
          <w:p w:rsidR="005643EA" w:rsidRPr="00392FFD" w:rsidRDefault="002648B0" w:rsidP="00622B37">
            <w:pPr>
              <w:pStyle w:val="InstructionsText"/>
            </w:pPr>
            <w:r>
              <w:t>Remarque: ces instruments seront également déclarés au poste 13.1.</w:t>
            </w:r>
          </w:p>
        </w:tc>
      </w:tr>
      <w:tr w:rsidR="002648B0" w:rsidRPr="00392FFD" w:rsidTr="00700DFD">
        <w:tc>
          <w:tcPr>
            <w:tcW w:w="1506" w:type="dxa"/>
          </w:tcPr>
          <w:p w:rsidR="002648B0" w:rsidRPr="00392FFD" w:rsidRDefault="002648B0" w:rsidP="00622B37">
            <w:pPr>
              <w:pStyle w:val="InstructionsText"/>
            </w:pPr>
            <w:r>
              <w:t>710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24</w:t>
            </w:r>
            <w:r>
              <w:tab/>
            </w:r>
            <w:r>
              <w:rPr>
                <w:rStyle w:val="InstructionsTabelleberschrift"/>
                <w:rFonts w:ascii="Times New Roman" w:hAnsi="Times New Roman"/>
                <w:sz w:val="24"/>
              </w:rPr>
              <w:t>Détentions d'instruments de capital AT1 d'entités du secteur financier lorsque l'établissement détient un investissement impo</w:t>
            </w:r>
            <w:r>
              <w:rPr>
                <w:rStyle w:val="InstructionsTabelleberschrift"/>
                <w:rFonts w:ascii="Times New Roman" w:hAnsi="Times New Roman"/>
                <w:sz w:val="24"/>
              </w:rPr>
              <w:t>r</w:t>
            </w:r>
            <w:r>
              <w:rPr>
                <w:rStyle w:val="InstructionsTabelleberschrift"/>
                <w:rFonts w:ascii="Times New Roman" w:hAnsi="Times New Roman"/>
                <w:sz w:val="24"/>
              </w:rPr>
              <w:t>tant faisant l'objet d'une non-application provisoire</w:t>
            </w:r>
          </w:p>
          <w:p w:rsidR="005643EA" w:rsidRPr="00392FFD" w:rsidRDefault="002648B0" w:rsidP="00622B37">
            <w:pPr>
              <w:pStyle w:val="InstructionsText"/>
            </w:pPr>
            <w:r>
              <w:t>Article 79 du CRR</w:t>
            </w:r>
          </w:p>
          <w:p w:rsidR="005643EA" w:rsidRPr="00392FFD" w:rsidRDefault="002648B0" w:rsidP="00622B37">
            <w:pPr>
              <w:pStyle w:val="InstructionsText"/>
            </w:pPr>
            <w:r>
              <w:t>Une autorité compétente peut renoncer provisoirement à appliquer les dispositions en matière de déduction des fonds propres additionnels de catégorie 1, pour cause de détention d’instruments d’une entité spéc</w:t>
            </w:r>
            <w:r>
              <w:t>i</w:t>
            </w:r>
            <w:r>
              <w:t>fique du secteur financier, lorsque cette autorité estime que ces instr</w:t>
            </w:r>
            <w:r>
              <w:t>u</w:t>
            </w:r>
            <w:r>
              <w:t>ments sont détenus dans le cadre d’une opération d’assistance financière destinée à réorganiser et à sauver cette entité.</w:t>
            </w:r>
          </w:p>
          <w:p w:rsidR="005643EA" w:rsidRPr="00392FFD" w:rsidRDefault="002648B0" w:rsidP="00622B37">
            <w:pPr>
              <w:pStyle w:val="InstructionsText"/>
            </w:pPr>
            <w:r>
              <w:t>Remarque: ces instruments seront également déclarés au poste 16.1.</w:t>
            </w:r>
          </w:p>
        </w:tc>
      </w:tr>
      <w:tr w:rsidR="002648B0" w:rsidRPr="00392FFD" w:rsidTr="00700DFD">
        <w:tc>
          <w:tcPr>
            <w:tcW w:w="1506" w:type="dxa"/>
          </w:tcPr>
          <w:p w:rsidR="002648B0" w:rsidRPr="00392FFD" w:rsidRDefault="002648B0" w:rsidP="00622B37">
            <w:pPr>
              <w:pStyle w:val="InstructionsText"/>
            </w:pPr>
            <w:r>
              <w:t>720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25</w:t>
            </w:r>
            <w:r>
              <w:tab/>
            </w:r>
            <w:r>
              <w:rPr>
                <w:rStyle w:val="InstructionsTabelleberschrift"/>
                <w:rFonts w:ascii="Times New Roman" w:hAnsi="Times New Roman"/>
                <w:sz w:val="24"/>
              </w:rPr>
              <w:t>Détentions d'instruments de capital T2 d'entités du secteur financier lorsque l'établissement ne détient pas d'investissement i</w:t>
            </w:r>
            <w:r>
              <w:rPr>
                <w:rStyle w:val="InstructionsTabelleberschrift"/>
                <w:rFonts w:ascii="Times New Roman" w:hAnsi="Times New Roman"/>
                <w:sz w:val="24"/>
              </w:rPr>
              <w:t>m</w:t>
            </w:r>
            <w:r>
              <w:rPr>
                <w:rStyle w:val="InstructionsTabelleberschrift"/>
                <w:rFonts w:ascii="Times New Roman" w:hAnsi="Times New Roman"/>
                <w:sz w:val="24"/>
              </w:rPr>
              <w:t>portant faisant l'objet d'une non-application provisoire</w:t>
            </w:r>
          </w:p>
          <w:p w:rsidR="005643EA" w:rsidRPr="00392FFD" w:rsidRDefault="002648B0" w:rsidP="00622B37">
            <w:pPr>
              <w:pStyle w:val="InstructionsText"/>
            </w:pPr>
            <w:r>
              <w:t>Article 79 du CRR</w:t>
            </w:r>
          </w:p>
          <w:p w:rsidR="005643EA" w:rsidRPr="00392FFD" w:rsidRDefault="002648B0" w:rsidP="00622B37">
            <w:pPr>
              <w:pStyle w:val="InstructionsText"/>
            </w:pPr>
            <w:r>
              <w:t>Une autorité compétente peut renoncer provisoirement à appliquer les dispositions en matière de déduction des fonds propres de catégorie 2, pour cause de détention d’instruments d’une entité spécifique du secteur financier, lorsque cette autorité estime que ces instruments sont détenus dans le cadre d’une opération d’assistance financière destinée à réorg</w:t>
            </w:r>
            <w:r>
              <w:t>a</w:t>
            </w:r>
            <w:r>
              <w:t>niser et à sauver cette entité.</w:t>
            </w:r>
          </w:p>
          <w:p w:rsidR="005643EA" w:rsidRPr="00392FFD" w:rsidRDefault="002648B0" w:rsidP="00622B37">
            <w:pPr>
              <w:pStyle w:val="InstructionsText"/>
            </w:pPr>
            <w:r>
              <w:lastRenderedPageBreak/>
              <w:t>Remarque: ces instruments seront également déclarés au poste 14.1.</w:t>
            </w:r>
          </w:p>
        </w:tc>
      </w:tr>
      <w:tr w:rsidR="002648B0" w:rsidRPr="00392FFD" w:rsidTr="00700DFD">
        <w:tc>
          <w:tcPr>
            <w:tcW w:w="1506" w:type="dxa"/>
          </w:tcPr>
          <w:p w:rsidR="002648B0" w:rsidRPr="00392FFD" w:rsidRDefault="002648B0" w:rsidP="00622B37">
            <w:pPr>
              <w:pStyle w:val="InstructionsText"/>
            </w:pPr>
            <w:r>
              <w:lastRenderedPageBreak/>
              <w:t>730</w:t>
            </w:r>
          </w:p>
        </w:tc>
        <w:tc>
          <w:tcPr>
            <w:tcW w:w="7243" w:type="dxa"/>
          </w:tcPr>
          <w:p w:rsidR="005643EA" w:rsidRPr="00201704" w:rsidRDefault="002648B0" w:rsidP="00622B37">
            <w:pPr>
              <w:pStyle w:val="InstructionsText"/>
            </w:pPr>
            <w:r>
              <w:rPr>
                <w:rStyle w:val="InstructionsTabelleberschrift"/>
                <w:rFonts w:ascii="Times New Roman" w:hAnsi="Times New Roman"/>
                <w:sz w:val="24"/>
              </w:rPr>
              <w:t>26</w:t>
            </w:r>
            <w:r>
              <w:tab/>
            </w:r>
            <w:r>
              <w:rPr>
                <w:rStyle w:val="InstructionsTabelleberschrift"/>
                <w:rFonts w:ascii="Times New Roman" w:hAnsi="Times New Roman"/>
                <w:sz w:val="24"/>
              </w:rPr>
              <w:t>Détentions d'instruments de capital T2 d'entités du secteur financier lorsque l'établissement détient un investissement impo</w:t>
            </w:r>
            <w:r>
              <w:rPr>
                <w:rStyle w:val="InstructionsTabelleberschrift"/>
                <w:rFonts w:ascii="Times New Roman" w:hAnsi="Times New Roman"/>
                <w:sz w:val="24"/>
              </w:rPr>
              <w:t>r</w:t>
            </w:r>
            <w:r>
              <w:rPr>
                <w:rStyle w:val="InstructionsTabelleberschrift"/>
                <w:rFonts w:ascii="Times New Roman" w:hAnsi="Times New Roman"/>
                <w:sz w:val="24"/>
              </w:rPr>
              <w:t>tant faisant l'objet d'une non-application provisoire</w:t>
            </w:r>
          </w:p>
          <w:p w:rsidR="005643EA" w:rsidRPr="00392FFD" w:rsidRDefault="002648B0" w:rsidP="00622B37">
            <w:pPr>
              <w:pStyle w:val="InstructionsText"/>
            </w:pPr>
            <w:r>
              <w:t>Article 79 du CRR</w:t>
            </w:r>
          </w:p>
          <w:p w:rsidR="005643EA" w:rsidRPr="00392FFD" w:rsidRDefault="002648B0" w:rsidP="00622B37">
            <w:pPr>
              <w:pStyle w:val="InstructionsText"/>
            </w:pPr>
            <w:r>
              <w:t>Une autorité compétente peut renoncer provisoirement à appliquer les dispositions en matière de déduction des fonds propres de catégorie 2, pour cause de détention d’instruments d’une entité spécifique du secteur financier, lorsque cette autorité estime que ces instruments sont détenus dans le cadre d’une opération d’assistance financière destinée à réorg</w:t>
            </w:r>
            <w:r>
              <w:t>a</w:t>
            </w:r>
            <w:r>
              <w:t>niser et à sauver cette entité.</w:t>
            </w:r>
          </w:p>
          <w:p w:rsidR="005643EA" w:rsidRPr="00392FFD" w:rsidRDefault="002648B0" w:rsidP="00622B37">
            <w:pPr>
              <w:pStyle w:val="InstructionsText"/>
            </w:pPr>
            <w:r>
              <w:t>Remarque: ces instruments seront également déclarés au poste 17.1.</w:t>
            </w:r>
          </w:p>
        </w:tc>
      </w:tr>
      <w:tr w:rsidR="002648B0" w:rsidRPr="00392FFD" w:rsidTr="00700DF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06" w:type="dxa"/>
            <w:tcBorders>
              <w:top w:val="single" w:sz="4" w:space="0" w:color="auto"/>
              <w:left w:val="single" w:sz="4" w:space="0" w:color="auto"/>
              <w:bottom w:val="single" w:sz="4" w:space="0" w:color="auto"/>
              <w:right w:val="single" w:sz="4" w:space="0" w:color="auto"/>
            </w:tcBorders>
          </w:tcPr>
          <w:p w:rsidR="002648B0" w:rsidRPr="00392FFD" w:rsidRDefault="002648B0" w:rsidP="00622B37">
            <w:pPr>
              <w:pStyle w:val="InstructionsText"/>
            </w:pPr>
            <w:r>
              <w:t>740</w:t>
            </w:r>
          </w:p>
        </w:tc>
        <w:tc>
          <w:tcPr>
            <w:tcW w:w="7243" w:type="dxa"/>
            <w:tcBorders>
              <w:top w:val="single" w:sz="4" w:space="0" w:color="auto"/>
              <w:left w:val="single" w:sz="4" w:space="0" w:color="auto"/>
              <w:bottom w:val="single" w:sz="4" w:space="0" w:color="auto"/>
              <w:right w:val="single" w:sz="4" w:space="0" w:color="auto"/>
            </w:tcBorders>
          </w:tcPr>
          <w:p w:rsidR="005643EA" w:rsidRPr="00201704" w:rsidRDefault="002648B0" w:rsidP="00622B37">
            <w:pPr>
              <w:pStyle w:val="InstructionsText"/>
            </w:pPr>
            <w:r>
              <w:rPr>
                <w:rStyle w:val="InstructionsTabelleberschrift"/>
                <w:rFonts w:ascii="Times New Roman" w:hAnsi="Times New Roman"/>
                <w:sz w:val="24"/>
              </w:rPr>
              <w:t>27</w:t>
            </w:r>
            <w:r>
              <w:tab/>
            </w:r>
            <w:r>
              <w:rPr>
                <w:rStyle w:val="InstructionsTabelleberschrift"/>
                <w:rFonts w:ascii="Times New Roman" w:hAnsi="Times New Roman"/>
                <w:sz w:val="24"/>
              </w:rPr>
              <w:t>Exigence globale de coussin de fonds propres</w:t>
            </w:r>
          </w:p>
          <w:p w:rsidR="005643EA" w:rsidRPr="00392FFD" w:rsidRDefault="002648B0" w:rsidP="00622B37">
            <w:pPr>
              <w:pStyle w:val="InstructionsText"/>
            </w:pPr>
            <w:r>
              <w:t>Article 128, point 6), de la CRD</w:t>
            </w:r>
          </w:p>
        </w:tc>
      </w:tr>
      <w:tr w:rsidR="002648B0" w:rsidRPr="00392FFD" w:rsidTr="00700DF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06" w:type="dxa"/>
            <w:tcBorders>
              <w:top w:val="single" w:sz="4" w:space="0" w:color="auto"/>
              <w:left w:val="single" w:sz="4" w:space="0" w:color="auto"/>
              <w:bottom w:val="single" w:sz="4" w:space="0" w:color="auto"/>
              <w:right w:val="single" w:sz="4" w:space="0" w:color="auto"/>
            </w:tcBorders>
          </w:tcPr>
          <w:p w:rsidR="002648B0" w:rsidRPr="00392FFD" w:rsidRDefault="00AC0F2C" w:rsidP="00622B37">
            <w:pPr>
              <w:pStyle w:val="InstructionsText"/>
            </w:pPr>
            <w:r>
              <w:t>750</w:t>
            </w:r>
          </w:p>
        </w:tc>
        <w:tc>
          <w:tcPr>
            <w:tcW w:w="7243" w:type="dxa"/>
            <w:tcBorders>
              <w:top w:val="single" w:sz="4" w:space="0" w:color="auto"/>
              <w:left w:val="single" w:sz="4" w:space="0" w:color="auto"/>
              <w:bottom w:val="single" w:sz="4" w:space="0" w:color="auto"/>
              <w:right w:val="single" w:sz="4" w:space="0" w:color="auto"/>
            </w:tcBorders>
          </w:tcPr>
          <w:p w:rsidR="005643EA" w:rsidRPr="00201704" w:rsidRDefault="00454139" w:rsidP="00622B37">
            <w:pPr>
              <w:pStyle w:val="InstructionsText"/>
            </w:pPr>
            <w:r>
              <w:rPr>
                <w:rStyle w:val="InstructionsTabelleberschrift"/>
                <w:rFonts w:ascii="Times New Roman" w:hAnsi="Times New Roman"/>
                <w:sz w:val="24"/>
              </w:rPr>
              <w:t>Coussin de conservation de fonds propres</w:t>
            </w:r>
          </w:p>
          <w:p w:rsidR="005643EA" w:rsidRPr="00392FFD" w:rsidRDefault="002648B0" w:rsidP="00622B37">
            <w:pPr>
              <w:pStyle w:val="InstructionsText"/>
            </w:pPr>
            <w:r>
              <w:t xml:space="preserve">Article 128, point 1), et article 129 de la CRD </w:t>
            </w:r>
          </w:p>
          <w:p w:rsidR="005643EA" w:rsidRPr="00392FFD" w:rsidRDefault="002648B0" w:rsidP="00622B37">
            <w:pPr>
              <w:pStyle w:val="InstructionsText"/>
            </w:pPr>
            <w:r>
              <w:t>Aux termes de l’article 129, paragraphe 1, le coussin de conservation de fonds propres est un montant additionnel de fonds propres de base de c</w:t>
            </w:r>
            <w:r>
              <w:t>a</w:t>
            </w:r>
            <w:r>
              <w:t>tégorie 1. Étant donné que le taux de 2,5 % de ce coussin de conserv</w:t>
            </w:r>
            <w:r>
              <w:t>a</w:t>
            </w:r>
            <w:r>
              <w:t>tion de fonds propres demeure stable, un montant figurera dans cette ce</w:t>
            </w:r>
            <w:r>
              <w:t>l</w:t>
            </w:r>
            <w:r>
              <w:t>lule.</w:t>
            </w:r>
          </w:p>
        </w:tc>
      </w:tr>
      <w:tr w:rsidR="002648B0" w:rsidRPr="00392FFD" w:rsidTr="00700DF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06" w:type="dxa"/>
            <w:tcBorders>
              <w:top w:val="single" w:sz="4" w:space="0" w:color="auto"/>
              <w:left w:val="single" w:sz="4" w:space="0" w:color="auto"/>
              <w:bottom w:val="single" w:sz="4" w:space="0" w:color="auto"/>
              <w:right w:val="single" w:sz="4" w:space="0" w:color="auto"/>
            </w:tcBorders>
          </w:tcPr>
          <w:p w:rsidR="002648B0" w:rsidRPr="00392FFD" w:rsidRDefault="002648B0" w:rsidP="00622B37">
            <w:pPr>
              <w:pStyle w:val="InstructionsText"/>
            </w:pPr>
            <w:r>
              <w:t>760</w:t>
            </w:r>
          </w:p>
        </w:tc>
        <w:tc>
          <w:tcPr>
            <w:tcW w:w="7243" w:type="dxa"/>
            <w:tcBorders>
              <w:top w:val="single" w:sz="4" w:space="0" w:color="auto"/>
              <w:left w:val="single" w:sz="4" w:space="0" w:color="auto"/>
              <w:bottom w:val="single" w:sz="4" w:space="0" w:color="auto"/>
              <w:right w:val="single" w:sz="4" w:space="0" w:color="auto"/>
            </w:tcBorders>
          </w:tcPr>
          <w:p w:rsidR="005643EA" w:rsidRPr="00201704" w:rsidRDefault="002648B0" w:rsidP="00622B37">
            <w:pPr>
              <w:pStyle w:val="InstructionsText"/>
            </w:pPr>
            <w:r>
              <w:rPr>
                <w:rStyle w:val="InstructionsTabelleberschrift"/>
                <w:rFonts w:ascii="Times New Roman" w:hAnsi="Times New Roman"/>
                <w:sz w:val="24"/>
              </w:rPr>
              <w:t xml:space="preserve">Coussin de conservation découlant du risque macroprudentiel ou systémique constaté au niveau d'un État membre </w:t>
            </w:r>
          </w:p>
          <w:p w:rsidR="005643EA" w:rsidRPr="00392FFD" w:rsidRDefault="002648B0" w:rsidP="00622B37">
            <w:pPr>
              <w:pStyle w:val="InstructionsText"/>
            </w:pPr>
            <w:r>
              <w:t>Article 458, paragraphe 2, point d iv), du CRR</w:t>
            </w:r>
          </w:p>
          <w:p w:rsidR="00DF65DF" w:rsidRPr="00392FFD" w:rsidRDefault="002648B0" w:rsidP="00622B37">
            <w:pPr>
              <w:pStyle w:val="InstructionsText"/>
            </w:pPr>
            <w:r>
              <w:t>Dans cette cellule figure le montant du coussin de conservation en ra</w:t>
            </w:r>
            <w:r>
              <w:t>i</w:t>
            </w:r>
            <w:r>
              <w:t>son du risque macroprudentiel ou systémique constaté au niveau d’un État membre, qui peut être exigé en vertu de l’article 458 du CRR, en sus du coussin de conservation de fonds propres.</w:t>
            </w:r>
          </w:p>
          <w:p w:rsidR="005643EA" w:rsidRPr="00392FFD" w:rsidRDefault="00DF65DF" w:rsidP="00622B37">
            <w:pPr>
              <w:pStyle w:val="InstructionsText"/>
            </w:pPr>
            <w:r>
              <w:t>Le montant déclaré représente le montant de fonds propres nécessaire pour satisfaire aux exigences de coussin de fonds propres respectives à la date de déclaration.</w:t>
            </w:r>
          </w:p>
        </w:tc>
      </w:tr>
      <w:tr w:rsidR="002648B0" w:rsidRPr="00392FFD" w:rsidTr="00700DF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06" w:type="dxa"/>
            <w:tcBorders>
              <w:top w:val="single" w:sz="4" w:space="0" w:color="auto"/>
              <w:left w:val="single" w:sz="4" w:space="0" w:color="auto"/>
              <w:bottom w:val="single" w:sz="4" w:space="0" w:color="auto"/>
              <w:right w:val="single" w:sz="4" w:space="0" w:color="auto"/>
            </w:tcBorders>
          </w:tcPr>
          <w:p w:rsidR="002648B0" w:rsidRPr="00392FFD" w:rsidRDefault="002648B0" w:rsidP="00622B37">
            <w:pPr>
              <w:pStyle w:val="InstructionsText"/>
            </w:pPr>
            <w:r>
              <w:t>770</w:t>
            </w:r>
          </w:p>
        </w:tc>
        <w:tc>
          <w:tcPr>
            <w:tcW w:w="7243" w:type="dxa"/>
            <w:tcBorders>
              <w:top w:val="single" w:sz="4" w:space="0" w:color="auto"/>
              <w:left w:val="single" w:sz="4" w:space="0" w:color="auto"/>
              <w:bottom w:val="single" w:sz="4" w:space="0" w:color="auto"/>
              <w:right w:val="single" w:sz="4" w:space="0" w:color="auto"/>
            </w:tcBorders>
          </w:tcPr>
          <w:p w:rsidR="005643EA" w:rsidRPr="00201704" w:rsidRDefault="0010177C" w:rsidP="00622B37">
            <w:pPr>
              <w:pStyle w:val="InstructionsText"/>
            </w:pPr>
            <w:r>
              <w:rPr>
                <w:rStyle w:val="InstructionsTabelleberschrift"/>
                <w:rFonts w:ascii="Times New Roman" w:hAnsi="Times New Roman"/>
                <w:sz w:val="24"/>
              </w:rPr>
              <w:t xml:space="preserve">Coussin de fonds propres contracyclique spécifique à l'établissement </w:t>
            </w:r>
          </w:p>
          <w:p w:rsidR="00DF65DF" w:rsidRPr="00392FFD" w:rsidRDefault="002648B0" w:rsidP="00622B37">
            <w:pPr>
              <w:pStyle w:val="InstructionsText"/>
            </w:pPr>
            <w:r>
              <w:t xml:space="preserve">Article 128, point 2), article 130 et articles 135 à 140 de la CRD </w:t>
            </w:r>
          </w:p>
          <w:p w:rsidR="005643EA" w:rsidRPr="00392FFD" w:rsidRDefault="00DF65DF" w:rsidP="00622B37">
            <w:pPr>
              <w:pStyle w:val="InstructionsText"/>
            </w:pPr>
            <w:r>
              <w:t>Le montant déclaré représente le montant de fonds propres nécessaire pour satisfaire aux exigences de coussin de fonds propres respectives à la date de déclaration.</w:t>
            </w:r>
          </w:p>
        </w:tc>
      </w:tr>
      <w:tr w:rsidR="002648B0" w:rsidRPr="00392FFD" w:rsidTr="00700DF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06" w:type="dxa"/>
            <w:tcBorders>
              <w:top w:val="single" w:sz="4" w:space="0" w:color="auto"/>
              <w:left w:val="single" w:sz="4" w:space="0" w:color="auto"/>
              <w:bottom w:val="single" w:sz="4" w:space="0" w:color="auto"/>
              <w:right w:val="single" w:sz="4" w:space="0" w:color="auto"/>
            </w:tcBorders>
          </w:tcPr>
          <w:p w:rsidR="002648B0" w:rsidRPr="00392FFD" w:rsidRDefault="002648B0" w:rsidP="00622B37">
            <w:pPr>
              <w:pStyle w:val="InstructionsText"/>
            </w:pPr>
            <w:r>
              <w:t>780</w:t>
            </w:r>
          </w:p>
        </w:tc>
        <w:tc>
          <w:tcPr>
            <w:tcW w:w="7243" w:type="dxa"/>
            <w:tcBorders>
              <w:top w:val="single" w:sz="4" w:space="0" w:color="auto"/>
              <w:left w:val="single" w:sz="4" w:space="0" w:color="auto"/>
              <w:bottom w:val="single" w:sz="4" w:space="0" w:color="auto"/>
              <w:right w:val="single" w:sz="4" w:space="0" w:color="auto"/>
            </w:tcBorders>
          </w:tcPr>
          <w:p w:rsidR="005643EA" w:rsidRPr="00201704" w:rsidRDefault="002648B0" w:rsidP="00622B37">
            <w:pPr>
              <w:pStyle w:val="InstructionsText"/>
            </w:pPr>
            <w:r>
              <w:rPr>
                <w:rStyle w:val="InstructionsTabelleberschrift"/>
                <w:rFonts w:ascii="Times New Roman" w:hAnsi="Times New Roman"/>
                <w:sz w:val="24"/>
              </w:rPr>
              <w:t xml:space="preserve">Coussin pour le risque systémique </w:t>
            </w:r>
          </w:p>
          <w:p w:rsidR="00DF65DF" w:rsidRPr="00392FFD" w:rsidRDefault="002648B0" w:rsidP="00622B37">
            <w:pPr>
              <w:pStyle w:val="InstructionsText"/>
            </w:pPr>
            <w:r>
              <w:t xml:space="preserve">Article 128, point 5), et articles 133 et 134 de la CRD </w:t>
            </w:r>
          </w:p>
          <w:p w:rsidR="005643EA" w:rsidRPr="00392FFD" w:rsidRDefault="00DF65DF" w:rsidP="00622B37">
            <w:pPr>
              <w:pStyle w:val="InstructionsText"/>
            </w:pPr>
            <w:r>
              <w:t>Le montant déclaré représente le montant de fonds propres nécessaire pour satisfaire aux exigences de coussin de fonds propres respectives à la date de déclaration.</w:t>
            </w:r>
          </w:p>
        </w:tc>
      </w:tr>
      <w:tr w:rsidR="00AC0F2C" w:rsidRPr="00392FFD" w:rsidTr="00700DF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06" w:type="dxa"/>
            <w:tcBorders>
              <w:top w:val="single" w:sz="4" w:space="0" w:color="auto"/>
              <w:left w:val="single" w:sz="4" w:space="0" w:color="auto"/>
              <w:bottom w:val="single" w:sz="4" w:space="0" w:color="auto"/>
              <w:right w:val="single" w:sz="4" w:space="0" w:color="auto"/>
            </w:tcBorders>
          </w:tcPr>
          <w:p w:rsidR="00AC0F2C" w:rsidRPr="00392FFD" w:rsidRDefault="00497D60" w:rsidP="00622B37">
            <w:pPr>
              <w:pStyle w:val="InstructionsText"/>
            </w:pPr>
            <w:r>
              <w:lastRenderedPageBreak/>
              <w:t>800</w:t>
            </w:r>
          </w:p>
        </w:tc>
        <w:tc>
          <w:tcPr>
            <w:tcW w:w="7243" w:type="dxa"/>
            <w:tcBorders>
              <w:top w:val="single" w:sz="4" w:space="0" w:color="auto"/>
              <w:left w:val="single" w:sz="4" w:space="0" w:color="auto"/>
              <w:bottom w:val="single" w:sz="4" w:space="0" w:color="auto"/>
              <w:right w:val="single" w:sz="4" w:space="0" w:color="auto"/>
            </w:tcBorders>
          </w:tcPr>
          <w:p w:rsidR="005643EA" w:rsidRPr="00392FFD" w:rsidRDefault="0010177C"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Coussin pour les établissements d'importance systémique mondiale</w:t>
            </w:r>
          </w:p>
          <w:p w:rsidR="00DF65DF" w:rsidRPr="00392FFD" w:rsidRDefault="00AC0F2C"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 128, point 3), et article 131 de la CRD</w:t>
            </w:r>
          </w:p>
          <w:p w:rsidR="005643EA" w:rsidRPr="00201704" w:rsidRDefault="00DF65DF" w:rsidP="00622B37">
            <w:pPr>
              <w:pStyle w:val="InstructionsText"/>
              <w:rPr>
                <w:rStyle w:val="InstructionsTabelleberschrift"/>
                <w:rFonts w:ascii="Times New Roman" w:hAnsi="Times New Roman"/>
                <w:b w:val="0"/>
                <w:bCs w:val="0"/>
                <w:sz w:val="24"/>
                <w:u w:val="none"/>
              </w:rPr>
            </w:pPr>
            <w:r>
              <w:t>Le montant déclaré représente le montant de fonds propres nécessaire pour satisfaire aux exigences de coussin de fonds propres respectives à la date de déclaration.</w:t>
            </w:r>
          </w:p>
        </w:tc>
      </w:tr>
      <w:tr w:rsidR="00AC0F2C" w:rsidRPr="00392FFD" w:rsidTr="00700DF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06" w:type="dxa"/>
            <w:tcBorders>
              <w:top w:val="single" w:sz="4" w:space="0" w:color="auto"/>
              <w:left w:val="single" w:sz="4" w:space="0" w:color="auto"/>
              <w:bottom w:val="single" w:sz="4" w:space="0" w:color="auto"/>
              <w:right w:val="single" w:sz="4" w:space="0" w:color="auto"/>
            </w:tcBorders>
          </w:tcPr>
          <w:p w:rsidR="00AC0F2C" w:rsidRPr="00392FFD" w:rsidRDefault="00497D60" w:rsidP="00622B37">
            <w:pPr>
              <w:pStyle w:val="InstructionsText"/>
            </w:pPr>
            <w:r>
              <w:t>810</w:t>
            </w:r>
          </w:p>
        </w:tc>
        <w:tc>
          <w:tcPr>
            <w:tcW w:w="7243" w:type="dxa"/>
            <w:tcBorders>
              <w:top w:val="single" w:sz="4" w:space="0" w:color="auto"/>
              <w:left w:val="single" w:sz="4" w:space="0" w:color="auto"/>
              <w:bottom w:val="single" w:sz="4" w:space="0" w:color="auto"/>
              <w:right w:val="single" w:sz="4" w:space="0" w:color="auto"/>
            </w:tcBorders>
          </w:tcPr>
          <w:p w:rsidR="005643EA" w:rsidRPr="00392FFD" w:rsidRDefault="0010177C"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 xml:space="preserve">Coussin pour les autres établissements d'importance systémique </w:t>
            </w:r>
          </w:p>
          <w:p w:rsidR="00DF65DF" w:rsidRPr="00392FFD" w:rsidRDefault="00AC0F2C"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 128, point 4), et article 131 de la CRD</w:t>
            </w:r>
          </w:p>
          <w:p w:rsidR="005643EA" w:rsidRPr="00201704" w:rsidRDefault="00DF65DF" w:rsidP="00622B37">
            <w:pPr>
              <w:pStyle w:val="InstructionsText"/>
              <w:rPr>
                <w:rStyle w:val="InstructionsTabelleberschrift"/>
                <w:rFonts w:ascii="Times New Roman" w:hAnsi="Times New Roman"/>
                <w:b w:val="0"/>
                <w:bCs w:val="0"/>
                <w:sz w:val="24"/>
                <w:u w:val="none"/>
              </w:rPr>
            </w:pPr>
            <w:r>
              <w:t>Le montant déclaré représente le montant de fonds propres nécessaire pour satisfaire aux exigences de coussin de fonds propres respectives à la date de déclaration.</w:t>
            </w:r>
          </w:p>
        </w:tc>
      </w:tr>
      <w:tr w:rsidR="00E81DB9" w:rsidRPr="00392FFD" w:rsidTr="00700DF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06" w:type="dxa"/>
            <w:tcBorders>
              <w:top w:val="single" w:sz="4" w:space="0" w:color="auto"/>
              <w:left w:val="single" w:sz="4" w:space="0" w:color="auto"/>
              <w:bottom w:val="single" w:sz="4" w:space="0" w:color="auto"/>
              <w:right w:val="single" w:sz="4" w:space="0" w:color="auto"/>
            </w:tcBorders>
          </w:tcPr>
          <w:p w:rsidR="00E81DB9" w:rsidRPr="00392FFD" w:rsidRDefault="00497D60" w:rsidP="00622B37">
            <w:pPr>
              <w:pStyle w:val="InstructionsText"/>
            </w:pPr>
            <w:r>
              <w:t>820</w:t>
            </w:r>
          </w:p>
          <w:p w:rsidR="00E81DB9" w:rsidRPr="00392FFD" w:rsidRDefault="00E81DB9" w:rsidP="00622B37">
            <w:pPr>
              <w:pStyle w:val="InstructionsText"/>
            </w:pPr>
          </w:p>
        </w:tc>
        <w:tc>
          <w:tcPr>
            <w:tcW w:w="7243" w:type="dxa"/>
            <w:tcBorders>
              <w:top w:val="single" w:sz="4" w:space="0" w:color="auto"/>
              <w:left w:val="single" w:sz="4" w:space="0" w:color="auto"/>
              <w:bottom w:val="single" w:sz="4" w:space="0" w:color="auto"/>
              <w:right w:val="single" w:sz="4" w:space="0" w:color="auto"/>
            </w:tcBorders>
          </w:tcPr>
          <w:p w:rsidR="005643EA" w:rsidRPr="00392FFD" w:rsidRDefault="00E81DB9"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28</w:t>
            </w:r>
            <w:r>
              <w:tab/>
            </w:r>
            <w:r>
              <w:rPr>
                <w:rStyle w:val="InstructionsTabelleberschrift"/>
                <w:rFonts w:ascii="Times New Roman" w:hAnsi="Times New Roman"/>
                <w:sz w:val="24"/>
              </w:rPr>
              <w:t>Exigences de fonds propres liées aux ajustements du pilier II</w:t>
            </w:r>
          </w:p>
          <w:p w:rsidR="005643EA" w:rsidRPr="00392FFD" w:rsidRDefault="00190FA3"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 xml:space="preserve">Article 104, paragraphe 2, de la CRD </w:t>
            </w:r>
          </w:p>
          <w:p w:rsidR="005643EA" w:rsidRPr="00392FFD" w:rsidRDefault="00190FA3"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 xml:space="preserve">Lorsqu’une autorité compétente décide qu’un établissement doit calculer des exigences de fonds propres supplémentaires pour des raisons tenant au deuxième pilier, ces exigences supplémentaires seront déclarées dans cette cellule. </w:t>
            </w:r>
          </w:p>
        </w:tc>
      </w:tr>
      <w:tr w:rsidR="00E81DB9" w:rsidRPr="00392FFD" w:rsidTr="00700DF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06" w:type="dxa"/>
            <w:tcBorders>
              <w:top w:val="single" w:sz="4" w:space="0" w:color="auto"/>
              <w:left w:val="single" w:sz="4" w:space="0" w:color="auto"/>
              <w:bottom w:val="single" w:sz="4" w:space="0" w:color="auto"/>
              <w:right w:val="single" w:sz="4" w:space="0" w:color="auto"/>
            </w:tcBorders>
          </w:tcPr>
          <w:p w:rsidR="00E81DB9" w:rsidRPr="00392FFD" w:rsidRDefault="00497D60" w:rsidP="00622B37">
            <w:pPr>
              <w:pStyle w:val="InstructionsText"/>
            </w:pPr>
            <w:r>
              <w:t>830</w:t>
            </w:r>
          </w:p>
        </w:tc>
        <w:tc>
          <w:tcPr>
            <w:tcW w:w="7243" w:type="dxa"/>
            <w:tcBorders>
              <w:top w:val="single" w:sz="4" w:space="0" w:color="auto"/>
              <w:left w:val="single" w:sz="4" w:space="0" w:color="auto"/>
              <w:bottom w:val="single" w:sz="4" w:space="0" w:color="auto"/>
              <w:right w:val="single" w:sz="4" w:space="0" w:color="auto"/>
            </w:tcBorders>
          </w:tcPr>
          <w:p w:rsidR="005643EA" w:rsidRPr="00392FFD" w:rsidRDefault="00F22648"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29</w:t>
            </w:r>
            <w:r>
              <w:tab/>
            </w:r>
            <w:r>
              <w:rPr>
                <w:rStyle w:val="InstructionsTabelleberschrift"/>
                <w:rFonts w:ascii="Times New Roman" w:hAnsi="Times New Roman"/>
                <w:sz w:val="24"/>
              </w:rPr>
              <w:t>Capital initial</w:t>
            </w:r>
          </w:p>
          <w:p w:rsidR="005643EA" w:rsidRPr="00392FFD" w:rsidRDefault="00E0639C"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 12 et articles 28 à 31 de la CRD, et article 93 du CRR</w:t>
            </w:r>
          </w:p>
        </w:tc>
      </w:tr>
      <w:tr w:rsidR="00E81DB9" w:rsidRPr="00392FFD" w:rsidTr="00700DF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06" w:type="dxa"/>
            <w:tcBorders>
              <w:top w:val="single" w:sz="4" w:space="0" w:color="auto"/>
              <w:left w:val="single" w:sz="4" w:space="0" w:color="auto"/>
              <w:bottom w:val="single" w:sz="4" w:space="0" w:color="auto"/>
              <w:right w:val="single" w:sz="4" w:space="0" w:color="auto"/>
            </w:tcBorders>
          </w:tcPr>
          <w:p w:rsidR="00E81DB9" w:rsidRPr="00392FFD" w:rsidRDefault="00497D60" w:rsidP="00622B37">
            <w:pPr>
              <w:pStyle w:val="InstructionsText"/>
            </w:pPr>
            <w:r>
              <w:t>840</w:t>
            </w:r>
          </w:p>
        </w:tc>
        <w:tc>
          <w:tcPr>
            <w:tcW w:w="7243" w:type="dxa"/>
            <w:tcBorders>
              <w:top w:val="single" w:sz="4" w:space="0" w:color="auto"/>
              <w:left w:val="single" w:sz="4" w:space="0" w:color="auto"/>
              <w:bottom w:val="single" w:sz="4" w:space="0" w:color="auto"/>
              <w:right w:val="single" w:sz="4" w:space="0" w:color="auto"/>
            </w:tcBorders>
          </w:tcPr>
          <w:p w:rsidR="005643EA" w:rsidRPr="00392FFD" w:rsidRDefault="00F22648"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30</w:t>
            </w:r>
            <w:r>
              <w:tab/>
            </w:r>
            <w:r>
              <w:rPr>
                <w:rStyle w:val="InstructionsTabelleberschrift"/>
                <w:rFonts w:ascii="Times New Roman" w:hAnsi="Times New Roman"/>
                <w:sz w:val="24"/>
              </w:rPr>
              <w:t>Exigences de fonds propres basées sur les frais généraux</w:t>
            </w:r>
          </w:p>
          <w:p w:rsidR="005643EA" w:rsidRPr="00201704" w:rsidRDefault="00E0639C"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 96, paragraphe 2, point b), article 97 et article 98, paragraphe 1, point a), du CRR</w:t>
            </w:r>
          </w:p>
        </w:tc>
      </w:tr>
      <w:tr w:rsidR="00A774C1" w:rsidRPr="00392FFD" w:rsidTr="00700DF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06" w:type="dxa"/>
            <w:tcBorders>
              <w:top w:val="single" w:sz="4" w:space="0" w:color="auto"/>
              <w:left w:val="single" w:sz="4" w:space="0" w:color="auto"/>
              <w:bottom w:val="single" w:sz="4" w:space="0" w:color="auto"/>
              <w:right w:val="single" w:sz="4" w:space="0" w:color="auto"/>
            </w:tcBorders>
          </w:tcPr>
          <w:p w:rsidR="00A774C1" w:rsidRPr="00392FFD" w:rsidRDefault="00497D60" w:rsidP="00622B37">
            <w:pPr>
              <w:pStyle w:val="InstructionsText"/>
            </w:pPr>
            <w:r>
              <w:t>850</w:t>
            </w:r>
          </w:p>
        </w:tc>
        <w:tc>
          <w:tcPr>
            <w:tcW w:w="7243" w:type="dxa"/>
            <w:tcBorders>
              <w:top w:val="single" w:sz="4" w:space="0" w:color="auto"/>
              <w:left w:val="single" w:sz="4" w:space="0" w:color="auto"/>
              <w:bottom w:val="single" w:sz="4" w:space="0" w:color="auto"/>
              <w:right w:val="single" w:sz="4" w:space="0" w:color="auto"/>
            </w:tcBorders>
          </w:tcPr>
          <w:p w:rsidR="00A774C1" w:rsidRPr="00392FFD" w:rsidRDefault="00F22648"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31</w:t>
            </w:r>
            <w:r>
              <w:tab/>
            </w:r>
            <w:r>
              <w:rPr>
                <w:rStyle w:val="InstructionsTabelleberschrift"/>
                <w:rFonts w:ascii="Times New Roman" w:hAnsi="Times New Roman"/>
                <w:sz w:val="24"/>
              </w:rPr>
              <w:t>Expositions initiales non domestiques</w:t>
            </w:r>
          </w:p>
          <w:p w:rsidR="00DD5F87" w:rsidRPr="00392FFD" w:rsidRDefault="00A774C1"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Données nécessaires au calcul du seuil de déclaration du modèle CR GB, conformément à l’article 5, point a), point 4), du présent règlement. Le calcul du seuil s’effectue sur la base de l’exposition initiale, avant appl</w:t>
            </w:r>
            <w:r>
              <w:rPr>
                <w:rStyle w:val="InstructionsTabelleberschrift"/>
                <w:rFonts w:ascii="Times New Roman" w:hAnsi="Times New Roman"/>
                <w:b w:val="0"/>
                <w:sz w:val="24"/>
                <w:u w:val="none"/>
              </w:rPr>
              <w:t>i</w:t>
            </w:r>
            <w:r>
              <w:rPr>
                <w:rStyle w:val="InstructionsTabelleberschrift"/>
                <w:rFonts w:ascii="Times New Roman" w:hAnsi="Times New Roman"/>
                <w:b w:val="0"/>
                <w:sz w:val="24"/>
                <w:u w:val="none"/>
              </w:rPr>
              <w:t xml:space="preserve">cation des facteurs de conversion. </w:t>
            </w:r>
          </w:p>
          <w:p w:rsidR="00A774C1" w:rsidRPr="00392FFD" w:rsidRDefault="00FA3865" w:rsidP="00622B37">
            <w:pPr>
              <w:pStyle w:val="InstructionsText"/>
              <w:rPr>
                <w:rStyle w:val="InstructionsTabelleberschrift"/>
                <w:rFonts w:ascii="Times New Roman" w:hAnsi="Times New Roman"/>
                <w:sz w:val="24"/>
              </w:rPr>
            </w:pPr>
            <w:r>
              <w:rPr>
                <w:rStyle w:val="InstructionsTabelleberschrift"/>
                <w:rFonts w:ascii="Times New Roman" w:hAnsi="Times New Roman"/>
                <w:b w:val="0"/>
                <w:sz w:val="24"/>
                <w:u w:val="none"/>
              </w:rPr>
              <w:t>Les expositions sont réputées domestiques lorsqu’il s’agit d’expositions sur des contreparties situées dans l’État membre où l’établissement est situé.</w:t>
            </w:r>
          </w:p>
        </w:tc>
      </w:tr>
      <w:tr w:rsidR="00A774C1" w:rsidRPr="00392FFD" w:rsidTr="00700DF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06" w:type="dxa"/>
            <w:tcBorders>
              <w:top w:val="single" w:sz="4" w:space="0" w:color="auto"/>
              <w:left w:val="single" w:sz="4" w:space="0" w:color="auto"/>
              <w:bottom w:val="single" w:sz="4" w:space="0" w:color="auto"/>
              <w:right w:val="single" w:sz="4" w:space="0" w:color="auto"/>
            </w:tcBorders>
          </w:tcPr>
          <w:p w:rsidR="00A774C1" w:rsidRPr="00392FFD" w:rsidRDefault="00A774C1" w:rsidP="00622B37">
            <w:pPr>
              <w:pStyle w:val="InstructionsText"/>
            </w:pPr>
            <w:r>
              <w:t>860</w:t>
            </w:r>
          </w:p>
        </w:tc>
        <w:tc>
          <w:tcPr>
            <w:tcW w:w="7243" w:type="dxa"/>
            <w:tcBorders>
              <w:top w:val="single" w:sz="4" w:space="0" w:color="auto"/>
              <w:left w:val="single" w:sz="4" w:space="0" w:color="auto"/>
              <w:bottom w:val="single" w:sz="4" w:space="0" w:color="auto"/>
              <w:right w:val="single" w:sz="4" w:space="0" w:color="auto"/>
            </w:tcBorders>
          </w:tcPr>
          <w:p w:rsidR="00A774C1" w:rsidRPr="00392FFD" w:rsidRDefault="00F22648"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32</w:t>
            </w:r>
            <w:r>
              <w:tab/>
            </w:r>
            <w:r>
              <w:rPr>
                <w:rStyle w:val="InstructionsTabelleberschrift"/>
                <w:rFonts w:ascii="Times New Roman" w:hAnsi="Times New Roman"/>
                <w:sz w:val="24"/>
              </w:rPr>
              <w:t>Expositions initiales totales</w:t>
            </w:r>
          </w:p>
          <w:p w:rsidR="00DD5F87" w:rsidRPr="00392FFD" w:rsidRDefault="00FA3865"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Données nécessaires au calcul du seuil de déclaration du modèle CR GB, conformément à l’article 5, point a), point 4), du présent règlement. Le calcul du seuil s’effectue sur la base de l’exposition initiale, avant appl</w:t>
            </w:r>
            <w:r>
              <w:rPr>
                <w:rStyle w:val="InstructionsTabelleberschrift"/>
                <w:rFonts w:ascii="Times New Roman" w:hAnsi="Times New Roman"/>
                <w:b w:val="0"/>
                <w:sz w:val="24"/>
                <w:u w:val="none"/>
              </w:rPr>
              <w:t>i</w:t>
            </w:r>
            <w:r>
              <w:rPr>
                <w:rStyle w:val="InstructionsTabelleberschrift"/>
                <w:rFonts w:ascii="Times New Roman" w:hAnsi="Times New Roman"/>
                <w:b w:val="0"/>
                <w:sz w:val="24"/>
                <w:u w:val="none"/>
              </w:rPr>
              <w:t>cation des facteurs de conversion.</w:t>
            </w:r>
          </w:p>
          <w:p w:rsidR="00A774C1" w:rsidRPr="00392FFD" w:rsidRDefault="00FA3865" w:rsidP="00622B37">
            <w:pPr>
              <w:pStyle w:val="InstructionsText"/>
              <w:rPr>
                <w:rStyle w:val="InstructionsTabelleberschrift"/>
                <w:rFonts w:ascii="Times New Roman" w:hAnsi="Times New Roman"/>
                <w:sz w:val="24"/>
              </w:rPr>
            </w:pPr>
            <w:r>
              <w:rPr>
                <w:rStyle w:val="InstructionsTabelleberschrift"/>
                <w:rFonts w:ascii="Times New Roman" w:hAnsi="Times New Roman"/>
                <w:b w:val="0"/>
                <w:sz w:val="24"/>
                <w:u w:val="none"/>
              </w:rPr>
              <w:t>Les expositions sont réputées domestiques lorsqu’il s’agit d’expositions sur des contreparties situées dans l’État membre où l’établissement est situé.</w:t>
            </w:r>
          </w:p>
        </w:tc>
      </w:tr>
      <w:tr w:rsidR="00700DFD" w:rsidRPr="00392FFD" w:rsidTr="00700DF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06" w:type="dxa"/>
            <w:tcBorders>
              <w:top w:val="single" w:sz="4" w:space="0" w:color="auto"/>
              <w:left w:val="single" w:sz="4" w:space="0" w:color="auto"/>
              <w:bottom w:val="single" w:sz="4" w:space="0" w:color="auto"/>
              <w:right w:val="single" w:sz="4" w:space="0" w:color="auto"/>
            </w:tcBorders>
          </w:tcPr>
          <w:p w:rsidR="00700DFD" w:rsidRPr="00392FFD" w:rsidRDefault="007E16E5" w:rsidP="00622B37">
            <w:pPr>
              <w:pStyle w:val="InstructionsText"/>
            </w:pPr>
            <w:r>
              <w:t>870</w:t>
            </w:r>
          </w:p>
        </w:tc>
        <w:tc>
          <w:tcPr>
            <w:tcW w:w="7243" w:type="dxa"/>
            <w:tcBorders>
              <w:top w:val="single" w:sz="4" w:space="0" w:color="auto"/>
              <w:left w:val="single" w:sz="4" w:space="0" w:color="auto"/>
              <w:bottom w:val="single" w:sz="4" w:space="0" w:color="auto"/>
              <w:right w:val="single" w:sz="4" w:space="0" w:color="auto"/>
            </w:tcBorders>
          </w:tcPr>
          <w:p w:rsidR="007E16E5" w:rsidRPr="00392FFD" w:rsidRDefault="0020170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Ajustements des fonds propres totaux</w:t>
            </w:r>
          </w:p>
          <w:p w:rsidR="00700DFD" w:rsidRPr="00392FFD" w:rsidRDefault="00700DFD"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 500, paragraphe 4, du CRR</w:t>
            </w:r>
          </w:p>
          <w:p w:rsidR="00643362" w:rsidRPr="00392FFD" w:rsidRDefault="00DE48EF"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 xml:space="preserve">Déclarer sous cette position la différence entre le montant déclaré sous la </w:t>
            </w:r>
            <w:r>
              <w:rPr>
                <w:rStyle w:val="InstructionsTabelleberschrift"/>
                <w:rFonts w:ascii="Times New Roman" w:hAnsi="Times New Roman"/>
                <w:b w:val="0"/>
                <w:sz w:val="24"/>
                <w:u w:val="none"/>
              </w:rPr>
              <w:lastRenderedPageBreak/>
              <w:t xml:space="preserve">position 880 et le montant total de fonds propres conformément au CRR. </w:t>
            </w:r>
          </w:p>
          <w:p w:rsidR="00DE48EF" w:rsidRPr="00392FFD" w:rsidRDefault="003A1469"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Si l’alternative approche standard (article 500, paragraphe 2, du CRR) est appliquée, cette ligne doit rester vide.</w:t>
            </w:r>
          </w:p>
        </w:tc>
      </w:tr>
      <w:tr w:rsidR="000A4B61" w:rsidRPr="00392FFD" w:rsidTr="000A4B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06" w:type="dxa"/>
            <w:tcBorders>
              <w:top w:val="single" w:sz="4" w:space="0" w:color="auto"/>
              <w:left w:val="single" w:sz="4" w:space="0" w:color="auto"/>
              <w:bottom w:val="single" w:sz="4" w:space="0" w:color="auto"/>
              <w:right w:val="single" w:sz="4" w:space="0" w:color="auto"/>
            </w:tcBorders>
          </w:tcPr>
          <w:p w:rsidR="000A4B61" w:rsidRPr="00392FFD" w:rsidRDefault="007E16E5" w:rsidP="00622B37">
            <w:pPr>
              <w:pStyle w:val="InstructionsText"/>
            </w:pPr>
            <w:r>
              <w:lastRenderedPageBreak/>
              <w:t>880</w:t>
            </w:r>
          </w:p>
        </w:tc>
        <w:tc>
          <w:tcPr>
            <w:tcW w:w="7243" w:type="dxa"/>
            <w:tcBorders>
              <w:top w:val="single" w:sz="4" w:space="0" w:color="auto"/>
              <w:left w:val="single" w:sz="4" w:space="0" w:color="auto"/>
              <w:bottom w:val="single" w:sz="4" w:space="0" w:color="auto"/>
              <w:right w:val="single" w:sz="4" w:space="0" w:color="auto"/>
            </w:tcBorders>
          </w:tcPr>
          <w:p w:rsidR="007E16E5" w:rsidRPr="00392FFD" w:rsidRDefault="007E16E5"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Fonds propres intégralement ajustés pour plancher Bâle I</w:t>
            </w:r>
          </w:p>
          <w:p w:rsidR="000A4B61" w:rsidRPr="00392FFD" w:rsidRDefault="007E16E5"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 500, paragraphe 4, du CRR</w:t>
            </w:r>
          </w:p>
          <w:p w:rsidR="002540B2" w:rsidRPr="00392FFD" w:rsidRDefault="002540B2"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Déclarer sous cette position le total des fonds propres en vertu du CRR ajusté comme requis par l’article 500, paragraphe 4, du CRR (c’est-à-dire pleinement ajusté de manière à tenir compte des différences qui existent entre le calcul des fonds propres effectué conformément aux d</w:t>
            </w:r>
            <w:r>
              <w:rPr>
                <w:rStyle w:val="InstructionsTabelleberschrift"/>
                <w:rFonts w:ascii="Times New Roman" w:hAnsi="Times New Roman"/>
                <w:b w:val="0"/>
                <w:sz w:val="24"/>
                <w:u w:val="none"/>
              </w:rPr>
              <w:t>i</w:t>
            </w:r>
            <w:r>
              <w:rPr>
                <w:rStyle w:val="InstructionsTabelleberschrift"/>
                <w:rFonts w:ascii="Times New Roman" w:hAnsi="Times New Roman"/>
                <w:b w:val="0"/>
                <w:sz w:val="24"/>
                <w:u w:val="none"/>
              </w:rPr>
              <w:t>rectives 93/6/CEE et 2000/12/CE, telles qu’elles étaient applicables avant le 1</w:t>
            </w:r>
            <w:r>
              <w:rPr>
                <w:rStyle w:val="InstructionsTabelleberschrift"/>
                <w:rFonts w:ascii="Times New Roman" w:hAnsi="Times New Roman"/>
                <w:b w:val="0"/>
                <w:sz w:val="24"/>
                <w:u w:val="none"/>
                <w:vertAlign w:val="superscript"/>
              </w:rPr>
              <w:t>er</w:t>
            </w:r>
            <w:r>
              <w:rPr>
                <w:rStyle w:val="InstructionsTabelleberschrift"/>
                <w:rFonts w:ascii="Times New Roman" w:hAnsi="Times New Roman"/>
                <w:b w:val="0"/>
                <w:sz w:val="24"/>
                <w:u w:val="none"/>
              </w:rPr>
              <w:t xml:space="preserve"> janvier 2007, et le calcul des fonds propres effectué confo</w:t>
            </w:r>
            <w:r>
              <w:rPr>
                <w:rStyle w:val="InstructionsTabelleberschrift"/>
                <w:rFonts w:ascii="Times New Roman" w:hAnsi="Times New Roman"/>
                <w:b w:val="0"/>
                <w:sz w:val="24"/>
                <w:u w:val="none"/>
              </w:rPr>
              <w:t>r</w:t>
            </w:r>
            <w:r>
              <w:rPr>
                <w:rStyle w:val="InstructionsTabelleberschrift"/>
                <w:rFonts w:ascii="Times New Roman" w:hAnsi="Times New Roman"/>
                <w:b w:val="0"/>
                <w:sz w:val="24"/>
                <w:u w:val="none"/>
              </w:rPr>
              <w:t>mément au CRR, ces différences découlant du traitement distinct rése</w:t>
            </w:r>
            <w:r>
              <w:rPr>
                <w:rStyle w:val="InstructionsTabelleberschrift"/>
                <w:rFonts w:ascii="Times New Roman" w:hAnsi="Times New Roman"/>
                <w:b w:val="0"/>
                <w:sz w:val="24"/>
                <w:u w:val="none"/>
              </w:rPr>
              <w:t>r</w:t>
            </w:r>
            <w:r>
              <w:rPr>
                <w:rStyle w:val="InstructionsTabelleberschrift"/>
                <w:rFonts w:ascii="Times New Roman" w:hAnsi="Times New Roman"/>
                <w:b w:val="0"/>
                <w:sz w:val="24"/>
                <w:u w:val="none"/>
              </w:rPr>
              <w:t xml:space="preserve">vé, en vertu de la troisième partie, titre II, chapitre 3, du CRR, aux pertes anticipées et non anticipées). </w:t>
            </w:r>
          </w:p>
          <w:p w:rsidR="00DE48EF" w:rsidRPr="00201704" w:rsidRDefault="003A1469"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Si l’alternative approche standard (article 500, paragraphe 2, du CRR) est appliquée, cette ligne doit rester vide.</w:t>
            </w:r>
          </w:p>
        </w:tc>
      </w:tr>
      <w:tr w:rsidR="000A4B61" w:rsidRPr="00392FFD" w:rsidTr="000A4B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06" w:type="dxa"/>
            <w:tcBorders>
              <w:top w:val="single" w:sz="4" w:space="0" w:color="auto"/>
              <w:left w:val="single" w:sz="4" w:space="0" w:color="auto"/>
              <w:bottom w:val="single" w:sz="4" w:space="0" w:color="auto"/>
              <w:right w:val="single" w:sz="4" w:space="0" w:color="auto"/>
            </w:tcBorders>
          </w:tcPr>
          <w:p w:rsidR="000A4B61" w:rsidRPr="00392FFD" w:rsidRDefault="007E16E5" w:rsidP="00622B37">
            <w:pPr>
              <w:pStyle w:val="InstructionsText"/>
            </w:pPr>
            <w:r>
              <w:t>890</w:t>
            </w:r>
          </w:p>
        </w:tc>
        <w:tc>
          <w:tcPr>
            <w:tcW w:w="7243" w:type="dxa"/>
            <w:tcBorders>
              <w:top w:val="single" w:sz="4" w:space="0" w:color="auto"/>
              <w:left w:val="single" w:sz="4" w:space="0" w:color="auto"/>
              <w:bottom w:val="single" w:sz="4" w:space="0" w:color="auto"/>
              <w:right w:val="single" w:sz="4" w:space="0" w:color="auto"/>
            </w:tcBorders>
          </w:tcPr>
          <w:p w:rsidR="007E16E5" w:rsidRPr="00201704" w:rsidRDefault="007E16E5"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Exigences de fonds propres pour plancher Bâle I</w:t>
            </w:r>
          </w:p>
          <w:p w:rsidR="000A4B61" w:rsidRPr="00392FFD" w:rsidRDefault="007E16E5"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 xml:space="preserve">Article 500, paragraphe 1, point b), du CRR </w:t>
            </w:r>
          </w:p>
          <w:p w:rsidR="00DE48EF" w:rsidRPr="00392FFD" w:rsidRDefault="002540B2" w:rsidP="00622B37">
            <w:pPr>
              <w:pStyle w:val="InstructionsText"/>
              <w:rPr>
                <w:rStyle w:val="InstructionsTabelleberschrift"/>
                <w:rFonts w:ascii="Times New Roman" w:hAnsi="Times New Roman"/>
                <w:sz w:val="24"/>
              </w:rPr>
            </w:pPr>
            <w:r>
              <w:rPr>
                <w:rStyle w:val="InstructionsTabelleberschrift"/>
                <w:rFonts w:ascii="Times New Roman" w:hAnsi="Times New Roman"/>
                <w:b w:val="0"/>
                <w:sz w:val="24"/>
                <w:u w:val="none"/>
              </w:rPr>
              <w:t>Déclarer sous cette position le montant des fonds propres à détenir en vertu de l’article 500, paragraphe 1, point b) du CRR (c’est-à-dire à 80 % du montant minimal total de fonds propres que l’établissement s</w:t>
            </w:r>
            <w:r>
              <w:rPr>
                <w:rStyle w:val="InstructionsTabelleberschrift"/>
                <w:rFonts w:ascii="Times New Roman" w:hAnsi="Times New Roman"/>
                <w:b w:val="0"/>
                <w:sz w:val="24"/>
                <w:u w:val="none"/>
              </w:rPr>
              <w:t>e</w:t>
            </w:r>
            <w:r>
              <w:rPr>
                <w:rStyle w:val="InstructionsTabelleberschrift"/>
                <w:rFonts w:ascii="Times New Roman" w:hAnsi="Times New Roman"/>
                <w:b w:val="0"/>
                <w:sz w:val="24"/>
                <w:u w:val="none"/>
              </w:rPr>
              <w:t>rait tenu de détenir en vertu de l’article 4 de la directive 93/6/CEE, telle que cette directive et la directive 2000/12/CE du Parlement européen et du Conseil du 20 mars 2000 concernant l’accès à l’activité des établi</w:t>
            </w:r>
            <w:r>
              <w:rPr>
                <w:rStyle w:val="InstructionsTabelleberschrift"/>
                <w:rFonts w:ascii="Times New Roman" w:hAnsi="Times New Roman"/>
                <w:b w:val="0"/>
                <w:sz w:val="24"/>
                <w:u w:val="none"/>
              </w:rPr>
              <w:t>s</w:t>
            </w:r>
            <w:r>
              <w:rPr>
                <w:rStyle w:val="InstructionsTabelleberschrift"/>
                <w:rFonts w:ascii="Times New Roman" w:hAnsi="Times New Roman"/>
                <w:b w:val="0"/>
                <w:sz w:val="24"/>
                <w:u w:val="none"/>
              </w:rPr>
              <w:t>sements de crédit étaient applicables avant janvier 2007).</w:t>
            </w:r>
          </w:p>
        </w:tc>
      </w:tr>
      <w:tr w:rsidR="000A4B61" w:rsidRPr="00392FFD" w:rsidTr="000A4B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06" w:type="dxa"/>
            <w:tcBorders>
              <w:top w:val="single" w:sz="4" w:space="0" w:color="auto"/>
              <w:left w:val="single" w:sz="4" w:space="0" w:color="auto"/>
              <w:bottom w:val="single" w:sz="4" w:space="0" w:color="auto"/>
              <w:right w:val="single" w:sz="4" w:space="0" w:color="auto"/>
            </w:tcBorders>
          </w:tcPr>
          <w:p w:rsidR="000A4B61" w:rsidRPr="00392FFD" w:rsidRDefault="007E16E5" w:rsidP="00622B37">
            <w:pPr>
              <w:pStyle w:val="InstructionsText"/>
            </w:pPr>
            <w:r>
              <w:t>900</w:t>
            </w:r>
          </w:p>
        </w:tc>
        <w:tc>
          <w:tcPr>
            <w:tcW w:w="7243" w:type="dxa"/>
            <w:tcBorders>
              <w:top w:val="single" w:sz="4" w:space="0" w:color="auto"/>
              <w:left w:val="single" w:sz="4" w:space="0" w:color="auto"/>
              <w:bottom w:val="single" w:sz="4" w:space="0" w:color="auto"/>
              <w:right w:val="single" w:sz="4" w:space="0" w:color="auto"/>
            </w:tcBorders>
          </w:tcPr>
          <w:p w:rsidR="007E16E5" w:rsidRPr="00201704" w:rsidRDefault="007E16E5"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Exigences de fonds propres pour plancher Bâle I – SA de rempl</w:t>
            </w:r>
            <w:r>
              <w:rPr>
                <w:rStyle w:val="InstructionsTabelleberschrift"/>
                <w:rFonts w:ascii="Times New Roman" w:hAnsi="Times New Roman"/>
                <w:sz w:val="24"/>
              </w:rPr>
              <w:t>a</w:t>
            </w:r>
            <w:r>
              <w:rPr>
                <w:rStyle w:val="InstructionsTabelleberschrift"/>
                <w:rFonts w:ascii="Times New Roman" w:hAnsi="Times New Roman"/>
                <w:sz w:val="24"/>
              </w:rPr>
              <w:t>cement</w:t>
            </w:r>
          </w:p>
          <w:p w:rsidR="000A4B61" w:rsidRPr="00392FFD" w:rsidRDefault="007E16E5"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 xml:space="preserve">Article 500, paragraphes 2 et 3, du CRR </w:t>
            </w:r>
          </w:p>
          <w:p w:rsidR="00DE48EF" w:rsidRPr="00201704" w:rsidRDefault="00DE48EF"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Déclarer sous cette position le montant des fonds propres à détenir en vertu de l’article 500, paragraphe 2, du CRR (c’est-à-dire à 80 % des fonds propres que l’établissement serait tenu de détenir en vertu de l’article 92 en calculant les montants des expositions pondérés confo</w:t>
            </w:r>
            <w:r>
              <w:rPr>
                <w:rStyle w:val="InstructionsTabelleberschrift"/>
                <w:rFonts w:ascii="Times New Roman" w:hAnsi="Times New Roman"/>
                <w:b w:val="0"/>
                <w:sz w:val="24"/>
                <w:u w:val="none"/>
              </w:rPr>
              <w:t>r</w:t>
            </w:r>
            <w:r>
              <w:rPr>
                <w:rStyle w:val="InstructionsTabelleberschrift"/>
                <w:rFonts w:ascii="Times New Roman" w:hAnsi="Times New Roman"/>
                <w:b w:val="0"/>
                <w:sz w:val="24"/>
                <w:u w:val="none"/>
              </w:rPr>
              <w:t>mément à la troisième partie, titre II, chapitre 2, et à la troisième partie, titre III, chapitre 2 ou 3 du CRR, selon le cas, plutôt que conformément à la troisième partie, titre II, chapitre 3, ou à la troisième partie, titre III, chapitre 4 du CRR, selon le cas).</w:t>
            </w:r>
          </w:p>
        </w:tc>
      </w:tr>
      <w:tr w:rsidR="00A840D5" w:rsidRPr="00392FFD" w:rsidTr="000A4B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06" w:type="dxa"/>
            <w:tcBorders>
              <w:top w:val="single" w:sz="4" w:space="0" w:color="auto"/>
              <w:left w:val="single" w:sz="4" w:space="0" w:color="auto"/>
              <w:bottom w:val="single" w:sz="4" w:space="0" w:color="auto"/>
              <w:right w:val="single" w:sz="4" w:space="0" w:color="auto"/>
            </w:tcBorders>
          </w:tcPr>
          <w:p w:rsidR="00A840D5" w:rsidRPr="00392FFD" w:rsidRDefault="00A840D5" w:rsidP="00622B37">
            <w:pPr>
              <w:pStyle w:val="InstructionsText"/>
            </w:pPr>
            <w:r>
              <w:t>910</w:t>
            </w:r>
          </w:p>
        </w:tc>
        <w:tc>
          <w:tcPr>
            <w:tcW w:w="7243" w:type="dxa"/>
            <w:tcBorders>
              <w:top w:val="single" w:sz="4" w:space="0" w:color="auto"/>
              <w:left w:val="single" w:sz="4" w:space="0" w:color="auto"/>
              <w:bottom w:val="single" w:sz="4" w:space="0" w:color="auto"/>
              <w:right w:val="single" w:sz="4" w:space="0" w:color="auto"/>
            </w:tcBorders>
          </w:tcPr>
          <w:p w:rsidR="002540B2" w:rsidRPr="00201704" w:rsidRDefault="002540B2"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Déficit de fonds propres totaux en ce qui concerne les exigences de fonds propres pour plancher Bâle I ou SA de remplacement</w:t>
            </w:r>
          </w:p>
          <w:p w:rsidR="00DE48EF" w:rsidRPr="00392FFD" w:rsidRDefault="003A1469"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 xml:space="preserve">Article 500, paragraphe 1, point b), et article 500, paragraphe 2, du CRR </w:t>
            </w:r>
          </w:p>
          <w:p w:rsidR="00DE48EF" w:rsidRPr="00392FFD" w:rsidRDefault="00DE48EF"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Indiquer sur cette ligne:</w:t>
            </w:r>
          </w:p>
          <w:p w:rsidR="00DE48EF" w:rsidRPr="00392FFD" w:rsidRDefault="00DE48EF" w:rsidP="0023700C">
            <w:pPr>
              <w:pStyle w:val="InstructionsText"/>
              <w:ind w:left="709" w:hanging="709"/>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w:t>
            </w:r>
            <w:r>
              <w:tab/>
            </w:r>
            <w:r>
              <w:rPr>
                <w:rStyle w:val="InstructionsTabelleberschrift"/>
                <w:rFonts w:ascii="Times New Roman" w:hAnsi="Times New Roman"/>
                <w:b w:val="0"/>
                <w:sz w:val="24"/>
                <w:u w:val="none"/>
              </w:rPr>
              <w:t xml:space="preserve">si l'article 500, paragraphe 1, point b) du CRR est appliqué et que la ligne 880 &lt; la ligne 890: </w:t>
            </w:r>
            <w:r>
              <w:rPr>
                <w:rStyle w:val="InstructionsTabelleberschrift"/>
                <w:rFonts w:ascii="Times New Roman" w:hAnsi="Times New Roman"/>
                <w:b w:val="0"/>
                <w:sz w:val="24"/>
                <w:u w:val="none"/>
              </w:rPr>
              <w:br/>
              <w:t xml:space="preserve">la différence entre la ligne 890 et la ligne 880; </w:t>
            </w:r>
          </w:p>
          <w:p w:rsidR="00DE48EF" w:rsidRPr="00392FFD" w:rsidRDefault="00DE48EF" w:rsidP="0023700C">
            <w:pPr>
              <w:pStyle w:val="InstructionsText"/>
              <w:ind w:left="709" w:hanging="709"/>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lastRenderedPageBreak/>
              <w:t>-</w:t>
            </w:r>
            <w:r>
              <w:tab/>
            </w:r>
            <w:r>
              <w:rPr>
                <w:rStyle w:val="InstructionsTabelleberschrift"/>
                <w:rFonts w:ascii="Times New Roman" w:hAnsi="Times New Roman"/>
                <w:b w:val="0"/>
                <w:sz w:val="24"/>
                <w:u w:val="none"/>
              </w:rPr>
              <w:t>si l’article 500, paragraphe 2, du CRR est appliqué et que la ligne 010 de C 01.00 &lt; la ligne 900 de C 04.00: la différence entre la ligne 900 de C 04.00 et la ligne 010 de C 01.00.</w:t>
            </w:r>
          </w:p>
        </w:tc>
      </w:tr>
    </w:tbl>
    <w:p w:rsidR="002648B0" w:rsidRPr="00392FFD" w:rsidRDefault="002648B0" w:rsidP="00622B37">
      <w:pPr>
        <w:pStyle w:val="InstructionsText"/>
      </w:pPr>
    </w:p>
    <w:p w:rsidR="002648B0" w:rsidRPr="00392FFD" w:rsidRDefault="00936DD1" w:rsidP="0023700C">
      <w:pPr>
        <w:pStyle w:val="Instructionsberschrift2"/>
        <w:numPr>
          <w:ilvl w:val="0"/>
          <w:numId w:val="0"/>
        </w:numPr>
        <w:ind w:left="357" w:hanging="357"/>
        <w:rPr>
          <w:rFonts w:ascii="Times New Roman" w:hAnsi="Times New Roman" w:cs="Times New Roman"/>
          <w:sz w:val="24"/>
        </w:rPr>
      </w:pPr>
      <w:bookmarkStart w:id="68" w:name="_Toc360188333"/>
      <w:bookmarkStart w:id="69" w:name="_Toc473560881"/>
      <w:bookmarkStart w:id="70" w:name="_Toc308175834"/>
      <w:bookmarkStart w:id="71" w:name="_Toc496022276"/>
      <w:r>
        <w:rPr>
          <w:rFonts w:ascii="Times New Roman" w:hAnsi="Times New Roman"/>
          <w:sz w:val="24"/>
          <w:u w:val="none"/>
        </w:rPr>
        <w:t>1.6</w:t>
      </w:r>
      <w:r>
        <w:tab/>
      </w:r>
      <w:r>
        <w:rPr>
          <w:rFonts w:ascii="Times New Roman" w:hAnsi="Times New Roman"/>
          <w:sz w:val="24"/>
        </w:rPr>
        <w:t>DISPOSITIONS TRANSITOIRES et INSTRUMENTS BÉNÉFICIANT D’UNE CLAUSE D’ANTÉRIORITÉ: INSTRUMENTS NE CONSTITUANT PAS UNE AIDE D’ÉTAT (CA5</w:t>
      </w:r>
      <w:bookmarkEnd w:id="68"/>
      <w:r>
        <w:rPr>
          <w:rFonts w:ascii="Times New Roman" w:hAnsi="Times New Roman"/>
          <w:sz w:val="24"/>
        </w:rPr>
        <w:t>)</w:t>
      </w:r>
      <w:bookmarkEnd w:id="69"/>
      <w:bookmarkEnd w:id="71"/>
    </w:p>
    <w:p w:rsidR="002648B0" w:rsidRPr="00392FFD" w:rsidRDefault="00936DD1" w:rsidP="0023700C">
      <w:pPr>
        <w:pStyle w:val="Instructionsberschrift2"/>
        <w:numPr>
          <w:ilvl w:val="0"/>
          <w:numId w:val="0"/>
        </w:numPr>
        <w:ind w:left="357" w:hanging="357"/>
        <w:rPr>
          <w:rFonts w:ascii="Times New Roman" w:hAnsi="Times New Roman" w:cs="Times New Roman"/>
          <w:sz w:val="24"/>
        </w:rPr>
      </w:pPr>
      <w:bookmarkStart w:id="72" w:name="_Toc308175835"/>
      <w:bookmarkStart w:id="73" w:name="_Toc360188334"/>
      <w:bookmarkStart w:id="74" w:name="_Toc473560882"/>
      <w:bookmarkStart w:id="75" w:name="_Toc496022277"/>
      <w:bookmarkEnd w:id="70"/>
      <w:r>
        <w:rPr>
          <w:rFonts w:ascii="Times New Roman" w:hAnsi="Times New Roman"/>
          <w:sz w:val="24"/>
          <w:u w:val="none"/>
        </w:rPr>
        <w:t>1.6.1</w:t>
      </w:r>
      <w:r>
        <w:tab/>
      </w:r>
      <w:r>
        <w:rPr>
          <w:rFonts w:ascii="Times New Roman" w:hAnsi="Times New Roman"/>
          <w:sz w:val="24"/>
        </w:rPr>
        <w:t>Remarques générales</w:t>
      </w:r>
      <w:bookmarkEnd w:id="72"/>
      <w:bookmarkEnd w:id="73"/>
      <w:bookmarkEnd w:id="74"/>
      <w:bookmarkEnd w:id="75"/>
    </w:p>
    <w:p w:rsidR="00783881" w:rsidRPr="00392FFD" w:rsidRDefault="00B43C2A" w:rsidP="0023700C">
      <w:pPr>
        <w:pStyle w:val="InstructionsText2"/>
        <w:numPr>
          <w:ilvl w:val="0"/>
          <w:numId w:val="0"/>
        </w:numPr>
        <w:ind w:left="1353" w:hanging="360"/>
      </w:pPr>
      <w:r>
        <w:t>15.</w:t>
      </w:r>
      <w:r>
        <w:tab/>
        <w:t>Le modèle CA5 synthétise le calcul des éléments de fonds propres et des dédu</w:t>
      </w:r>
      <w:r>
        <w:t>c</w:t>
      </w:r>
      <w:r>
        <w:t xml:space="preserve">tions soumises aux dispositions transitoires énoncées dans les articles 465 à 491 du CRR. </w:t>
      </w:r>
    </w:p>
    <w:p w:rsidR="00496C53" w:rsidRPr="00392FFD" w:rsidRDefault="00125707" w:rsidP="0023700C">
      <w:pPr>
        <w:pStyle w:val="InstructionsText2"/>
        <w:numPr>
          <w:ilvl w:val="0"/>
          <w:numId w:val="0"/>
        </w:numPr>
        <w:ind w:left="1353" w:hanging="360"/>
      </w:pPr>
      <w:r>
        <w:t>16.</w:t>
      </w:r>
      <w:r>
        <w:tab/>
        <w:t>Le CA5 est structuré comme suit:</w:t>
      </w:r>
    </w:p>
    <w:p w:rsidR="002648B0" w:rsidRPr="00392FFD" w:rsidRDefault="00125707" w:rsidP="0023700C">
      <w:pPr>
        <w:pStyle w:val="InstructionsText2"/>
        <w:numPr>
          <w:ilvl w:val="0"/>
          <w:numId w:val="0"/>
        </w:numPr>
        <w:ind w:left="1440" w:hanging="360"/>
      </w:pPr>
      <w:r>
        <w:t>a)</w:t>
      </w:r>
      <w:r>
        <w:tab/>
      </w:r>
      <w:r>
        <w:rPr>
          <w:u w:val="single"/>
        </w:rPr>
        <w:t>Le modèle 5.1</w:t>
      </w:r>
      <w:r>
        <w:t xml:space="preserve"> traite de tous les ajustements à appliquer aux différentes comp</w:t>
      </w:r>
      <w:r>
        <w:t>o</w:t>
      </w:r>
      <w:r>
        <w:t>santes des fonds propres (déclarées dans le CA1 conformément aux dispos</w:t>
      </w:r>
      <w:r>
        <w:t>i</w:t>
      </w:r>
      <w:r>
        <w:t>tions finales) en raison de l'application des dispositions transitoires. Les él</w:t>
      </w:r>
      <w:r>
        <w:t>é</w:t>
      </w:r>
      <w:r>
        <w:t>ments de ce tableau sont présentés comme des «ajustements» apportés aux d</w:t>
      </w:r>
      <w:r>
        <w:t>i</w:t>
      </w:r>
      <w:r>
        <w:t>verses composantes des fonds propres de CA1, afin de refléter les effets des dispositions transitoires dans les composantes des fonds propres.</w:t>
      </w:r>
    </w:p>
    <w:p w:rsidR="002648B0" w:rsidRPr="00392FFD" w:rsidRDefault="00125707" w:rsidP="0023700C">
      <w:pPr>
        <w:pStyle w:val="InstructionsText2"/>
        <w:numPr>
          <w:ilvl w:val="0"/>
          <w:numId w:val="0"/>
        </w:numPr>
        <w:ind w:left="1440" w:hanging="360"/>
      </w:pPr>
      <w:r>
        <w:t>b)</w:t>
      </w:r>
      <w:r>
        <w:tab/>
      </w:r>
      <w:r>
        <w:rPr>
          <w:u w:val="single"/>
        </w:rPr>
        <w:t>Le modèle 5.2</w:t>
      </w:r>
      <w:r>
        <w:t xml:space="preserve"> détaille le calcul des instruments bénéficiant d'une clause d'ant</w:t>
      </w:r>
      <w:r>
        <w:t>é</w:t>
      </w:r>
      <w:r>
        <w:t xml:space="preserve">riorité et qui ne constituent pas une aide d'État. </w:t>
      </w:r>
    </w:p>
    <w:p w:rsidR="005643EA" w:rsidRPr="00392FFD" w:rsidRDefault="00125707" w:rsidP="0023700C">
      <w:pPr>
        <w:pStyle w:val="InstructionsText2"/>
        <w:numPr>
          <w:ilvl w:val="0"/>
          <w:numId w:val="0"/>
        </w:numPr>
        <w:ind w:left="1353" w:hanging="360"/>
      </w:pPr>
      <w:bookmarkStart w:id="76" w:name="_Toc307386943"/>
      <w:r>
        <w:t>17.</w:t>
      </w:r>
      <w:r>
        <w:tab/>
        <w:t>Dans les quatre premières colonnes, les établissements déclarent les ajustements apportés aux fonds propres de base de catégorie 1, aux fonds propres additio</w:t>
      </w:r>
      <w:r>
        <w:t>n</w:t>
      </w:r>
      <w:r>
        <w:t>nels de catégorie 1, aux fonds propres de catégorie 2, ainsi qu’au montant à tra</w:t>
      </w:r>
      <w:r>
        <w:t>i</w:t>
      </w:r>
      <w:r>
        <w:t>ter comme des actifs pondérés par le risque. De même, les établissements sont tenus de déclarer le pourcentage applicable dans la colonne 050 et le montant éligible, sans application des dispositions transitoires, dans la colonne 060.</w:t>
      </w:r>
    </w:p>
    <w:p w:rsidR="005643EA" w:rsidRPr="00392FFD" w:rsidRDefault="00125707" w:rsidP="0023700C">
      <w:pPr>
        <w:pStyle w:val="InstructionsText2"/>
        <w:numPr>
          <w:ilvl w:val="0"/>
          <w:numId w:val="0"/>
        </w:numPr>
        <w:ind w:left="1353" w:hanging="360"/>
      </w:pPr>
      <w:r>
        <w:t>18.</w:t>
      </w:r>
      <w:r>
        <w:tab/>
        <w:t>Les établissements ne déclareront les éléments dans CA5 que durant la période d’application des dispositions transitoires, conformément à la dixième partie du CRR.</w:t>
      </w:r>
    </w:p>
    <w:p w:rsidR="005643EA" w:rsidRPr="00392FFD" w:rsidRDefault="00125707" w:rsidP="0023700C">
      <w:pPr>
        <w:pStyle w:val="InstructionsText2"/>
        <w:numPr>
          <w:ilvl w:val="0"/>
          <w:numId w:val="0"/>
        </w:numPr>
        <w:ind w:left="1353" w:hanging="360"/>
      </w:pPr>
      <w:r>
        <w:t>19.</w:t>
      </w:r>
      <w:r>
        <w:tab/>
        <w:t>Certaines dispositions transitoires exigent une déduction des fonds propres de catégorie 1. Dans ce cas, le montant résiduel d’une ou plusieurs déductions est appliqué aux fonds propres de catégorie 1; si les fonds propres additionnels de catégorie 1 ne suffisent pas à absorber ce montant, l’excédent sera déduit des fonds propres de base de catégorie 1.</w:t>
      </w:r>
    </w:p>
    <w:p w:rsidR="002648B0" w:rsidRPr="00392FFD" w:rsidRDefault="00125707" w:rsidP="0023700C">
      <w:pPr>
        <w:pStyle w:val="Instructionsberschrift2"/>
        <w:numPr>
          <w:ilvl w:val="0"/>
          <w:numId w:val="0"/>
        </w:numPr>
        <w:ind w:left="357" w:hanging="357"/>
        <w:rPr>
          <w:rFonts w:ascii="Times New Roman" w:hAnsi="Times New Roman" w:cs="Times New Roman"/>
          <w:sz w:val="24"/>
        </w:rPr>
      </w:pPr>
      <w:bookmarkStart w:id="77" w:name="_Toc473560883"/>
      <w:bookmarkStart w:id="78" w:name="_Toc360188335"/>
      <w:bookmarkStart w:id="79" w:name="_Toc308175836"/>
      <w:bookmarkStart w:id="80" w:name="_Toc496022278"/>
      <w:bookmarkEnd w:id="76"/>
      <w:r>
        <w:rPr>
          <w:rFonts w:ascii="Times New Roman" w:hAnsi="Times New Roman"/>
          <w:sz w:val="24"/>
          <w:u w:val="none"/>
        </w:rPr>
        <w:t>1.6.2.</w:t>
      </w:r>
      <w:r>
        <w:tab/>
      </w:r>
      <w:r>
        <w:rPr>
          <w:rFonts w:ascii="Times New Roman" w:hAnsi="Times New Roman"/>
          <w:sz w:val="24"/>
        </w:rPr>
        <w:t>C 05.01 - DISPOSITIONS TRANSITOIRES (CA5.1)</w:t>
      </w:r>
      <w:bookmarkEnd w:id="77"/>
      <w:bookmarkEnd w:id="80"/>
      <w:r>
        <w:rPr>
          <w:rFonts w:ascii="Times New Roman" w:hAnsi="Times New Roman"/>
          <w:sz w:val="24"/>
        </w:rPr>
        <w:t xml:space="preserve"> </w:t>
      </w:r>
      <w:bookmarkEnd w:id="78"/>
      <w:bookmarkEnd w:id="79"/>
    </w:p>
    <w:p w:rsidR="002648B0" w:rsidRPr="00392FFD" w:rsidRDefault="00125707" w:rsidP="0023700C">
      <w:pPr>
        <w:pStyle w:val="InstructionsText2"/>
        <w:numPr>
          <w:ilvl w:val="0"/>
          <w:numId w:val="0"/>
        </w:numPr>
        <w:ind w:left="1353" w:hanging="360"/>
      </w:pPr>
      <w:r>
        <w:t>20.</w:t>
      </w:r>
      <w:r>
        <w:tab/>
        <w:t xml:space="preserve">Dans le tableau 5.1, les établissements déclarent les dispositions transitoires pour les composantes des fonds propres, comme énoncé dans les articles 465 à 491 du CRR, par rapport à l’application des dispositions finales énoncées à la deuxième partie, titre II du CRR. </w:t>
      </w:r>
    </w:p>
    <w:p w:rsidR="00783881" w:rsidRPr="00392FFD" w:rsidRDefault="00125707" w:rsidP="0023700C">
      <w:pPr>
        <w:pStyle w:val="InstructionsText2"/>
        <w:numPr>
          <w:ilvl w:val="0"/>
          <w:numId w:val="0"/>
        </w:numPr>
        <w:ind w:left="1353" w:hanging="360"/>
      </w:pPr>
      <w:r>
        <w:lastRenderedPageBreak/>
        <w:t>21.</w:t>
      </w:r>
      <w:r>
        <w:tab/>
        <w:t>Dans les lignes 020 à 060, les établissements déclarent les informations rel</w:t>
      </w:r>
      <w:r>
        <w:t>a</w:t>
      </w:r>
      <w:r>
        <w:t>tives aux dispositions transitoires pour les instruments bénéficiant d’une clause d’antériorité. Les montants à déclarer dans les colonnes 010 à 030 de la ligne 060 du modèle CA 5.1 peuvent provenir des sections respectives du modèle CA 5.2.</w:t>
      </w:r>
    </w:p>
    <w:p w:rsidR="00496C53" w:rsidRPr="00392FFD" w:rsidRDefault="00125707" w:rsidP="0023700C">
      <w:pPr>
        <w:pStyle w:val="InstructionsText2"/>
        <w:numPr>
          <w:ilvl w:val="0"/>
          <w:numId w:val="0"/>
        </w:numPr>
        <w:ind w:left="1353" w:hanging="360"/>
      </w:pPr>
      <w:r>
        <w:t>22.</w:t>
      </w:r>
      <w:r>
        <w:tab/>
        <w:t>Dans les colonnes 070 à 092, les établissements déclarent les informations rel</w:t>
      </w:r>
      <w:r>
        <w:t>a</w:t>
      </w:r>
      <w:r>
        <w:t>tives aux dispositions transitoires pour les intérêts minoritaires, les instruments de fonds propres additionnels de catégorie 1 et les instruments de fonds propres de catégorie 2 émis par les filiales (conformément aux articles 479 et 480 du CRR).</w:t>
      </w:r>
    </w:p>
    <w:p w:rsidR="00783881" w:rsidRPr="00392FFD" w:rsidRDefault="00125707" w:rsidP="0023700C">
      <w:pPr>
        <w:pStyle w:val="InstructionsText2"/>
        <w:numPr>
          <w:ilvl w:val="0"/>
          <w:numId w:val="0"/>
        </w:numPr>
        <w:ind w:left="1353" w:hanging="360"/>
      </w:pPr>
      <w:r>
        <w:t>23.</w:t>
      </w:r>
      <w:r>
        <w:tab/>
        <w:t>À partir de la colonne 100, les établissements déclarent les informations liées aux dispositions transitoires pour les pertes et gains non réalisés, les déductions ainsi que les filtres et déductions supplémentaires.</w:t>
      </w:r>
    </w:p>
    <w:p w:rsidR="005643EA" w:rsidRPr="00392FFD" w:rsidRDefault="00125707" w:rsidP="0023700C">
      <w:pPr>
        <w:pStyle w:val="InstructionsText2"/>
        <w:numPr>
          <w:ilvl w:val="0"/>
          <w:numId w:val="0"/>
        </w:numPr>
        <w:ind w:left="1353" w:hanging="360"/>
      </w:pPr>
      <w:r>
        <w:t>24.</w:t>
      </w:r>
      <w:r>
        <w:tab/>
        <w:t>Dans certains cas, les déductions transitoires de fonds propres de base de cat</w:t>
      </w:r>
      <w:r>
        <w:t>é</w:t>
      </w:r>
      <w:r>
        <w:t>gorie 1, de fonds propres additionnels de catégorie 1 ou de fonds propres de c</w:t>
      </w:r>
      <w:r>
        <w:t>a</w:t>
      </w:r>
      <w:r>
        <w:t>tégorie 2 pourraient être supérieures aux fonds propres de base de catégorie 1, aux fonds propres additionnels de catégorie 1 ou aux fonds propres de catégorie 2 d'un établissement. Cet effet, lorsqu'il découle des dispositions transitoires, s</w:t>
      </w:r>
      <w:r>
        <w:t>e</w:t>
      </w:r>
      <w:r>
        <w:t>ra indiqué dans le modèle CA1, dans les cellules respectives. En conséquence, les ajustements figurant dans les colonnes du modèle CA5 ne comprennent a</w:t>
      </w:r>
      <w:r>
        <w:t>u</w:t>
      </w:r>
      <w:r>
        <w:t xml:space="preserve">cune retombée due à un manque de fonds propres disponibles. </w:t>
      </w:r>
    </w:p>
    <w:p w:rsidR="002648B0" w:rsidRPr="00392FFD" w:rsidRDefault="00125707" w:rsidP="0023700C">
      <w:pPr>
        <w:pStyle w:val="Instructionsberschrift2"/>
        <w:numPr>
          <w:ilvl w:val="0"/>
          <w:numId w:val="0"/>
        </w:numPr>
        <w:ind w:left="357" w:hanging="357"/>
        <w:rPr>
          <w:rFonts w:ascii="Times New Roman" w:hAnsi="Times New Roman" w:cs="Times New Roman"/>
          <w:sz w:val="24"/>
        </w:rPr>
      </w:pPr>
      <w:bookmarkStart w:id="81" w:name="_Toc360188336"/>
      <w:bookmarkStart w:id="82" w:name="_Toc473560884"/>
      <w:bookmarkStart w:id="83" w:name="_Toc496022279"/>
      <w:r>
        <w:rPr>
          <w:rFonts w:ascii="Times New Roman" w:hAnsi="Times New Roman"/>
          <w:sz w:val="24"/>
          <w:u w:val="none"/>
        </w:rPr>
        <w:t>1.6.2.1.</w:t>
      </w:r>
      <w:r>
        <w:tab/>
      </w:r>
      <w:r>
        <w:rPr>
          <w:rFonts w:ascii="Times New Roman" w:hAnsi="Times New Roman"/>
          <w:sz w:val="24"/>
        </w:rPr>
        <w:t>Instructions concernant certaines positions</w:t>
      </w:r>
      <w:bookmarkEnd w:id="81"/>
      <w:bookmarkEnd w:id="82"/>
      <w:bookmarkEnd w:id="83"/>
    </w:p>
    <w:p w:rsidR="002648B0" w:rsidRPr="00392FFD" w:rsidRDefault="002648B0" w:rsidP="009F1084">
      <w:pPr>
        <w:spacing w:after="0"/>
        <w:rPr>
          <w:rFonts w:ascii="Times New Roman" w:hAnsi="Times New Roman"/>
          <w:sz w:val="24"/>
        </w:rPr>
      </w:pPr>
    </w:p>
    <w:tbl>
      <w:tblPr>
        <w:tblW w:w="0" w:type="auto"/>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94"/>
        <w:gridCol w:w="7478"/>
      </w:tblGrid>
      <w:tr w:rsidR="002648B0" w:rsidRPr="00392FFD" w:rsidTr="009F1084">
        <w:tc>
          <w:tcPr>
            <w:tcW w:w="8372" w:type="dxa"/>
            <w:gridSpan w:val="2"/>
            <w:shd w:val="clear" w:color="auto" w:fill="D9D9D9"/>
          </w:tcPr>
          <w:p w:rsidR="00783881" w:rsidRPr="00392FFD" w:rsidRDefault="002648B0" w:rsidP="00622B37">
            <w:pPr>
              <w:pStyle w:val="InstructionsText"/>
            </w:pPr>
            <w:r>
              <w:t>Colonnes</w:t>
            </w:r>
          </w:p>
        </w:tc>
      </w:tr>
      <w:tr w:rsidR="002648B0" w:rsidRPr="00392FFD" w:rsidTr="009F1084">
        <w:tc>
          <w:tcPr>
            <w:tcW w:w="894"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010</w:t>
            </w:r>
          </w:p>
        </w:tc>
        <w:tc>
          <w:tcPr>
            <w:tcW w:w="7478"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Ajustements des fonds propres CET1</w:t>
            </w:r>
          </w:p>
        </w:tc>
      </w:tr>
      <w:tr w:rsidR="002648B0" w:rsidRPr="00392FFD" w:rsidTr="009F1084">
        <w:tc>
          <w:tcPr>
            <w:tcW w:w="894"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020</w:t>
            </w:r>
          </w:p>
        </w:tc>
        <w:tc>
          <w:tcPr>
            <w:tcW w:w="7478"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Ajustements des fonds propres AT1</w:t>
            </w:r>
          </w:p>
        </w:tc>
      </w:tr>
      <w:tr w:rsidR="002648B0" w:rsidRPr="00392FFD" w:rsidTr="009F1084">
        <w:tc>
          <w:tcPr>
            <w:tcW w:w="894"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030</w:t>
            </w:r>
          </w:p>
        </w:tc>
        <w:tc>
          <w:tcPr>
            <w:tcW w:w="7478"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Ajustements des fonds propres T2</w:t>
            </w:r>
          </w:p>
        </w:tc>
      </w:tr>
      <w:tr w:rsidR="002648B0" w:rsidRPr="00392FFD" w:rsidTr="009F1084">
        <w:tc>
          <w:tcPr>
            <w:tcW w:w="894"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040</w:t>
            </w:r>
          </w:p>
        </w:tc>
        <w:tc>
          <w:tcPr>
            <w:tcW w:w="7478"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Ajustements inclus dans les actifs pondérés en fonction du risque</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Dans la colonne 040 figurent les montants pertinents ajustant le montant total d’exposition au risque visé à l’article 92, paragraphe 3, du CRR, en raison des dispositions transitoires. Les montants déclarés prennent en co</w:t>
            </w:r>
            <w:r>
              <w:rPr>
                <w:rStyle w:val="InstructionsTabelleText"/>
                <w:rFonts w:ascii="Times New Roman" w:hAnsi="Times New Roman"/>
                <w:sz w:val="24"/>
              </w:rPr>
              <w:t>n</w:t>
            </w:r>
            <w:r>
              <w:rPr>
                <w:rStyle w:val="InstructionsTabelleText"/>
                <w:rFonts w:ascii="Times New Roman" w:hAnsi="Times New Roman"/>
                <w:sz w:val="24"/>
              </w:rPr>
              <w:t>sidération l’application des dispositions du chapitre 2 ou du chapitre 3 du titre II de la troisième partie ou de celles du titre IV de la troisième partie, conformément à l’article 92, paragraphe 4, du CRR. Cela signifie que les montants transitoires soumis aux dispositions du chapitre 2 ou du chapitre 3 du titre II de la troisième partie devraient être déclarés comme des mo</w:t>
            </w:r>
            <w:r>
              <w:rPr>
                <w:rStyle w:val="InstructionsTabelleText"/>
                <w:rFonts w:ascii="Times New Roman" w:hAnsi="Times New Roman"/>
                <w:sz w:val="24"/>
              </w:rPr>
              <w:t>n</w:t>
            </w:r>
            <w:r>
              <w:rPr>
                <w:rStyle w:val="InstructionsTabelleText"/>
                <w:rFonts w:ascii="Times New Roman" w:hAnsi="Times New Roman"/>
                <w:sz w:val="24"/>
              </w:rPr>
              <w:t>tants d’exposition pondérés, alors que les montants transitoires soumis aux dispositions du titre IV de la troisième partie devraient correspondre aux exigences de fonds propres multipliées par 12,5.</w:t>
            </w:r>
          </w:p>
          <w:p w:rsidR="005643EA" w:rsidRPr="00201704" w:rsidRDefault="00B4177D" w:rsidP="00622B37">
            <w:pPr>
              <w:pStyle w:val="InstructionsText"/>
              <w:rPr>
                <w:rStyle w:val="InstructionsTabelleberschrift"/>
                <w:rFonts w:ascii="Times New Roman" w:hAnsi="Times New Roman"/>
                <w:b w:val="0"/>
                <w:bCs w:val="0"/>
                <w:sz w:val="24"/>
                <w:u w:val="none"/>
              </w:rPr>
            </w:pPr>
            <w:r>
              <w:rPr>
                <w:rStyle w:val="InstructionsTabelleText"/>
                <w:rFonts w:ascii="Times New Roman" w:hAnsi="Times New Roman"/>
                <w:sz w:val="24"/>
              </w:rPr>
              <w:t>Alors que les colonnes 010 à 030 ont un lien direct avec le modèle CA1, les ajustements du montant total d’exposition au risque n’ont aucun lien d</w:t>
            </w:r>
            <w:r>
              <w:rPr>
                <w:rStyle w:val="InstructionsTabelleText"/>
                <w:rFonts w:ascii="Times New Roman" w:hAnsi="Times New Roman"/>
                <w:sz w:val="24"/>
              </w:rPr>
              <w:t>i</w:t>
            </w:r>
            <w:r>
              <w:rPr>
                <w:rStyle w:val="InstructionsTabelleText"/>
                <w:rFonts w:ascii="Times New Roman" w:hAnsi="Times New Roman"/>
                <w:sz w:val="24"/>
              </w:rPr>
              <w:t xml:space="preserve">rect avec les modèles correspondant traitant du risque de crédit. S’il y a des ajustements du montant total d’exposition au risque dus aux dispositions </w:t>
            </w:r>
            <w:r>
              <w:rPr>
                <w:rStyle w:val="InstructionsTabelleText"/>
                <w:rFonts w:ascii="Times New Roman" w:hAnsi="Times New Roman"/>
                <w:sz w:val="24"/>
              </w:rPr>
              <w:lastRenderedPageBreak/>
              <w:t xml:space="preserve">transitoires, ces ajustements seront directement inclus dans le modèle CR SA, CR IRB, CR EQU IRB, MKR SA TDI, MKR SA EQU ou MKR IM. Ces effets seront par ailleurs déclarés dans la colonne 040 du CA5.1. Dès lors, ces montants ne représentent que des postes pour mémoire. </w:t>
            </w:r>
          </w:p>
        </w:tc>
      </w:tr>
      <w:tr w:rsidR="002648B0" w:rsidRPr="00392FFD" w:rsidTr="009F1084">
        <w:tc>
          <w:tcPr>
            <w:tcW w:w="894"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lastRenderedPageBreak/>
              <w:t>050</w:t>
            </w:r>
          </w:p>
        </w:tc>
        <w:tc>
          <w:tcPr>
            <w:tcW w:w="7478"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Pourcentage applicable</w:t>
            </w:r>
          </w:p>
        </w:tc>
      </w:tr>
      <w:tr w:rsidR="002648B0" w:rsidRPr="00392FFD" w:rsidTr="009F1084">
        <w:tc>
          <w:tcPr>
            <w:tcW w:w="894"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060</w:t>
            </w:r>
          </w:p>
        </w:tc>
        <w:tc>
          <w:tcPr>
            <w:tcW w:w="7478"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Montant éligible sans dispositions transitoires</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La colonne 060 inclut le montant de chaque instrument avant application des dispositions transitoires, soit le montant de base nécessaire pour calc</w:t>
            </w:r>
            <w:r>
              <w:rPr>
                <w:rStyle w:val="InstructionsTabelleText"/>
                <w:rFonts w:ascii="Times New Roman" w:hAnsi="Times New Roman"/>
                <w:sz w:val="24"/>
              </w:rPr>
              <w:t>u</w:t>
            </w:r>
            <w:r>
              <w:rPr>
                <w:rStyle w:val="InstructionsTabelleText"/>
                <w:rFonts w:ascii="Times New Roman" w:hAnsi="Times New Roman"/>
                <w:sz w:val="24"/>
              </w:rPr>
              <w:t>ler les ajustements.</w:t>
            </w:r>
          </w:p>
        </w:tc>
      </w:tr>
    </w:tbl>
    <w:p w:rsidR="002648B0" w:rsidRPr="00392FFD" w:rsidRDefault="002648B0" w:rsidP="009F1084">
      <w:pPr>
        <w:spacing w:after="0"/>
        <w:rPr>
          <w:rFonts w:ascii="Times New Roman" w:hAnsi="Times New Roman"/>
          <w:b/>
          <w:sz w:val="24"/>
        </w:rPr>
      </w:pPr>
    </w:p>
    <w:tbl>
      <w:tblPr>
        <w:tblW w:w="0" w:type="auto"/>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12"/>
        <w:gridCol w:w="7478"/>
      </w:tblGrid>
      <w:tr w:rsidR="002648B0" w:rsidRPr="00392FFD" w:rsidTr="000843B3">
        <w:tc>
          <w:tcPr>
            <w:tcW w:w="8490" w:type="dxa"/>
            <w:gridSpan w:val="2"/>
            <w:shd w:val="clear" w:color="auto" w:fill="D9D9D9"/>
          </w:tcPr>
          <w:p w:rsidR="002648B0" w:rsidRPr="00392FFD" w:rsidRDefault="002648B0" w:rsidP="00622B37">
            <w:pPr>
              <w:pStyle w:val="InstructionsText"/>
            </w:pPr>
            <w:r>
              <w:t>Lignes</w:t>
            </w:r>
          </w:p>
        </w:tc>
      </w:tr>
      <w:tr w:rsidR="002648B0" w:rsidRPr="00392FFD" w:rsidTr="000843B3">
        <w:tc>
          <w:tcPr>
            <w:tcW w:w="1012"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010</w:t>
            </w:r>
          </w:p>
        </w:tc>
        <w:tc>
          <w:tcPr>
            <w:tcW w:w="7478" w:type="dxa"/>
          </w:tcPr>
          <w:p w:rsidR="005643EA" w:rsidRPr="00201704" w:rsidRDefault="00C66473" w:rsidP="00622B37">
            <w:pPr>
              <w:pStyle w:val="InstructionsText"/>
              <w:rPr>
                <w:rStyle w:val="FormatvorlageInstructionsTabelleText"/>
                <w:rFonts w:ascii="Times New Roman" w:hAnsi="Times New Roman"/>
                <w:b/>
                <w:sz w:val="24"/>
                <w:u w:val="single"/>
              </w:rPr>
            </w:pPr>
            <w:r>
              <w:rPr>
                <w:rStyle w:val="InstructionsTabelleberschrift"/>
                <w:rFonts w:ascii="Times New Roman" w:hAnsi="Times New Roman"/>
                <w:sz w:val="24"/>
              </w:rPr>
              <w:t>1.</w:t>
            </w:r>
            <w:r>
              <w:tab/>
            </w:r>
            <w:r>
              <w:rPr>
                <w:rStyle w:val="InstructionsTabelleberschrift"/>
                <w:rFonts w:ascii="Times New Roman" w:hAnsi="Times New Roman"/>
                <w:sz w:val="24"/>
              </w:rPr>
              <w:t>Total ajustements</w:t>
            </w:r>
          </w:p>
          <w:p w:rsidR="002648B0" w:rsidRPr="00201704" w:rsidRDefault="002648B0" w:rsidP="007106FB">
            <w:pPr>
              <w:spacing w:before="0"/>
              <w:rPr>
                <w:rStyle w:val="FormatvorlageInstructionsTabelleText"/>
                <w:rFonts w:ascii="Times New Roman" w:hAnsi="Times New Roman"/>
                <w:bCs w:val="0"/>
                <w:sz w:val="24"/>
              </w:rPr>
            </w:pPr>
            <w:r>
              <w:rPr>
                <w:rStyle w:val="InstructionsTabelleText"/>
                <w:rFonts w:ascii="Times New Roman" w:hAnsi="Times New Roman"/>
                <w:sz w:val="24"/>
              </w:rPr>
              <w:t>Cette ligne reflète l’effet global des ajustements transitoires apportés aux différents types de fonds propres, plus les montants pondérés par le risque issus de ces ajustements.</w:t>
            </w:r>
          </w:p>
        </w:tc>
      </w:tr>
      <w:tr w:rsidR="002648B0" w:rsidRPr="00392FFD" w:rsidTr="000843B3">
        <w:tc>
          <w:tcPr>
            <w:tcW w:w="1012"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 xml:space="preserve">020 </w:t>
            </w:r>
          </w:p>
        </w:tc>
        <w:tc>
          <w:tcPr>
            <w:tcW w:w="7478" w:type="dxa"/>
          </w:tcPr>
          <w:p w:rsidR="005643EA" w:rsidRPr="00201704" w:rsidRDefault="002648B0" w:rsidP="00622B37">
            <w:pPr>
              <w:pStyle w:val="InstructionsText"/>
              <w:rPr>
                <w:rStyle w:val="InstructionsTabelleText"/>
                <w:rFonts w:ascii="Times New Roman" w:hAnsi="Times New Roman"/>
                <w:b/>
                <w:bCs/>
                <w:sz w:val="24"/>
                <w:u w:val="single"/>
              </w:rPr>
            </w:pPr>
            <w:r>
              <w:rPr>
                <w:rStyle w:val="InstructionsTabelleberschrift"/>
                <w:rFonts w:ascii="Times New Roman" w:hAnsi="Times New Roman"/>
                <w:sz w:val="24"/>
              </w:rPr>
              <w:t>1.1</w:t>
            </w:r>
            <w:r>
              <w:tab/>
            </w:r>
            <w:r>
              <w:rPr>
                <w:rStyle w:val="InstructionsTabelleberschrift"/>
                <w:rFonts w:ascii="Times New Roman" w:hAnsi="Times New Roman"/>
                <w:sz w:val="24"/>
              </w:rPr>
              <w:t>Instruments bénéficiant d’une clause d’antériorité</w:t>
            </w:r>
          </w:p>
          <w:p w:rsidR="002648B0" w:rsidRPr="00392FFD" w:rsidRDefault="002648B0" w:rsidP="007106FB">
            <w:pPr>
              <w:spacing w:before="0"/>
              <w:rPr>
                <w:rStyle w:val="InstructionsTabelleText"/>
                <w:rFonts w:ascii="Times New Roman" w:hAnsi="Times New Roman"/>
                <w:sz w:val="24"/>
              </w:rPr>
            </w:pPr>
            <w:r>
              <w:rPr>
                <w:rStyle w:val="InstructionsTabelleText"/>
                <w:rFonts w:ascii="Times New Roman" w:hAnsi="Times New Roman"/>
                <w:sz w:val="24"/>
              </w:rPr>
              <w:t>Articles 483 à 491 du CRR</w:t>
            </w:r>
          </w:p>
          <w:p w:rsidR="002648B0" w:rsidRPr="00392FFD" w:rsidRDefault="002648B0" w:rsidP="007106FB">
            <w:pPr>
              <w:spacing w:before="0"/>
              <w:rPr>
                <w:rStyle w:val="FormatvorlageInstructionsTabelleText"/>
                <w:rFonts w:ascii="Times New Roman" w:hAnsi="Times New Roman"/>
                <w:sz w:val="24"/>
              </w:rPr>
            </w:pPr>
            <w:r>
              <w:rPr>
                <w:rStyle w:val="InstructionsTabelleText"/>
                <w:rFonts w:ascii="Times New Roman" w:hAnsi="Times New Roman"/>
                <w:sz w:val="24"/>
              </w:rPr>
              <w:t>Cette ligne reflète l’effet global des instruments bénéficiant de façon tra</w:t>
            </w:r>
            <w:r>
              <w:rPr>
                <w:rStyle w:val="InstructionsTabelleText"/>
                <w:rFonts w:ascii="Times New Roman" w:hAnsi="Times New Roman"/>
                <w:sz w:val="24"/>
              </w:rPr>
              <w:t>n</w:t>
            </w:r>
            <w:r>
              <w:rPr>
                <w:rStyle w:val="InstructionsTabelleText"/>
                <w:rFonts w:ascii="Times New Roman" w:hAnsi="Times New Roman"/>
                <w:sz w:val="24"/>
              </w:rPr>
              <w:t>sitoire d’une clause d’antériorité, parmi les différents types de fonds propres.</w:t>
            </w:r>
          </w:p>
        </w:tc>
      </w:tr>
      <w:tr w:rsidR="002648B0" w:rsidRPr="00392FFD" w:rsidTr="000843B3">
        <w:tc>
          <w:tcPr>
            <w:tcW w:w="1012"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030</w:t>
            </w:r>
          </w:p>
        </w:tc>
        <w:tc>
          <w:tcPr>
            <w:tcW w:w="7478" w:type="dxa"/>
          </w:tcPr>
          <w:p w:rsidR="002648B0" w:rsidRPr="00201704" w:rsidRDefault="002648B0" w:rsidP="00622B37">
            <w:pPr>
              <w:pStyle w:val="InstructionsText"/>
              <w:rPr>
                <w:rStyle w:val="InstructionsTabelleText"/>
                <w:rFonts w:ascii="Times New Roman" w:hAnsi="Times New Roman"/>
                <w:b/>
                <w:sz w:val="24"/>
                <w:u w:val="single"/>
              </w:rPr>
            </w:pPr>
            <w:r>
              <w:rPr>
                <w:rStyle w:val="InstructionsTabelleberschrift"/>
                <w:rFonts w:ascii="Times New Roman" w:hAnsi="Times New Roman"/>
                <w:sz w:val="24"/>
              </w:rPr>
              <w:t>1.1.1</w:t>
            </w:r>
            <w:r>
              <w:tab/>
            </w:r>
            <w:r>
              <w:rPr>
                <w:rStyle w:val="InstructionsTabelleberschrift"/>
                <w:rFonts w:ascii="Times New Roman" w:hAnsi="Times New Roman"/>
                <w:sz w:val="24"/>
              </w:rPr>
              <w:t>Instruments bénéficiant d'une clause d'antériorité: Instruments constituant une aide d'État</w:t>
            </w:r>
          </w:p>
          <w:p w:rsidR="002648B0" w:rsidRPr="00392FFD" w:rsidRDefault="002648B0" w:rsidP="007106FB">
            <w:pPr>
              <w:spacing w:before="0"/>
              <w:rPr>
                <w:rStyle w:val="InstructionsTabelleberschrift"/>
                <w:rFonts w:ascii="Times New Roman" w:hAnsi="Times New Roman"/>
                <w:sz w:val="24"/>
              </w:rPr>
            </w:pPr>
            <w:r>
              <w:rPr>
                <w:rStyle w:val="InstructionsTabelleText"/>
                <w:rFonts w:ascii="Times New Roman" w:hAnsi="Times New Roman"/>
                <w:sz w:val="24"/>
              </w:rPr>
              <w:t>Article 483 du CRR</w:t>
            </w:r>
          </w:p>
        </w:tc>
      </w:tr>
      <w:tr w:rsidR="002648B0" w:rsidRPr="00392FFD" w:rsidTr="000843B3">
        <w:tc>
          <w:tcPr>
            <w:tcW w:w="1012"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040</w:t>
            </w:r>
          </w:p>
        </w:tc>
        <w:tc>
          <w:tcPr>
            <w:tcW w:w="7478" w:type="dxa"/>
          </w:tcPr>
          <w:p w:rsidR="005643EA" w:rsidRPr="00201704" w:rsidRDefault="002648B0" w:rsidP="00622B37">
            <w:pPr>
              <w:pStyle w:val="InstructionsText"/>
              <w:rPr>
                <w:rStyle w:val="InstructionsTabelleText"/>
                <w:rFonts w:ascii="Times New Roman" w:hAnsi="Times New Roman"/>
                <w:b/>
                <w:sz w:val="24"/>
                <w:u w:val="single"/>
              </w:rPr>
            </w:pPr>
            <w:r>
              <w:rPr>
                <w:rStyle w:val="InstructionsTabelleberschrift"/>
                <w:rFonts w:ascii="Times New Roman" w:hAnsi="Times New Roman"/>
                <w:sz w:val="24"/>
              </w:rPr>
              <w:t>1.1.1.1</w:t>
            </w:r>
            <w:r>
              <w:tab/>
            </w:r>
            <w:r>
              <w:rPr>
                <w:rStyle w:val="InstructionsTabelleberschrift"/>
                <w:rFonts w:ascii="Times New Roman" w:hAnsi="Times New Roman"/>
                <w:sz w:val="24"/>
              </w:rPr>
              <w:t>Instruments éligibles au titre de fonds propres conformément à la directive 2006/48/CE</w:t>
            </w:r>
          </w:p>
          <w:p w:rsidR="005643EA" w:rsidRPr="00201704" w:rsidRDefault="002648B0" w:rsidP="00622B37">
            <w:pPr>
              <w:pStyle w:val="InstructionsText"/>
              <w:rPr>
                <w:bCs/>
              </w:rPr>
            </w:pPr>
            <w:r>
              <w:rPr>
                <w:rStyle w:val="InstructionsTabelleText"/>
                <w:rFonts w:ascii="Times New Roman" w:hAnsi="Times New Roman"/>
                <w:sz w:val="24"/>
              </w:rPr>
              <w:t>Article 483, paragraphes 1, 2, 4 et 6, du CRR</w:t>
            </w:r>
          </w:p>
        </w:tc>
      </w:tr>
      <w:tr w:rsidR="002648B0" w:rsidRPr="00392FFD" w:rsidTr="000843B3">
        <w:tc>
          <w:tcPr>
            <w:tcW w:w="1012"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050</w:t>
            </w:r>
          </w:p>
        </w:tc>
        <w:tc>
          <w:tcPr>
            <w:tcW w:w="7478" w:type="dxa"/>
          </w:tcPr>
          <w:p w:rsidR="002648B0" w:rsidRPr="00201704" w:rsidRDefault="002648B0" w:rsidP="00622B37">
            <w:pPr>
              <w:pStyle w:val="InstructionsText"/>
              <w:rPr>
                <w:rStyle w:val="InstructionsTabelleText"/>
                <w:rFonts w:ascii="Times New Roman" w:hAnsi="Times New Roman"/>
                <w:b/>
                <w:bCs/>
                <w:sz w:val="24"/>
                <w:u w:val="single"/>
              </w:rPr>
            </w:pPr>
            <w:r>
              <w:rPr>
                <w:rStyle w:val="InstructionsTabelleberschrift"/>
                <w:rFonts w:ascii="Times New Roman" w:hAnsi="Times New Roman"/>
                <w:sz w:val="24"/>
              </w:rPr>
              <w:t>1.1.1.2</w:t>
            </w:r>
            <w:r>
              <w:tab/>
            </w:r>
            <w:r>
              <w:rPr>
                <w:rStyle w:val="InstructionsTabelleberschrift"/>
                <w:rFonts w:ascii="Times New Roman" w:hAnsi="Times New Roman"/>
                <w:sz w:val="24"/>
              </w:rPr>
              <w:t>Instruments émis par des établissements constitués dans un État membre qui fait l’objet d’un programme d’ajustement écon</w:t>
            </w:r>
            <w:r>
              <w:rPr>
                <w:rStyle w:val="InstructionsTabelleberschrift"/>
                <w:rFonts w:ascii="Times New Roman" w:hAnsi="Times New Roman"/>
                <w:sz w:val="24"/>
              </w:rPr>
              <w:t>o</w:t>
            </w:r>
            <w:r>
              <w:rPr>
                <w:rStyle w:val="InstructionsTabelleberschrift"/>
                <w:rFonts w:ascii="Times New Roman" w:hAnsi="Times New Roman"/>
                <w:sz w:val="24"/>
              </w:rPr>
              <w:t>mique</w:t>
            </w:r>
          </w:p>
          <w:p w:rsidR="002648B0" w:rsidRPr="00392FFD" w:rsidRDefault="002648B0" w:rsidP="007106FB">
            <w:pPr>
              <w:spacing w:before="0"/>
              <w:rPr>
                <w:rFonts w:ascii="Times New Roman" w:hAnsi="Times New Roman"/>
                <w:b/>
                <w:bCs/>
                <w:sz w:val="24"/>
              </w:rPr>
            </w:pPr>
            <w:r>
              <w:rPr>
                <w:rStyle w:val="InstructionsTabelleText"/>
                <w:rFonts w:ascii="Times New Roman" w:hAnsi="Times New Roman"/>
                <w:sz w:val="24"/>
              </w:rPr>
              <w:t>Article 483, paragraphes 1, 3, 5, 7 et 8, du CRR</w:t>
            </w:r>
          </w:p>
        </w:tc>
      </w:tr>
      <w:tr w:rsidR="002648B0" w:rsidRPr="00392FFD" w:rsidTr="000843B3">
        <w:tc>
          <w:tcPr>
            <w:tcW w:w="1012"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060</w:t>
            </w:r>
          </w:p>
        </w:tc>
        <w:tc>
          <w:tcPr>
            <w:tcW w:w="7478" w:type="dxa"/>
          </w:tcPr>
          <w:p w:rsidR="002648B0" w:rsidRPr="00201704" w:rsidRDefault="002648B0" w:rsidP="007106FB">
            <w:pPr>
              <w:spacing w:before="0"/>
              <w:rPr>
                <w:rStyle w:val="InstructionsTabelleText"/>
                <w:rFonts w:ascii="Times New Roman" w:hAnsi="Times New Roman"/>
                <w:b/>
                <w:bCs/>
                <w:sz w:val="24"/>
                <w:u w:val="single"/>
              </w:rPr>
            </w:pPr>
            <w:r>
              <w:rPr>
                <w:rStyle w:val="InstructionsTabelleberschrift"/>
                <w:rFonts w:ascii="Times New Roman" w:hAnsi="Times New Roman"/>
                <w:sz w:val="24"/>
              </w:rPr>
              <w:t>1.1.2</w:t>
            </w:r>
            <w:r>
              <w:tab/>
            </w:r>
            <w:r>
              <w:rPr>
                <w:rStyle w:val="InstructionsTabelleberschrift"/>
                <w:rFonts w:ascii="Times New Roman" w:hAnsi="Times New Roman"/>
                <w:sz w:val="24"/>
              </w:rPr>
              <w:t>Instruments ne constituant pas une aide d’État</w:t>
            </w:r>
          </w:p>
          <w:p w:rsidR="002648B0" w:rsidRPr="00392FFD" w:rsidRDefault="002648B0" w:rsidP="007106FB">
            <w:pPr>
              <w:spacing w:before="0"/>
              <w:rPr>
                <w:rFonts w:ascii="Times New Roman" w:hAnsi="Times New Roman"/>
                <w:b/>
                <w:bCs/>
                <w:sz w:val="24"/>
              </w:rPr>
            </w:pPr>
            <w:r>
              <w:rPr>
                <w:rStyle w:val="InstructionsTabelleText"/>
                <w:rFonts w:ascii="Times New Roman" w:hAnsi="Times New Roman"/>
                <w:sz w:val="24"/>
              </w:rPr>
              <w:t>Les montants à déclarer sont ceux qui figurent dans la colonne 060 du t</w:t>
            </w:r>
            <w:r>
              <w:rPr>
                <w:rStyle w:val="InstructionsTabelleText"/>
                <w:rFonts w:ascii="Times New Roman" w:hAnsi="Times New Roman"/>
                <w:sz w:val="24"/>
              </w:rPr>
              <w:t>a</w:t>
            </w:r>
            <w:r>
              <w:rPr>
                <w:rStyle w:val="InstructionsTabelleText"/>
                <w:rFonts w:ascii="Times New Roman" w:hAnsi="Times New Roman"/>
                <w:sz w:val="24"/>
              </w:rPr>
              <w:t>bleau CA 5.2.</w:t>
            </w:r>
          </w:p>
        </w:tc>
      </w:tr>
      <w:tr w:rsidR="002648B0" w:rsidRPr="00392FFD" w:rsidTr="000843B3">
        <w:tc>
          <w:tcPr>
            <w:tcW w:w="1012"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070</w:t>
            </w:r>
          </w:p>
        </w:tc>
        <w:tc>
          <w:tcPr>
            <w:tcW w:w="7478" w:type="dxa"/>
          </w:tcPr>
          <w:p w:rsidR="005643EA" w:rsidRPr="00201704" w:rsidRDefault="002648B0" w:rsidP="00622B37">
            <w:pPr>
              <w:pStyle w:val="InstructionsText"/>
              <w:rPr>
                <w:rStyle w:val="InstructionsTabelleText"/>
                <w:rFonts w:ascii="Times New Roman" w:hAnsi="Times New Roman"/>
                <w:b/>
                <w:sz w:val="24"/>
                <w:u w:val="single"/>
              </w:rPr>
            </w:pPr>
            <w:r>
              <w:rPr>
                <w:rStyle w:val="InstructionsTabelleberschrift"/>
                <w:rFonts w:ascii="Times New Roman" w:hAnsi="Times New Roman"/>
                <w:sz w:val="24"/>
              </w:rPr>
              <w:t>1.2</w:t>
            </w:r>
            <w:r>
              <w:tab/>
            </w:r>
            <w:r>
              <w:rPr>
                <w:rStyle w:val="InstructionsTabelleberschrift"/>
                <w:rFonts w:ascii="Times New Roman" w:hAnsi="Times New Roman"/>
                <w:sz w:val="24"/>
              </w:rPr>
              <w:t>Intérêts minoritaires et équivalents</w:t>
            </w:r>
          </w:p>
          <w:p w:rsidR="002648B0" w:rsidRPr="00392FFD" w:rsidRDefault="002648B0" w:rsidP="007106FB">
            <w:pPr>
              <w:spacing w:before="0"/>
              <w:rPr>
                <w:rStyle w:val="InstructionsTabelleText"/>
                <w:rFonts w:ascii="Times New Roman" w:hAnsi="Times New Roman"/>
                <w:sz w:val="24"/>
              </w:rPr>
            </w:pPr>
            <w:r>
              <w:rPr>
                <w:rStyle w:val="InstructionsTabelleText"/>
                <w:rFonts w:ascii="Times New Roman" w:hAnsi="Times New Roman"/>
                <w:sz w:val="24"/>
              </w:rPr>
              <w:t>Articles 479 et 480 du CRR</w:t>
            </w:r>
          </w:p>
          <w:p w:rsidR="002648B0" w:rsidRPr="00392FFD" w:rsidRDefault="00FC1030" w:rsidP="007106FB">
            <w:pPr>
              <w:spacing w:before="0"/>
              <w:rPr>
                <w:rStyle w:val="InstructionsTabelleText"/>
                <w:rFonts w:ascii="Times New Roman" w:hAnsi="Times New Roman"/>
                <w:sz w:val="24"/>
              </w:rPr>
            </w:pPr>
            <w:r>
              <w:rPr>
                <w:rStyle w:val="InstructionsTabelleText"/>
                <w:rFonts w:ascii="Times New Roman" w:hAnsi="Times New Roman"/>
                <w:sz w:val="24"/>
              </w:rPr>
              <w:t>Cette ligne reflète les effets des dispositions transitoires pour les intérêts minoritaires éligibles en tant que fonds propres de base de catégorie 1; pour les instruments de fonds propres de catégorie 1 éligibles en tant que fonds propres additionnels de catégorie 1; et pour les fonds propres él</w:t>
            </w:r>
            <w:r>
              <w:rPr>
                <w:rStyle w:val="InstructionsTabelleText"/>
                <w:rFonts w:ascii="Times New Roman" w:hAnsi="Times New Roman"/>
                <w:sz w:val="24"/>
              </w:rPr>
              <w:t>i</w:t>
            </w:r>
            <w:r>
              <w:rPr>
                <w:rStyle w:val="InstructionsTabelleText"/>
                <w:rFonts w:ascii="Times New Roman" w:hAnsi="Times New Roman"/>
                <w:sz w:val="24"/>
              </w:rPr>
              <w:t>gibles en tant que fonds propres consolidés de catégorie 2.</w:t>
            </w:r>
          </w:p>
        </w:tc>
      </w:tr>
      <w:tr w:rsidR="002648B0" w:rsidRPr="00392FFD" w:rsidTr="000843B3">
        <w:tc>
          <w:tcPr>
            <w:tcW w:w="1012"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lastRenderedPageBreak/>
              <w:t>080</w:t>
            </w:r>
          </w:p>
        </w:tc>
        <w:tc>
          <w:tcPr>
            <w:tcW w:w="7478" w:type="dxa"/>
          </w:tcPr>
          <w:p w:rsidR="005643EA"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1.2.1</w:t>
            </w:r>
            <w:r>
              <w:tab/>
            </w:r>
            <w:r>
              <w:rPr>
                <w:rStyle w:val="InstructionsTabelleberschrift"/>
                <w:rFonts w:ascii="Times New Roman" w:hAnsi="Times New Roman"/>
                <w:sz w:val="24"/>
              </w:rPr>
              <w:t>Instruments et éléments de fonds propres non reconnus en tant qu’intérêts minoritaires</w:t>
            </w:r>
          </w:p>
          <w:p w:rsidR="005643EA" w:rsidRPr="00392FFD" w:rsidRDefault="002648B0" w:rsidP="00622B37">
            <w:pPr>
              <w:pStyle w:val="InstructionsText"/>
              <w:rPr>
                <w:rStyle w:val="InstructionsTabelleText"/>
                <w:rFonts w:ascii="Times New Roman" w:hAnsi="Times New Roman"/>
                <w:bCs/>
                <w:sz w:val="24"/>
              </w:rPr>
            </w:pPr>
            <w:r>
              <w:rPr>
                <w:rStyle w:val="InstructionsTabelleText"/>
                <w:rFonts w:ascii="Times New Roman" w:hAnsi="Times New Roman"/>
                <w:sz w:val="24"/>
              </w:rPr>
              <w:t>Article 479 du CRR</w:t>
            </w:r>
          </w:p>
          <w:p w:rsidR="005643EA" w:rsidRPr="00392FFD" w:rsidRDefault="002648B0" w:rsidP="00622B37">
            <w:pPr>
              <w:pStyle w:val="InstructionsText"/>
              <w:rPr>
                <w:rStyle w:val="InstructionsTabelleText"/>
                <w:rFonts w:ascii="Times New Roman" w:hAnsi="Times New Roman"/>
                <w:bCs/>
                <w:sz w:val="24"/>
              </w:rPr>
            </w:pPr>
            <w:r>
              <w:rPr>
                <w:rStyle w:val="InstructionsTabelleText"/>
                <w:rFonts w:ascii="Times New Roman" w:hAnsi="Times New Roman"/>
                <w:sz w:val="24"/>
              </w:rPr>
              <w:t>Le montant à déclarer dans la colonne 060 de cette ligne est le montant r</w:t>
            </w:r>
            <w:r>
              <w:rPr>
                <w:rStyle w:val="InstructionsTabelleText"/>
                <w:rFonts w:ascii="Times New Roman" w:hAnsi="Times New Roman"/>
                <w:sz w:val="24"/>
              </w:rPr>
              <w:t>e</w:t>
            </w:r>
            <w:r>
              <w:rPr>
                <w:rStyle w:val="InstructionsTabelleText"/>
                <w:rFonts w:ascii="Times New Roman" w:hAnsi="Times New Roman"/>
                <w:sz w:val="24"/>
              </w:rPr>
              <w:t>connaissable en tant que réserves consolidées en vertu des dispositions a</w:t>
            </w:r>
            <w:r>
              <w:rPr>
                <w:rStyle w:val="InstructionsTabelleText"/>
                <w:rFonts w:ascii="Times New Roman" w:hAnsi="Times New Roman"/>
                <w:sz w:val="24"/>
              </w:rPr>
              <w:t>n</w:t>
            </w:r>
            <w:r>
              <w:rPr>
                <w:rStyle w:val="InstructionsTabelleText"/>
                <w:rFonts w:ascii="Times New Roman" w:hAnsi="Times New Roman"/>
                <w:sz w:val="24"/>
              </w:rPr>
              <w:t xml:space="preserve">térieures. </w:t>
            </w:r>
          </w:p>
        </w:tc>
      </w:tr>
      <w:tr w:rsidR="002648B0" w:rsidRPr="00392FFD" w:rsidTr="000843B3">
        <w:tc>
          <w:tcPr>
            <w:tcW w:w="1012"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090</w:t>
            </w:r>
          </w:p>
        </w:tc>
        <w:tc>
          <w:tcPr>
            <w:tcW w:w="7478" w:type="dxa"/>
          </w:tcPr>
          <w:p w:rsidR="005643EA" w:rsidRPr="00201704" w:rsidRDefault="002648B0" w:rsidP="00622B37">
            <w:pPr>
              <w:pStyle w:val="InstructionsText"/>
              <w:rPr>
                <w:rStyle w:val="InstructionsTabelleText"/>
                <w:rFonts w:ascii="Times New Roman" w:hAnsi="Times New Roman"/>
                <w:b/>
                <w:bCs/>
                <w:sz w:val="24"/>
                <w:u w:val="single"/>
              </w:rPr>
            </w:pPr>
            <w:r>
              <w:rPr>
                <w:rStyle w:val="InstructionsTabelleberschrift"/>
                <w:rFonts w:ascii="Times New Roman" w:hAnsi="Times New Roman"/>
                <w:sz w:val="24"/>
              </w:rPr>
              <w:t>1.2.2</w:t>
            </w:r>
            <w:r>
              <w:tab/>
            </w:r>
            <w:r>
              <w:rPr>
                <w:rStyle w:val="InstructionsTabelleberschrift"/>
                <w:rFonts w:ascii="Times New Roman" w:hAnsi="Times New Roman"/>
                <w:sz w:val="24"/>
              </w:rPr>
              <w:t>Comptabilisation transitoire en fonds propres consolidés des i</w:t>
            </w:r>
            <w:r>
              <w:rPr>
                <w:rStyle w:val="InstructionsTabelleberschrift"/>
                <w:rFonts w:ascii="Times New Roman" w:hAnsi="Times New Roman"/>
                <w:sz w:val="24"/>
              </w:rPr>
              <w:t>n</w:t>
            </w:r>
            <w:r>
              <w:rPr>
                <w:rStyle w:val="InstructionsTabelleberschrift"/>
                <w:rFonts w:ascii="Times New Roman" w:hAnsi="Times New Roman"/>
                <w:sz w:val="24"/>
              </w:rPr>
              <w:t>térêts minoritaires</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Articles 84 et 480 du CRR</w:t>
            </w:r>
          </w:p>
          <w:p w:rsidR="005643EA" w:rsidRPr="00201704" w:rsidRDefault="002648B0" w:rsidP="00622B37">
            <w:pPr>
              <w:pStyle w:val="InstructionsText"/>
              <w:rPr>
                <w:rStyle w:val="InstructionsTabelleberschrift"/>
                <w:rFonts w:ascii="Times New Roman" w:hAnsi="Times New Roman"/>
                <w:b w:val="0"/>
                <w:bCs w:val="0"/>
                <w:sz w:val="24"/>
                <w:u w:val="none"/>
              </w:rPr>
            </w:pPr>
            <w:r>
              <w:rPr>
                <w:rStyle w:val="InstructionsTabelleText"/>
                <w:rFonts w:ascii="Times New Roman" w:hAnsi="Times New Roman"/>
                <w:sz w:val="24"/>
              </w:rPr>
              <w:t>Le montant à déclarer dans la colonne 060 de cette ligne est le montant él</w:t>
            </w:r>
            <w:r>
              <w:rPr>
                <w:rStyle w:val="InstructionsTabelleText"/>
                <w:rFonts w:ascii="Times New Roman" w:hAnsi="Times New Roman"/>
                <w:sz w:val="24"/>
              </w:rPr>
              <w:t>i</w:t>
            </w:r>
            <w:r>
              <w:rPr>
                <w:rStyle w:val="InstructionsTabelleText"/>
                <w:rFonts w:ascii="Times New Roman" w:hAnsi="Times New Roman"/>
                <w:sz w:val="24"/>
              </w:rPr>
              <w:t>gible, hors dispositions transitoires.</w:t>
            </w:r>
          </w:p>
        </w:tc>
      </w:tr>
      <w:tr w:rsidR="002648B0" w:rsidRPr="00392FFD" w:rsidTr="000843B3">
        <w:tc>
          <w:tcPr>
            <w:tcW w:w="1012"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091</w:t>
            </w:r>
          </w:p>
        </w:tc>
        <w:tc>
          <w:tcPr>
            <w:tcW w:w="7478"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1.2.3</w:t>
            </w:r>
            <w:r>
              <w:tab/>
            </w:r>
            <w:r>
              <w:rPr>
                <w:rStyle w:val="InstructionsTabelleberschrift"/>
                <w:rFonts w:ascii="Times New Roman" w:hAnsi="Times New Roman"/>
                <w:sz w:val="24"/>
              </w:rPr>
              <w:t>Comptabilisation transitoire en fonds propres consolidés des fonds propres additionnels de catégorie 1 éligibles</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Articles 85 et 480 du CRR</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Le montant à déclarer dans la colonne 060 de cette ligne est le montant él</w:t>
            </w:r>
            <w:r>
              <w:rPr>
                <w:rStyle w:val="InstructionsTabelleText"/>
                <w:rFonts w:ascii="Times New Roman" w:hAnsi="Times New Roman"/>
                <w:sz w:val="24"/>
              </w:rPr>
              <w:t>i</w:t>
            </w:r>
            <w:r>
              <w:rPr>
                <w:rStyle w:val="InstructionsTabelleText"/>
                <w:rFonts w:ascii="Times New Roman" w:hAnsi="Times New Roman"/>
                <w:sz w:val="24"/>
              </w:rPr>
              <w:t>gible, hors dispositions transitoires.</w:t>
            </w:r>
          </w:p>
        </w:tc>
      </w:tr>
      <w:tr w:rsidR="002648B0" w:rsidRPr="00392FFD" w:rsidTr="000843B3">
        <w:tc>
          <w:tcPr>
            <w:tcW w:w="1012"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092</w:t>
            </w:r>
          </w:p>
        </w:tc>
        <w:tc>
          <w:tcPr>
            <w:tcW w:w="7478"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1.2.4</w:t>
            </w:r>
            <w:r>
              <w:tab/>
            </w:r>
            <w:r>
              <w:rPr>
                <w:rStyle w:val="InstructionsTabelleberschrift"/>
                <w:rFonts w:ascii="Times New Roman" w:hAnsi="Times New Roman"/>
                <w:sz w:val="24"/>
              </w:rPr>
              <w:t>Comptabilisation transitoire en fonds propres consolidés des fonds propres de catégorie 2 éligibles</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Articles 87 et 480 du CRR</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Le montant à déclarer dans la colonne 060 de cette ligne est le montant él</w:t>
            </w:r>
            <w:r>
              <w:rPr>
                <w:rStyle w:val="InstructionsTabelleText"/>
                <w:rFonts w:ascii="Times New Roman" w:hAnsi="Times New Roman"/>
                <w:sz w:val="24"/>
              </w:rPr>
              <w:t>i</w:t>
            </w:r>
            <w:r>
              <w:rPr>
                <w:rStyle w:val="InstructionsTabelleText"/>
                <w:rFonts w:ascii="Times New Roman" w:hAnsi="Times New Roman"/>
                <w:sz w:val="24"/>
              </w:rPr>
              <w:t>gible, hors dispositions transitoires.</w:t>
            </w:r>
          </w:p>
        </w:tc>
      </w:tr>
      <w:tr w:rsidR="002648B0" w:rsidRPr="00392FFD" w:rsidTr="000843B3">
        <w:tc>
          <w:tcPr>
            <w:tcW w:w="1012"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100</w:t>
            </w:r>
          </w:p>
        </w:tc>
        <w:tc>
          <w:tcPr>
            <w:tcW w:w="7478" w:type="dxa"/>
          </w:tcPr>
          <w:p w:rsidR="002648B0" w:rsidRPr="00201704" w:rsidRDefault="002648B0" w:rsidP="00622B37">
            <w:pPr>
              <w:pStyle w:val="InstructionsText"/>
              <w:rPr>
                <w:rStyle w:val="InstructionsTabelleText"/>
                <w:rFonts w:ascii="Times New Roman" w:hAnsi="Times New Roman"/>
                <w:b/>
                <w:bCs/>
                <w:sz w:val="24"/>
                <w:u w:val="single"/>
              </w:rPr>
            </w:pPr>
            <w:r>
              <w:rPr>
                <w:rStyle w:val="InstructionsTabelleberschrift"/>
                <w:rFonts w:ascii="Times New Roman" w:hAnsi="Times New Roman"/>
                <w:sz w:val="24"/>
              </w:rPr>
              <w:t>1.3</w:t>
            </w:r>
            <w:r>
              <w:tab/>
            </w:r>
            <w:r>
              <w:rPr>
                <w:rStyle w:val="InstructionsTabelleberschrift"/>
                <w:rFonts w:ascii="Times New Roman" w:hAnsi="Times New Roman"/>
                <w:sz w:val="24"/>
              </w:rPr>
              <w:t>Autres ajustements transitoires</w:t>
            </w:r>
          </w:p>
          <w:p w:rsidR="002648B0" w:rsidRPr="00392FFD" w:rsidRDefault="002648B0" w:rsidP="007106FB">
            <w:pPr>
              <w:spacing w:before="0"/>
              <w:rPr>
                <w:rStyle w:val="InstructionsTabelleText"/>
                <w:rFonts w:ascii="Times New Roman" w:hAnsi="Times New Roman"/>
                <w:sz w:val="24"/>
              </w:rPr>
            </w:pPr>
            <w:r>
              <w:rPr>
                <w:rStyle w:val="InstructionsTabelleText"/>
                <w:rFonts w:ascii="Times New Roman" w:hAnsi="Times New Roman"/>
                <w:sz w:val="24"/>
              </w:rPr>
              <w:t>Articles 467 à 478 et article 481 du CRR</w:t>
            </w:r>
          </w:p>
          <w:p w:rsidR="002648B0" w:rsidRPr="00392FFD" w:rsidRDefault="002648B0" w:rsidP="007106FB">
            <w:pPr>
              <w:spacing w:before="0"/>
              <w:rPr>
                <w:rStyle w:val="InstructionsTabelleText"/>
                <w:rFonts w:ascii="Times New Roman" w:hAnsi="Times New Roman"/>
                <w:sz w:val="24"/>
              </w:rPr>
            </w:pPr>
            <w:r>
              <w:rPr>
                <w:rStyle w:val="InstructionsTabelleText"/>
                <w:rFonts w:ascii="Times New Roman" w:hAnsi="Times New Roman"/>
                <w:sz w:val="24"/>
              </w:rPr>
              <w:t>Cette ligne reflète l’effet global des ajustements transitoires apportés aux déductions des différents types de fonds propres, des pertes et gains non réalisés, des filtres et déductions supplémentaires, plus les montants pond</w:t>
            </w:r>
            <w:r>
              <w:rPr>
                <w:rStyle w:val="InstructionsTabelleText"/>
                <w:rFonts w:ascii="Times New Roman" w:hAnsi="Times New Roman"/>
                <w:sz w:val="24"/>
              </w:rPr>
              <w:t>é</w:t>
            </w:r>
            <w:r>
              <w:rPr>
                <w:rStyle w:val="InstructionsTabelleText"/>
                <w:rFonts w:ascii="Times New Roman" w:hAnsi="Times New Roman"/>
                <w:sz w:val="24"/>
              </w:rPr>
              <w:t>rés par le risque issus de ces ajustements.</w:t>
            </w:r>
          </w:p>
        </w:tc>
      </w:tr>
      <w:tr w:rsidR="002648B0" w:rsidRPr="00392FFD" w:rsidTr="000843B3">
        <w:tc>
          <w:tcPr>
            <w:tcW w:w="1012"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110</w:t>
            </w:r>
          </w:p>
        </w:tc>
        <w:tc>
          <w:tcPr>
            <w:tcW w:w="7478" w:type="dxa"/>
          </w:tcPr>
          <w:p w:rsidR="005643EA" w:rsidRPr="00201704" w:rsidRDefault="002648B0" w:rsidP="00622B37">
            <w:pPr>
              <w:pStyle w:val="InstructionsText"/>
              <w:rPr>
                <w:rStyle w:val="InstructionsTabelleText"/>
                <w:rFonts w:ascii="Times New Roman" w:hAnsi="Times New Roman"/>
                <w:b/>
                <w:sz w:val="24"/>
                <w:u w:val="single"/>
              </w:rPr>
            </w:pPr>
            <w:r>
              <w:rPr>
                <w:rStyle w:val="InstructionsTabelleberschrift"/>
                <w:rFonts w:ascii="Times New Roman" w:hAnsi="Times New Roman"/>
                <w:sz w:val="24"/>
              </w:rPr>
              <w:t>1.3.1</w:t>
            </w:r>
            <w:r>
              <w:tab/>
            </w:r>
            <w:r>
              <w:rPr>
                <w:rStyle w:val="InstructionsTabelleberschrift"/>
                <w:rFonts w:ascii="Times New Roman" w:hAnsi="Times New Roman"/>
                <w:sz w:val="24"/>
              </w:rPr>
              <w:t>Pertes et gains non réalisés</w:t>
            </w:r>
          </w:p>
          <w:p w:rsidR="002648B0" w:rsidRPr="00392FFD" w:rsidRDefault="002648B0" w:rsidP="007106FB">
            <w:pPr>
              <w:spacing w:before="0"/>
              <w:rPr>
                <w:rStyle w:val="InstructionsTabelleText"/>
                <w:rFonts w:ascii="Times New Roman" w:hAnsi="Times New Roman"/>
                <w:sz w:val="24"/>
              </w:rPr>
            </w:pPr>
            <w:r>
              <w:rPr>
                <w:rStyle w:val="InstructionsTabelleText"/>
                <w:rFonts w:ascii="Times New Roman" w:hAnsi="Times New Roman"/>
                <w:sz w:val="24"/>
              </w:rPr>
              <w:t>Articles 467 et 468 du CRR</w:t>
            </w:r>
          </w:p>
          <w:p w:rsidR="002648B0" w:rsidRPr="00392FFD" w:rsidRDefault="002648B0" w:rsidP="007106FB">
            <w:pPr>
              <w:spacing w:before="0"/>
              <w:rPr>
                <w:rStyle w:val="InstructionsTabelleText"/>
                <w:rFonts w:ascii="Times New Roman" w:hAnsi="Times New Roman"/>
                <w:sz w:val="24"/>
              </w:rPr>
            </w:pPr>
            <w:r>
              <w:rPr>
                <w:rStyle w:val="InstructionsTabelleText"/>
                <w:rFonts w:ascii="Times New Roman" w:hAnsi="Times New Roman"/>
                <w:sz w:val="24"/>
              </w:rPr>
              <w:t>Cette ligne reflète l’effet global des dispositions transitoires sur les pertes et gains non réalisés et mesurés à la juste valeur.</w:t>
            </w:r>
          </w:p>
        </w:tc>
      </w:tr>
      <w:tr w:rsidR="002648B0" w:rsidRPr="00392FFD" w:rsidTr="000843B3">
        <w:tc>
          <w:tcPr>
            <w:tcW w:w="1012"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120</w:t>
            </w:r>
          </w:p>
        </w:tc>
        <w:tc>
          <w:tcPr>
            <w:tcW w:w="7478"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1.3.1.1</w:t>
            </w:r>
            <w:r>
              <w:tab/>
            </w:r>
            <w:r>
              <w:rPr>
                <w:rStyle w:val="InstructionsTabelleberschrift"/>
                <w:rFonts w:ascii="Times New Roman" w:hAnsi="Times New Roman"/>
                <w:sz w:val="24"/>
              </w:rPr>
              <w:t>Gains non réalisés</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468, point 1, du CRR</w:t>
            </w:r>
          </w:p>
        </w:tc>
      </w:tr>
      <w:tr w:rsidR="002648B0" w:rsidRPr="00392FFD" w:rsidTr="000843B3">
        <w:tc>
          <w:tcPr>
            <w:tcW w:w="1012"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130</w:t>
            </w:r>
          </w:p>
        </w:tc>
        <w:tc>
          <w:tcPr>
            <w:tcW w:w="7478"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1.3.1.2</w:t>
            </w:r>
            <w:r>
              <w:tab/>
            </w:r>
            <w:r>
              <w:rPr>
                <w:rStyle w:val="InstructionsTabelleberschrift"/>
                <w:rFonts w:ascii="Times New Roman" w:hAnsi="Times New Roman"/>
                <w:sz w:val="24"/>
              </w:rPr>
              <w:t>Pertes non réalisées</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467, point 1, du CRR</w:t>
            </w:r>
          </w:p>
        </w:tc>
      </w:tr>
      <w:tr w:rsidR="00E06628" w:rsidRPr="00392FFD" w:rsidTr="000843B3">
        <w:tc>
          <w:tcPr>
            <w:tcW w:w="1012" w:type="dxa"/>
          </w:tcPr>
          <w:p w:rsidR="00E06628" w:rsidRPr="00392FFD" w:rsidRDefault="00E06628" w:rsidP="00622B37">
            <w:pPr>
              <w:pStyle w:val="InstructionsText"/>
              <w:rPr>
                <w:rStyle w:val="InstructionsTabelleText"/>
                <w:rFonts w:ascii="Times New Roman" w:hAnsi="Times New Roman"/>
                <w:sz w:val="24"/>
              </w:rPr>
            </w:pPr>
            <w:r>
              <w:rPr>
                <w:rStyle w:val="InstructionsTabelleText"/>
                <w:rFonts w:ascii="Times New Roman" w:hAnsi="Times New Roman"/>
                <w:sz w:val="24"/>
              </w:rPr>
              <w:t>133</w:t>
            </w:r>
          </w:p>
        </w:tc>
        <w:tc>
          <w:tcPr>
            <w:tcW w:w="7478" w:type="dxa"/>
          </w:tcPr>
          <w:p w:rsidR="005643EA" w:rsidRPr="00392FFD" w:rsidRDefault="00E06628"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1.3.1.3</w:t>
            </w:r>
            <w:r>
              <w:tab/>
            </w:r>
            <w:r>
              <w:rPr>
                <w:rStyle w:val="InstructionsTabelleberschrift"/>
                <w:rFonts w:ascii="Times New Roman" w:hAnsi="Times New Roman"/>
                <w:sz w:val="24"/>
              </w:rPr>
              <w:t>Gains non réalisés qui sont liés à des expositions sur les adm</w:t>
            </w:r>
            <w:r>
              <w:rPr>
                <w:rStyle w:val="InstructionsTabelleberschrift"/>
                <w:rFonts w:ascii="Times New Roman" w:hAnsi="Times New Roman"/>
                <w:sz w:val="24"/>
              </w:rPr>
              <w:t>i</w:t>
            </w:r>
            <w:r>
              <w:rPr>
                <w:rStyle w:val="InstructionsTabelleberschrift"/>
                <w:rFonts w:ascii="Times New Roman" w:hAnsi="Times New Roman"/>
                <w:sz w:val="24"/>
              </w:rPr>
              <w:t>nistrations centrales classées dans la catégorie «Disponibles à la vente» de la norme comptable internationale IAS 39 telle qu’adoptée par l’Union européenne</w:t>
            </w:r>
          </w:p>
          <w:p w:rsidR="005643EA" w:rsidRPr="00201704" w:rsidRDefault="00E06628"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lastRenderedPageBreak/>
              <w:t>Article 468 du CRR</w:t>
            </w:r>
          </w:p>
        </w:tc>
      </w:tr>
      <w:tr w:rsidR="00E06628" w:rsidRPr="00392FFD" w:rsidTr="000843B3">
        <w:tc>
          <w:tcPr>
            <w:tcW w:w="1012" w:type="dxa"/>
          </w:tcPr>
          <w:p w:rsidR="00E06628" w:rsidRPr="00392FFD" w:rsidRDefault="00E06628" w:rsidP="00622B37">
            <w:pPr>
              <w:pStyle w:val="InstructionsText"/>
              <w:rPr>
                <w:rStyle w:val="InstructionsTabelleText"/>
                <w:rFonts w:ascii="Times New Roman" w:hAnsi="Times New Roman"/>
                <w:sz w:val="24"/>
              </w:rPr>
            </w:pPr>
            <w:r>
              <w:rPr>
                <w:rStyle w:val="InstructionsTabelleText"/>
                <w:rFonts w:ascii="Times New Roman" w:hAnsi="Times New Roman"/>
                <w:sz w:val="24"/>
              </w:rPr>
              <w:lastRenderedPageBreak/>
              <w:t>136</w:t>
            </w:r>
          </w:p>
        </w:tc>
        <w:tc>
          <w:tcPr>
            <w:tcW w:w="7478" w:type="dxa"/>
          </w:tcPr>
          <w:p w:rsidR="005643EA" w:rsidRPr="00392FFD" w:rsidRDefault="00E06628"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1.3.1.4</w:t>
            </w:r>
            <w:r>
              <w:tab/>
            </w:r>
            <w:r>
              <w:rPr>
                <w:rStyle w:val="InstructionsTabelleberschrift"/>
                <w:rFonts w:ascii="Times New Roman" w:hAnsi="Times New Roman"/>
                <w:sz w:val="24"/>
              </w:rPr>
              <w:t>Pertes non réalisées qui sont liées à des expositions sur les a</w:t>
            </w:r>
            <w:r>
              <w:rPr>
                <w:rStyle w:val="InstructionsTabelleberschrift"/>
                <w:rFonts w:ascii="Times New Roman" w:hAnsi="Times New Roman"/>
                <w:sz w:val="24"/>
              </w:rPr>
              <w:t>d</w:t>
            </w:r>
            <w:r>
              <w:rPr>
                <w:rStyle w:val="InstructionsTabelleberschrift"/>
                <w:rFonts w:ascii="Times New Roman" w:hAnsi="Times New Roman"/>
                <w:sz w:val="24"/>
              </w:rPr>
              <w:t>ministrations centrales classées dans la catégorie «Disponibles à la vente» de la norme comptable internationale IAS 39 telle qu’adoptée par l’Union européenne</w:t>
            </w:r>
          </w:p>
          <w:p w:rsidR="00E06628" w:rsidRPr="00201704" w:rsidRDefault="00E06628"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 467 du CRR</w:t>
            </w:r>
          </w:p>
        </w:tc>
      </w:tr>
      <w:tr w:rsidR="00E06628" w:rsidRPr="00392FFD" w:rsidTr="000843B3">
        <w:tc>
          <w:tcPr>
            <w:tcW w:w="1012" w:type="dxa"/>
          </w:tcPr>
          <w:p w:rsidR="00E06628" w:rsidRPr="00392FFD" w:rsidRDefault="00E06628" w:rsidP="00622B37">
            <w:pPr>
              <w:pStyle w:val="InstructionsText"/>
              <w:rPr>
                <w:rStyle w:val="InstructionsTabelleText"/>
                <w:rFonts w:ascii="Times New Roman" w:hAnsi="Times New Roman"/>
                <w:sz w:val="24"/>
              </w:rPr>
            </w:pPr>
            <w:r>
              <w:rPr>
                <w:rStyle w:val="InstructionsTabelleText"/>
                <w:rFonts w:ascii="Times New Roman" w:hAnsi="Times New Roman"/>
                <w:sz w:val="24"/>
              </w:rPr>
              <w:t>138</w:t>
            </w:r>
          </w:p>
        </w:tc>
        <w:tc>
          <w:tcPr>
            <w:tcW w:w="7478" w:type="dxa"/>
          </w:tcPr>
          <w:p w:rsidR="005643EA" w:rsidRPr="00392FFD" w:rsidRDefault="00E06628"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1.3.1.5</w:t>
            </w:r>
            <w:r>
              <w:tab/>
            </w:r>
            <w:r>
              <w:rPr>
                <w:rStyle w:val="InstructionsTabelleberschrift"/>
                <w:rFonts w:ascii="Times New Roman" w:hAnsi="Times New Roman"/>
                <w:sz w:val="24"/>
              </w:rPr>
              <w:t>Pertes et gains en juste valeur résultant du propre risque de crédit de l'établissement lié aux instruments dérivés au passif du bilan</w:t>
            </w:r>
          </w:p>
          <w:p w:rsidR="005643EA" w:rsidRPr="00201704" w:rsidRDefault="00E06628"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 468 du CRR</w:t>
            </w:r>
          </w:p>
        </w:tc>
      </w:tr>
      <w:tr w:rsidR="002648B0" w:rsidRPr="00392FFD" w:rsidTr="000843B3">
        <w:tc>
          <w:tcPr>
            <w:tcW w:w="1012"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140</w:t>
            </w:r>
          </w:p>
        </w:tc>
        <w:tc>
          <w:tcPr>
            <w:tcW w:w="7478" w:type="dxa"/>
          </w:tcPr>
          <w:p w:rsidR="005643EA" w:rsidRPr="00201704" w:rsidRDefault="002648B0" w:rsidP="00622B37">
            <w:pPr>
              <w:pStyle w:val="InstructionsText"/>
              <w:rPr>
                <w:rStyle w:val="InstructionsTabelleText"/>
                <w:rFonts w:ascii="Times New Roman" w:hAnsi="Times New Roman"/>
                <w:b/>
                <w:bCs/>
                <w:sz w:val="24"/>
                <w:u w:val="single"/>
              </w:rPr>
            </w:pPr>
            <w:r>
              <w:rPr>
                <w:rStyle w:val="InstructionsTabelleberschrift"/>
                <w:rFonts w:ascii="Times New Roman" w:hAnsi="Times New Roman"/>
                <w:sz w:val="24"/>
              </w:rPr>
              <w:t>1.3.2</w:t>
            </w:r>
            <w:r>
              <w:tab/>
            </w:r>
            <w:r>
              <w:rPr>
                <w:rStyle w:val="InstructionsTabelleberschrift"/>
                <w:rFonts w:ascii="Times New Roman" w:hAnsi="Times New Roman"/>
                <w:sz w:val="24"/>
              </w:rPr>
              <w:t>Déductions</w:t>
            </w:r>
          </w:p>
          <w:p w:rsidR="002648B0" w:rsidRPr="00392FFD" w:rsidRDefault="002648B0" w:rsidP="007106FB">
            <w:pPr>
              <w:spacing w:before="0"/>
              <w:rPr>
                <w:rStyle w:val="InstructionsTabelleText"/>
                <w:rFonts w:ascii="Times New Roman" w:hAnsi="Times New Roman"/>
                <w:sz w:val="24"/>
              </w:rPr>
            </w:pPr>
            <w:r>
              <w:rPr>
                <w:rStyle w:val="InstructionsTabelleText"/>
                <w:rFonts w:ascii="Times New Roman" w:hAnsi="Times New Roman"/>
                <w:sz w:val="24"/>
              </w:rPr>
              <w:t>Article 36, paragraphe 1, et articles 469 à 478 du CRR</w:t>
            </w:r>
          </w:p>
          <w:p w:rsidR="002648B0" w:rsidRPr="00392FFD" w:rsidRDefault="002648B0" w:rsidP="007106FB">
            <w:pPr>
              <w:spacing w:before="0"/>
              <w:rPr>
                <w:rStyle w:val="InstructionsTabelleText"/>
                <w:rFonts w:ascii="Times New Roman" w:hAnsi="Times New Roman"/>
                <w:sz w:val="24"/>
              </w:rPr>
            </w:pPr>
            <w:r>
              <w:rPr>
                <w:rStyle w:val="InstructionsTabelleText"/>
                <w:rFonts w:ascii="Times New Roman" w:hAnsi="Times New Roman"/>
                <w:sz w:val="24"/>
              </w:rPr>
              <w:t>Cette ligne reflète l’effet global des dispositions transitoires sur les dédu</w:t>
            </w:r>
            <w:r>
              <w:rPr>
                <w:rStyle w:val="InstructionsTabelleText"/>
                <w:rFonts w:ascii="Times New Roman" w:hAnsi="Times New Roman"/>
                <w:sz w:val="24"/>
              </w:rPr>
              <w:t>c</w:t>
            </w:r>
            <w:r>
              <w:rPr>
                <w:rStyle w:val="InstructionsTabelleText"/>
                <w:rFonts w:ascii="Times New Roman" w:hAnsi="Times New Roman"/>
                <w:sz w:val="24"/>
              </w:rPr>
              <w:t>tions.</w:t>
            </w:r>
          </w:p>
        </w:tc>
      </w:tr>
      <w:tr w:rsidR="002648B0" w:rsidRPr="00392FFD" w:rsidTr="000843B3">
        <w:tc>
          <w:tcPr>
            <w:tcW w:w="1012" w:type="dxa"/>
          </w:tcPr>
          <w:p w:rsidR="002648B0" w:rsidRPr="00392FFD" w:rsidDel="00E41E4F"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150</w:t>
            </w:r>
          </w:p>
        </w:tc>
        <w:tc>
          <w:tcPr>
            <w:tcW w:w="7478" w:type="dxa"/>
          </w:tcPr>
          <w:p w:rsidR="005643EA" w:rsidRPr="00201704" w:rsidRDefault="002648B0" w:rsidP="00622B37">
            <w:pPr>
              <w:pStyle w:val="InstructionsText"/>
              <w:rPr>
                <w:rStyle w:val="InstructionsTabelleText"/>
                <w:rFonts w:ascii="Times New Roman" w:hAnsi="Times New Roman"/>
                <w:b/>
                <w:sz w:val="24"/>
                <w:u w:val="single"/>
              </w:rPr>
            </w:pPr>
            <w:r>
              <w:rPr>
                <w:rStyle w:val="InstructionsTabelleberschrift"/>
                <w:rFonts w:ascii="Times New Roman" w:hAnsi="Times New Roman"/>
                <w:sz w:val="24"/>
              </w:rPr>
              <w:t>1.3.2.1.</w:t>
            </w:r>
            <w:r>
              <w:tab/>
            </w:r>
            <w:r>
              <w:rPr>
                <w:rStyle w:val="InstructionsTabelleberschrift"/>
                <w:rFonts w:ascii="Times New Roman" w:hAnsi="Times New Roman"/>
                <w:sz w:val="24"/>
              </w:rPr>
              <w:t>Résultats négatifs de l’exercice en cours</w:t>
            </w:r>
          </w:p>
          <w:p w:rsidR="005643EA" w:rsidRPr="00392FFD" w:rsidRDefault="002648B0" w:rsidP="00622B37">
            <w:pPr>
              <w:pStyle w:val="InstructionsText"/>
              <w:rPr>
                <w:rStyle w:val="InstructionsTabelleText"/>
                <w:rFonts w:ascii="Times New Roman" w:hAnsi="Times New Roman"/>
                <w:bCs/>
                <w:sz w:val="24"/>
              </w:rPr>
            </w:pPr>
            <w:r>
              <w:rPr>
                <w:rStyle w:val="InstructionsTabelleText"/>
                <w:rFonts w:ascii="Times New Roman" w:hAnsi="Times New Roman"/>
                <w:sz w:val="24"/>
              </w:rPr>
              <w:t>Article 36, paragraphe 1, point a), article 469, paragraphe 1, article 472, paragraphe 3, et article 478 du CRR</w:t>
            </w:r>
          </w:p>
          <w:p w:rsidR="005643EA" w:rsidRPr="00392FFD" w:rsidRDefault="002648B0" w:rsidP="00622B37">
            <w:pPr>
              <w:pStyle w:val="InstructionsText"/>
              <w:rPr>
                <w:rStyle w:val="InstructionsTabelleText"/>
                <w:rFonts w:ascii="Times New Roman" w:hAnsi="Times New Roman"/>
                <w:bCs/>
                <w:sz w:val="24"/>
              </w:rPr>
            </w:pPr>
            <w:r>
              <w:rPr>
                <w:rStyle w:val="InstructionsTabelleText"/>
                <w:rFonts w:ascii="Times New Roman" w:hAnsi="Times New Roman"/>
                <w:sz w:val="24"/>
              </w:rPr>
              <w:t>Le montant à déclarer dans la colonne 060 de cette ligne sera la déduction initiale conformément à l’article 36, paragraphe 1, point a) du CRR.</w:t>
            </w:r>
          </w:p>
          <w:p w:rsidR="005643EA" w:rsidRPr="00392FFD" w:rsidRDefault="002648B0" w:rsidP="00622B37">
            <w:pPr>
              <w:pStyle w:val="InstructionsText"/>
              <w:rPr>
                <w:rStyle w:val="InstructionsTabelleText"/>
                <w:rFonts w:ascii="Times New Roman" w:hAnsi="Times New Roman"/>
                <w:bCs/>
                <w:sz w:val="24"/>
              </w:rPr>
            </w:pPr>
            <w:r>
              <w:rPr>
                <w:rStyle w:val="InstructionsTabelleText"/>
                <w:rFonts w:ascii="Times New Roman" w:hAnsi="Times New Roman"/>
                <w:sz w:val="24"/>
              </w:rPr>
              <w:t>Lorsque les entreprises ont été uniquement tenues de déduire les pertes s</w:t>
            </w:r>
            <w:r>
              <w:rPr>
                <w:rStyle w:val="InstructionsTabelleText"/>
                <w:rFonts w:ascii="Times New Roman" w:hAnsi="Times New Roman"/>
                <w:sz w:val="24"/>
              </w:rPr>
              <w:t>i</w:t>
            </w:r>
            <w:r>
              <w:rPr>
                <w:rStyle w:val="InstructionsTabelleText"/>
                <w:rFonts w:ascii="Times New Roman" w:hAnsi="Times New Roman"/>
                <w:sz w:val="24"/>
              </w:rPr>
              <w:t>gnificatives:</w:t>
            </w:r>
          </w:p>
          <w:p w:rsidR="005643EA" w:rsidRPr="00392FFD" w:rsidRDefault="002648B0" w:rsidP="00622B37">
            <w:pPr>
              <w:pStyle w:val="InstructionsText"/>
              <w:rPr>
                <w:rStyle w:val="InstructionsTabelleText"/>
                <w:rFonts w:ascii="Times New Roman" w:hAnsi="Times New Roman"/>
                <w:bCs/>
                <w:sz w:val="24"/>
              </w:rPr>
            </w:pPr>
            <w:r>
              <w:rPr>
                <w:rStyle w:val="InstructionsTabelleText"/>
                <w:rFonts w:ascii="Times New Roman" w:hAnsi="Times New Roman"/>
                <w:sz w:val="24"/>
              </w:rPr>
              <w:t>•si la perte nette intermédiaire totale était «significative», la totalité du montant résiduel sera déduite des fonds propres de catégorie 1, ou</w:t>
            </w:r>
          </w:p>
          <w:p w:rsidR="005643EA" w:rsidRPr="00392FFD" w:rsidRDefault="002648B0" w:rsidP="00622B37">
            <w:pPr>
              <w:pStyle w:val="InstructionsText"/>
              <w:rPr>
                <w:rStyle w:val="InstructionsTabelleText"/>
                <w:rFonts w:ascii="Times New Roman" w:hAnsi="Times New Roman"/>
                <w:bCs/>
                <w:sz w:val="24"/>
              </w:rPr>
            </w:pPr>
            <w:r>
              <w:rPr>
                <w:rStyle w:val="InstructionsTabelleText"/>
                <w:rFonts w:ascii="Times New Roman" w:hAnsi="Times New Roman"/>
                <w:sz w:val="24"/>
              </w:rPr>
              <w:t>• si la perte nette intermédiaire totale n’était pas «significative», aucune déduction du montant résiduel ne sera effectuée.</w:t>
            </w:r>
          </w:p>
        </w:tc>
      </w:tr>
      <w:tr w:rsidR="002648B0" w:rsidRPr="00392FFD" w:rsidTr="000843B3">
        <w:tc>
          <w:tcPr>
            <w:tcW w:w="1012" w:type="dxa"/>
          </w:tcPr>
          <w:p w:rsidR="002648B0" w:rsidRPr="00392FFD" w:rsidDel="00E41E4F"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160</w:t>
            </w:r>
          </w:p>
        </w:tc>
        <w:tc>
          <w:tcPr>
            <w:tcW w:w="7478"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1.3.2.2.</w:t>
            </w:r>
            <w:r>
              <w:tab/>
            </w:r>
            <w:r>
              <w:rPr>
                <w:rStyle w:val="InstructionsTabelleberschrift"/>
                <w:rFonts w:ascii="Times New Roman" w:hAnsi="Times New Roman"/>
                <w:sz w:val="24"/>
              </w:rPr>
              <w:t>Immobilisations incorporelles</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36, paragraphe 1, point b), article 469, paragraphe 1, article 472, paragraphe 4, et article 478 du CRR</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Lors du calcul du montant des immobilisations incorporelles à déduire, les établissements tiendront compte des dispositions de l’article 37 du CRR.</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Le montant à déclarer dans la colonne 060 de cette ligne sera la déduction initiale conformément à l’article 36, paragraphe 1, point b), du CRR.</w:t>
            </w:r>
          </w:p>
        </w:tc>
      </w:tr>
      <w:tr w:rsidR="002648B0" w:rsidRPr="00392FFD" w:rsidTr="000843B3">
        <w:tc>
          <w:tcPr>
            <w:tcW w:w="1012"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170</w:t>
            </w:r>
          </w:p>
          <w:p w:rsidR="005643EA" w:rsidRPr="00392FFD" w:rsidRDefault="005643EA" w:rsidP="00622B37">
            <w:pPr>
              <w:pStyle w:val="InstructionsText"/>
              <w:rPr>
                <w:rStyle w:val="InstructionsTabelleText"/>
                <w:rFonts w:ascii="Times New Roman" w:hAnsi="Times New Roman"/>
                <w:sz w:val="24"/>
              </w:rPr>
            </w:pPr>
          </w:p>
        </w:tc>
        <w:tc>
          <w:tcPr>
            <w:tcW w:w="7478"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1.3.2.3.</w:t>
            </w:r>
            <w:r>
              <w:tab/>
            </w:r>
            <w:r>
              <w:rPr>
                <w:rStyle w:val="InstructionsTabelleberschrift"/>
                <w:rFonts w:ascii="Times New Roman" w:hAnsi="Times New Roman"/>
                <w:sz w:val="24"/>
              </w:rPr>
              <w:t>Actifs d'impôt différé dépendant de bénéfices futurs et ne résultant pas de différences temporelles</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36, paragraphe 1, point c), article 469, paragraphe 1, article 472, paragraphe 5, et article 478 du CRR</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Lors du calcul du montant de ces actifs d’impôt différé à déduire mentio</w:t>
            </w:r>
            <w:r>
              <w:rPr>
                <w:rStyle w:val="InstructionsTabelleText"/>
                <w:rFonts w:ascii="Times New Roman" w:hAnsi="Times New Roman"/>
                <w:sz w:val="24"/>
              </w:rPr>
              <w:t>n</w:t>
            </w:r>
            <w:r>
              <w:rPr>
                <w:rStyle w:val="InstructionsTabelleText"/>
                <w:rFonts w:ascii="Times New Roman" w:hAnsi="Times New Roman"/>
                <w:sz w:val="24"/>
              </w:rPr>
              <w:t>nés ci-dessus, les établissements tiendront compte des dispositions de l’article 38 du CRR concernant la réduction des actifs d’impôt différé par les passifs d’impôt différé.</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Montant à déclarer dans la colonne 060 de cette ligne: le montant total co</w:t>
            </w:r>
            <w:r>
              <w:rPr>
                <w:rStyle w:val="InstructionsTabelleText"/>
                <w:rFonts w:ascii="Times New Roman" w:hAnsi="Times New Roman"/>
                <w:sz w:val="24"/>
              </w:rPr>
              <w:t>n</w:t>
            </w:r>
            <w:r>
              <w:rPr>
                <w:rStyle w:val="InstructionsTabelleText"/>
                <w:rFonts w:ascii="Times New Roman" w:hAnsi="Times New Roman"/>
                <w:sz w:val="24"/>
              </w:rPr>
              <w:lastRenderedPageBreak/>
              <w:t>formément à l'article 469, paragraphe 1, point c) du CRR.</w:t>
            </w:r>
          </w:p>
        </w:tc>
      </w:tr>
      <w:tr w:rsidR="002648B0" w:rsidRPr="00392FFD" w:rsidTr="000843B3">
        <w:tc>
          <w:tcPr>
            <w:tcW w:w="1012"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lastRenderedPageBreak/>
              <w:t>180</w:t>
            </w:r>
          </w:p>
          <w:p w:rsidR="005643EA" w:rsidRPr="00392FFD" w:rsidRDefault="005643EA" w:rsidP="00622B37">
            <w:pPr>
              <w:pStyle w:val="InstructionsText"/>
              <w:rPr>
                <w:rStyle w:val="InstructionsTabelleText"/>
                <w:rFonts w:ascii="Times New Roman" w:hAnsi="Times New Roman"/>
                <w:sz w:val="24"/>
              </w:rPr>
            </w:pPr>
          </w:p>
        </w:tc>
        <w:tc>
          <w:tcPr>
            <w:tcW w:w="7478"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1.3.2.4.</w:t>
            </w:r>
            <w:r>
              <w:tab/>
            </w:r>
            <w:r>
              <w:rPr>
                <w:rStyle w:val="InstructionsTabelleberschrift"/>
                <w:rFonts w:ascii="Times New Roman" w:hAnsi="Times New Roman"/>
                <w:sz w:val="24"/>
              </w:rPr>
              <w:t>Insuffisance NI de provisions par rapport aux pertes a</w:t>
            </w:r>
            <w:r>
              <w:rPr>
                <w:rStyle w:val="InstructionsTabelleberschrift"/>
                <w:rFonts w:ascii="Times New Roman" w:hAnsi="Times New Roman"/>
                <w:sz w:val="24"/>
              </w:rPr>
              <w:t>n</w:t>
            </w:r>
            <w:r>
              <w:rPr>
                <w:rStyle w:val="InstructionsTabelleberschrift"/>
                <w:rFonts w:ascii="Times New Roman" w:hAnsi="Times New Roman"/>
                <w:sz w:val="24"/>
              </w:rPr>
              <w:t>ticipées</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36, paragraphe 1, point d), article 469, paragraphe 1, article 472, paragraphe 6, et article 478 du CRR</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Lors du calcul du montant des provisions insuffisantes mentionnées ci-dessus, selon l’approche NI, pour couvrir les pertes anticipées à déduire, les établissements tiendront compte des dispositions de l’article 40 du CRR.</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Montant à déclarer dans la colonne 060 de cette ligne: la déduction initiale visée à l'article 36, paragraphe 1, point d), du CRR.</w:t>
            </w:r>
          </w:p>
        </w:tc>
      </w:tr>
      <w:tr w:rsidR="002648B0" w:rsidRPr="00392FFD" w:rsidTr="000843B3">
        <w:tc>
          <w:tcPr>
            <w:tcW w:w="1012" w:type="dxa"/>
          </w:tcPr>
          <w:p w:rsidR="002648B0" w:rsidRPr="00392FFD" w:rsidDel="00E41E4F"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190</w:t>
            </w:r>
          </w:p>
        </w:tc>
        <w:tc>
          <w:tcPr>
            <w:tcW w:w="7478"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1.3.2.5.</w:t>
            </w:r>
            <w:r>
              <w:tab/>
            </w:r>
            <w:r>
              <w:rPr>
                <w:rStyle w:val="InstructionsTabelleberschrift"/>
                <w:rFonts w:ascii="Times New Roman" w:hAnsi="Times New Roman"/>
                <w:sz w:val="24"/>
              </w:rPr>
              <w:t>Actifs de fonds de pension à prestations définies</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33, paragraphe 1, point e), article 469, paragraphe 1, article 472, paragraphe 7, articles 473 et 478 du CRR.</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Lors du calcul du montant des actifs de fonds de pension à prestations d</w:t>
            </w:r>
            <w:r>
              <w:rPr>
                <w:rStyle w:val="InstructionsTabelleText"/>
                <w:rFonts w:ascii="Times New Roman" w:hAnsi="Times New Roman"/>
                <w:sz w:val="24"/>
              </w:rPr>
              <w:t>é</w:t>
            </w:r>
            <w:r>
              <w:rPr>
                <w:rStyle w:val="InstructionsTabelleText"/>
                <w:rFonts w:ascii="Times New Roman" w:hAnsi="Times New Roman"/>
                <w:sz w:val="24"/>
              </w:rPr>
              <w:t>finies à déduire mentionné ci-dessus, les établissements tiendront compte des dispositions de l’article 41 du CRR.</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Montant à déclarer dans la colonne 060 de cette ligne: la déduction initiale visée à l'article 36, paragraphe 1, point e), du CRR.</w:t>
            </w:r>
          </w:p>
        </w:tc>
      </w:tr>
      <w:tr w:rsidR="00B11D0D" w:rsidRPr="00392FFD" w:rsidTr="000843B3">
        <w:tc>
          <w:tcPr>
            <w:tcW w:w="1012" w:type="dxa"/>
          </w:tcPr>
          <w:p w:rsidR="00B11D0D" w:rsidRPr="00392FFD" w:rsidRDefault="00B11D0D" w:rsidP="00622B37">
            <w:pPr>
              <w:pStyle w:val="InstructionsText"/>
              <w:rPr>
                <w:rStyle w:val="InstructionsTabelleText"/>
                <w:rFonts w:ascii="Times New Roman" w:hAnsi="Times New Roman"/>
                <w:sz w:val="24"/>
              </w:rPr>
            </w:pPr>
            <w:r>
              <w:rPr>
                <w:rStyle w:val="InstructionsTabelleText"/>
                <w:rFonts w:ascii="Times New Roman" w:hAnsi="Times New Roman"/>
                <w:sz w:val="24"/>
              </w:rPr>
              <w:t>194</w:t>
            </w:r>
          </w:p>
        </w:tc>
        <w:tc>
          <w:tcPr>
            <w:tcW w:w="7478" w:type="dxa"/>
          </w:tcPr>
          <w:p w:rsidR="00B11D0D" w:rsidRPr="00392FFD" w:rsidRDefault="00B11D0D"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1.3.2.5.*</w:t>
            </w:r>
            <w:r>
              <w:tab/>
            </w:r>
            <w:r>
              <w:rPr>
                <w:rStyle w:val="InstructionsTabelleberschrift"/>
                <w:rFonts w:ascii="Times New Roman" w:hAnsi="Times New Roman"/>
                <w:sz w:val="24"/>
              </w:rPr>
              <w:t>Dont: Introduction des modifications de l'IAS 19 - él</w:t>
            </w:r>
            <w:r>
              <w:rPr>
                <w:rStyle w:val="InstructionsTabelleberschrift"/>
                <w:rFonts w:ascii="Times New Roman" w:hAnsi="Times New Roman"/>
                <w:sz w:val="24"/>
              </w:rPr>
              <w:t>é</w:t>
            </w:r>
            <w:r>
              <w:rPr>
                <w:rStyle w:val="InstructionsTabelleberschrift"/>
                <w:rFonts w:ascii="Times New Roman" w:hAnsi="Times New Roman"/>
                <w:sz w:val="24"/>
              </w:rPr>
              <w:t>ment positif</w:t>
            </w:r>
          </w:p>
          <w:p w:rsidR="00B11D0D" w:rsidRPr="00201704" w:rsidRDefault="00201704" w:rsidP="00622B37">
            <w:pPr>
              <w:pStyle w:val="InstructionsText"/>
              <w:rPr>
                <w:rStyle w:val="InstructionsTabelleberschrift"/>
                <w:rFonts w:ascii="Times New Roman" w:hAnsi="Times New Roman"/>
                <w:b w:val="0"/>
                <w:bCs w:val="0"/>
                <w:sz w:val="24"/>
                <w:u w:val="none"/>
              </w:rPr>
            </w:pPr>
            <w:r>
              <w:rPr>
                <w:rStyle w:val="InstructionsTabelleText"/>
                <w:rFonts w:ascii="Times New Roman" w:hAnsi="Times New Roman"/>
                <w:sz w:val="24"/>
              </w:rPr>
              <w:t>Article 473 du CRR</w:t>
            </w:r>
          </w:p>
        </w:tc>
      </w:tr>
      <w:tr w:rsidR="00A60195" w:rsidRPr="00392FFD" w:rsidTr="000843B3">
        <w:tc>
          <w:tcPr>
            <w:tcW w:w="1012" w:type="dxa"/>
          </w:tcPr>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198</w:t>
            </w:r>
          </w:p>
        </w:tc>
        <w:tc>
          <w:tcPr>
            <w:tcW w:w="7478" w:type="dxa"/>
          </w:tcPr>
          <w:p w:rsidR="00A60195" w:rsidRPr="00392FFD" w:rsidRDefault="00A60195"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1.3.2.5.**</w:t>
            </w:r>
            <w:r>
              <w:tab/>
            </w:r>
            <w:r>
              <w:rPr>
                <w:rStyle w:val="InstructionsTabelleberschrift"/>
                <w:rFonts w:ascii="Times New Roman" w:hAnsi="Times New Roman"/>
                <w:sz w:val="24"/>
              </w:rPr>
              <w:t>Dont: Introduction des modifications de l'IAS 19 - él</w:t>
            </w:r>
            <w:r>
              <w:rPr>
                <w:rStyle w:val="InstructionsTabelleberschrift"/>
                <w:rFonts w:ascii="Times New Roman" w:hAnsi="Times New Roman"/>
                <w:sz w:val="24"/>
              </w:rPr>
              <w:t>é</w:t>
            </w:r>
            <w:r>
              <w:rPr>
                <w:rStyle w:val="InstructionsTabelleberschrift"/>
                <w:rFonts w:ascii="Times New Roman" w:hAnsi="Times New Roman"/>
                <w:sz w:val="24"/>
              </w:rPr>
              <w:t>ment négatif</w:t>
            </w:r>
          </w:p>
          <w:p w:rsidR="00A60195" w:rsidRPr="00201704" w:rsidRDefault="00201704" w:rsidP="00622B37">
            <w:pPr>
              <w:pStyle w:val="InstructionsText"/>
              <w:rPr>
                <w:rStyle w:val="InstructionsTabelleberschrift"/>
                <w:rFonts w:ascii="Times New Roman" w:hAnsi="Times New Roman"/>
                <w:b w:val="0"/>
                <w:bCs w:val="0"/>
                <w:sz w:val="24"/>
                <w:u w:val="none"/>
              </w:rPr>
            </w:pPr>
            <w:r>
              <w:rPr>
                <w:rStyle w:val="InstructionsTabelleText"/>
                <w:rFonts w:ascii="Times New Roman" w:hAnsi="Times New Roman"/>
                <w:sz w:val="24"/>
              </w:rPr>
              <w:t>Article 473 du CRR</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200</w:t>
            </w:r>
          </w:p>
        </w:tc>
        <w:tc>
          <w:tcPr>
            <w:tcW w:w="7478" w:type="dxa"/>
          </w:tcPr>
          <w:p w:rsidR="00A60195" w:rsidRPr="00392FFD" w:rsidRDefault="00A60195"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1.3.2.6.</w:t>
            </w:r>
            <w:r>
              <w:tab/>
            </w:r>
            <w:r>
              <w:rPr>
                <w:rStyle w:val="InstructionsTabelleberschrift"/>
                <w:rFonts w:ascii="Times New Roman" w:hAnsi="Times New Roman"/>
                <w:sz w:val="24"/>
              </w:rPr>
              <w:t>Instruments de fonds propres</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36, paragraphe 1, point f), article 469, paragraphe 1, article 472, p</w:t>
            </w:r>
            <w:r>
              <w:rPr>
                <w:rStyle w:val="InstructionsTabelleText"/>
                <w:rFonts w:ascii="Times New Roman" w:hAnsi="Times New Roman"/>
                <w:sz w:val="24"/>
              </w:rPr>
              <w:t>a</w:t>
            </w:r>
            <w:r>
              <w:rPr>
                <w:rStyle w:val="InstructionsTabelleText"/>
                <w:rFonts w:ascii="Times New Roman" w:hAnsi="Times New Roman"/>
                <w:sz w:val="24"/>
              </w:rPr>
              <w:t>ragraphe 8, et article 478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Montant à déclarer dans la colonne 060 de cette ligne: la déduction initiale visée à l'article 36, paragraphe 1, point f), du CRR.</w:t>
            </w:r>
          </w:p>
        </w:tc>
      </w:tr>
      <w:tr w:rsidR="00A60195" w:rsidRPr="00392FFD" w:rsidTr="000843B3">
        <w:tc>
          <w:tcPr>
            <w:tcW w:w="1012" w:type="dxa"/>
          </w:tcPr>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210</w:t>
            </w:r>
          </w:p>
          <w:p w:rsidR="00A60195" w:rsidRPr="00392FFD" w:rsidRDefault="00A60195" w:rsidP="00622B37">
            <w:pPr>
              <w:pStyle w:val="InstructionsText"/>
              <w:rPr>
                <w:rStyle w:val="InstructionsTabelleText"/>
                <w:rFonts w:ascii="Times New Roman" w:hAnsi="Times New Roman"/>
                <w:sz w:val="24"/>
              </w:rPr>
            </w:pPr>
          </w:p>
        </w:tc>
        <w:tc>
          <w:tcPr>
            <w:tcW w:w="7478" w:type="dxa"/>
          </w:tcPr>
          <w:p w:rsidR="00A60195" w:rsidRPr="00392FFD" w:rsidRDefault="0020170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1.3.2.6.1</w:t>
            </w:r>
            <w:r>
              <w:tab/>
            </w:r>
            <w:r>
              <w:rPr>
                <w:rStyle w:val="InstructionsTabelleberschrift"/>
                <w:rFonts w:ascii="Times New Roman" w:hAnsi="Times New Roman"/>
                <w:sz w:val="24"/>
              </w:rPr>
              <w:t>Propres instruments CET1</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36, paragraphe 1, point f), article 469, paragraphe 1, article 472, p</w:t>
            </w:r>
            <w:r>
              <w:rPr>
                <w:rStyle w:val="InstructionsTabelleText"/>
                <w:rFonts w:ascii="Times New Roman" w:hAnsi="Times New Roman"/>
                <w:sz w:val="24"/>
              </w:rPr>
              <w:t>a</w:t>
            </w:r>
            <w:r>
              <w:rPr>
                <w:rStyle w:val="InstructionsTabelleText"/>
                <w:rFonts w:ascii="Times New Roman" w:hAnsi="Times New Roman"/>
                <w:sz w:val="24"/>
              </w:rPr>
              <w:t>ragraphe 8, et article 478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Lors du calcul du montant des propres instruments de fonds propres de base de catégorie 1 à déduire, les établissements tiendront compte des di</w:t>
            </w:r>
            <w:r>
              <w:rPr>
                <w:rStyle w:val="InstructionsTabelleText"/>
                <w:rFonts w:ascii="Times New Roman" w:hAnsi="Times New Roman"/>
                <w:sz w:val="24"/>
              </w:rPr>
              <w:t>s</w:t>
            </w:r>
            <w:r>
              <w:rPr>
                <w:rStyle w:val="InstructionsTabelleText"/>
                <w:rFonts w:ascii="Times New Roman" w:hAnsi="Times New Roman"/>
                <w:sz w:val="24"/>
              </w:rPr>
              <w:t>positions de l’article 42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Étant donné que le traitement du «montant résiduel» varie en fonction de la nature de l’instrument, les établissements répartiront les détentions de fonds propres de base entre détentions «directes» et «indirectes».</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Montant à déclarer dans la colonne 060 de cette ligne: la déduction initiale visée à l'article 36, paragraphe 1, point f), du CRR.</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lastRenderedPageBreak/>
              <w:t>211</w:t>
            </w:r>
          </w:p>
        </w:tc>
        <w:tc>
          <w:tcPr>
            <w:tcW w:w="7478" w:type="dxa"/>
          </w:tcPr>
          <w:p w:rsidR="00213E0E" w:rsidRPr="00201704" w:rsidRDefault="008A1A1E" w:rsidP="00622B37">
            <w:pPr>
              <w:pStyle w:val="InstructionsText"/>
              <w:rPr>
                <w:rStyle w:val="InstructionsTabelleText"/>
                <w:rFonts w:ascii="Times New Roman" w:hAnsi="Times New Roman"/>
                <w:b/>
                <w:bCs/>
                <w:sz w:val="24"/>
                <w:u w:val="single"/>
              </w:rPr>
            </w:pPr>
            <w:r>
              <w:rPr>
                <w:rStyle w:val="InstructionsTabelleberschrift"/>
                <w:rFonts w:ascii="Times New Roman" w:hAnsi="Times New Roman"/>
                <w:sz w:val="24"/>
              </w:rPr>
              <w:t>1.3.2.6.1**</w:t>
            </w:r>
            <w:r>
              <w:tab/>
            </w:r>
            <w:r>
              <w:rPr>
                <w:rStyle w:val="InstructionsTabelleberschrift"/>
                <w:rFonts w:ascii="Times New Roman" w:hAnsi="Times New Roman"/>
                <w:sz w:val="24"/>
              </w:rPr>
              <w:t>Dont: Détentions directes</w:t>
            </w:r>
          </w:p>
          <w:p w:rsidR="00213E0E" w:rsidRPr="00392FFD" w:rsidRDefault="00213E0E"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469, paragraphe 1, point b), et article 472, paragraphe 8, point a),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Montant à déclarer dans la colonne 060 de cette ligne: le montant total des détentions directes, y compris les instruments qu'un établissement est su</w:t>
            </w:r>
            <w:r>
              <w:rPr>
                <w:rStyle w:val="InstructionsTabelleText"/>
                <w:rFonts w:ascii="Times New Roman" w:hAnsi="Times New Roman"/>
                <w:sz w:val="24"/>
              </w:rPr>
              <w:t>s</w:t>
            </w:r>
            <w:r>
              <w:rPr>
                <w:rStyle w:val="InstructionsTabelleText"/>
                <w:rFonts w:ascii="Times New Roman" w:hAnsi="Times New Roman"/>
                <w:sz w:val="24"/>
              </w:rPr>
              <w:t xml:space="preserve">ceptible de devoir acquérir en vertu d'une obligation contractuelle existante ou éventuelle. </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212</w:t>
            </w:r>
          </w:p>
        </w:tc>
        <w:tc>
          <w:tcPr>
            <w:tcW w:w="7478" w:type="dxa"/>
          </w:tcPr>
          <w:p w:rsidR="00A60195" w:rsidRPr="00392FFD" w:rsidRDefault="008A1A1E"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1.3.2.6.1*</w:t>
            </w:r>
            <w:r>
              <w:tab/>
            </w:r>
            <w:r>
              <w:rPr>
                <w:rStyle w:val="InstructionsTabelleberschrift"/>
                <w:rFonts w:ascii="Times New Roman" w:hAnsi="Times New Roman"/>
                <w:sz w:val="24"/>
              </w:rPr>
              <w:t>Dont: Détentions indirectes</w:t>
            </w:r>
          </w:p>
          <w:p w:rsidR="00213E0E" w:rsidRPr="00392FFD" w:rsidRDefault="00213E0E"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469, paragraphe 1, point b), et article 472, paragraphe 8, point b), du CRR</w:t>
            </w:r>
          </w:p>
          <w:p w:rsidR="00A60195" w:rsidRPr="00201704" w:rsidRDefault="00A60195" w:rsidP="00622B37">
            <w:pPr>
              <w:pStyle w:val="InstructionsText"/>
              <w:rPr>
                <w:rStyle w:val="InstructionsTabelleberschrift"/>
                <w:rFonts w:ascii="Times New Roman" w:hAnsi="Times New Roman"/>
                <w:b w:val="0"/>
                <w:bCs w:val="0"/>
                <w:sz w:val="24"/>
                <w:u w:val="none"/>
              </w:rPr>
            </w:pPr>
            <w:r>
              <w:rPr>
                <w:rStyle w:val="InstructionsTabelleText"/>
                <w:rFonts w:ascii="Times New Roman" w:hAnsi="Times New Roman"/>
                <w:sz w:val="24"/>
              </w:rPr>
              <w:t>Montant à déclarer dans la colonne 060 de cette ligne: le montant total des détentions indirectes, y compris les instruments qu'un établissement est susceptible de devoir acquérir en vertu d'une obligation contractuelle exi</w:t>
            </w:r>
            <w:r>
              <w:rPr>
                <w:rStyle w:val="InstructionsTabelleText"/>
                <w:rFonts w:ascii="Times New Roman" w:hAnsi="Times New Roman"/>
                <w:sz w:val="24"/>
              </w:rPr>
              <w:t>s</w:t>
            </w:r>
            <w:r>
              <w:rPr>
                <w:rStyle w:val="InstructionsTabelleText"/>
                <w:rFonts w:ascii="Times New Roman" w:hAnsi="Times New Roman"/>
                <w:sz w:val="24"/>
              </w:rPr>
              <w:t>tante ou éventuelle.</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220</w:t>
            </w:r>
          </w:p>
        </w:tc>
        <w:tc>
          <w:tcPr>
            <w:tcW w:w="7478" w:type="dxa"/>
          </w:tcPr>
          <w:p w:rsidR="00A60195" w:rsidRPr="00392FFD" w:rsidRDefault="0020170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1.3.2.6.2</w:t>
            </w:r>
            <w:r>
              <w:tab/>
            </w:r>
            <w:r>
              <w:rPr>
                <w:rStyle w:val="InstructionsTabelleberschrift"/>
                <w:rFonts w:ascii="Times New Roman" w:hAnsi="Times New Roman"/>
                <w:sz w:val="24"/>
              </w:rPr>
              <w:t>Propres instruments AT1</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56, point a), article 474, article 475, paragraphe 2, et article 478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Lors du calcul du montant de ces détentions à déduire, les établissements tiendront compte des dispositions de l’article 57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Étant donné que le traitement du «montant résiduel» varie en fonction de la nature de l’instrument (article 475, paragraphe 2, du CRR), les établiss</w:t>
            </w:r>
            <w:r>
              <w:rPr>
                <w:rStyle w:val="InstructionsTabelleText"/>
                <w:rFonts w:ascii="Times New Roman" w:hAnsi="Times New Roman"/>
                <w:sz w:val="24"/>
              </w:rPr>
              <w:t>e</w:t>
            </w:r>
            <w:r>
              <w:rPr>
                <w:rStyle w:val="InstructionsTabelleText"/>
                <w:rFonts w:ascii="Times New Roman" w:hAnsi="Times New Roman"/>
                <w:sz w:val="24"/>
              </w:rPr>
              <w:t>ments répartiront les détentions précitées entre détentions «directes» et «indirectes» de propres instruments de fonds propres additionnels de cat</w:t>
            </w:r>
            <w:r>
              <w:rPr>
                <w:rStyle w:val="InstructionsTabelleText"/>
                <w:rFonts w:ascii="Times New Roman" w:hAnsi="Times New Roman"/>
                <w:sz w:val="24"/>
              </w:rPr>
              <w:t>é</w:t>
            </w:r>
            <w:r>
              <w:rPr>
                <w:rStyle w:val="InstructionsTabelleText"/>
                <w:rFonts w:ascii="Times New Roman" w:hAnsi="Times New Roman"/>
                <w:sz w:val="24"/>
              </w:rPr>
              <w:t>gorie 1.</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Montant à déclarer dans la colonne 060 de cette ligne: la déduction initiale visée à l'article 56, point a), du CRR.</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221</w:t>
            </w:r>
          </w:p>
        </w:tc>
        <w:tc>
          <w:tcPr>
            <w:tcW w:w="7478" w:type="dxa"/>
          </w:tcPr>
          <w:p w:rsidR="00A60195" w:rsidRPr="00392FFD" w:rsidRDefault="008A1A1E"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1.3.2.6.2**</w:t>
            </w:r>
            <w:r>
              <w:tab/>
            </w:r>
            <w:r>
              <w:rPr>
                <w:rStyle w:val="InstructionsTabelleberschrift"/>
                <w:rFonts w:ascii="Times New Roman" w:hAnsi="Times New Roman"/>
                <w:sz w:val="24"/>
              </w:rPr>
              <w:t>Dont: Détentions directes</w:t>
            </w:r>
          </w:p>
          <w:p w:rsidR="00A60195" w:rsidRPr="00201704" w:rsidRDefault="00A60195" w:rsidP="00622B37">
            <w:pPr>
              <w:pStyle w:val="InstructionsText"/>
              <w:rPr>
                <w:rStyle w:val="InstructionsTabelleberschrift"/>
                <w:rFonts w:ascii="Times New Roman" w:hAnsi="Times New Roman"/>
                <w:b w:val="0"/>
                <w:bCs w:val="0"/>
                <w:sz w:val="24"/>
                <w:u w:val="none"/>
              </w:rPr>
            </w:pPr>
            <w:r>
              <w:rPr>
                <w:rStyle w:val="InstructionsTabelleText"/>
                <w:rFonts w:ascii="Times New Roman" w:hAnsi="Times New Roman"/>
                <w:sz w:val="24"/>
              </w:rPr>
              <w:t>Montant à déclarer dans la colonne 060 de cette ligne: le montant total des détentions directes, y compris les instruments qu'un établissement est su</w:t>
            </w:r>
            <w:r>
              <w:rPr>
                <w:rStyle w:val="InstructionsTabelleText"/>
                <w:rFonts w:ascii="Times New Roman" w:hAnsi="Times New Roman"/>
                <w:sz w:val="24"/>
              </w:rPr>
              <w:t>s</w:t>
            </w:r>
            <w:r>
              <w:rPr>
                <w:rStyle w:val="InstructionsTabelleText"/>
                <w:rFonts w:ascii="Times New Roman" w:hAnsi="Times New Roman"/>
                <w:sz w:val="24"/>
              </w:rPr>
              <w:t>ceptible de devoir acquérir en vertu d'une obligation contractuelle existante ou éventuelle, article 474, point b), et article 475, paragraphe 2, point a), du CRR.</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222</w:t>
            </w:r>
          </w:p>
        </w:tc>
        <w:tc>
          <w:tcPr>
            <w:tcW w:w="7478" w:type="dxa"/>
          </w:tcPr>
          <w:p w:rsidR="00A60195" w:rsidRPr="00392FFD" w:rsidRDefault="008A1A1E"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1.3.2.6.2*</w:t>
            </w:r>
            <w:r>
              <w:tab/>
            </w:r>
            <w:r>
              <w:rPr>
                <w:rStyle w:val="InstructionsTabelleberschrift"/>
                <w:rFonts w:ascii="Times New Roman" w:hAnsi="Times New Roman"/>
                <w:sz w:val="24"/>
              </w:rPr>
              <w:t>Dont: Détentions indirectes</w:t>
            </w:r>
          </w:p>
          <w:p w:rsidR="00A60195" w:rsidRPr="00201704" w:rsidRDefault="00A60195" w:rsidP="00622B37">
            <w:pPr>
              <w:pStyle w:val="InstructionsText"/>
              <w:rPr>
                <w:rStyle w:val="InstructionsTabelleberschrift"/>
                <w:rFonts w:ascii="Times New Roman" w:hAnsi="Times New Roman"/>
                <w:b w:val="0"/>
                <w:bCs w:val="0"/>
                <w:sz w:val="24"/>
                <w:u w:val="none"/>
              </w:rPr>
            </w:pPr>
            <w:r>
              <w:rPr>
                <w:rStyle w:val="InstructionsTabelleText"/>
                <w:rFonts w:ascii="Times New Roman" w:hAnsi="Times New Roman"/>
                <w:sz w:val="24"/>
              </w:rPr>
              <w:t>Montant à déclarer dans la colonne 060 de cette ligne: le montant total des détentions indirectes, y compris les instruments qu'un établissement est susceptible de devoir acquérir en vertu d'une obligation contractuelle exi</w:t>
            </w:r>
            <w:r>
              <w:rPr>
                <w:rStyle w:val="InstructionsTabelleText"/>
                <w:rFonts w:ascii="Times New Roman" w:hAnsi="Times New Roman"/>
                <w:sz w:val="24"/>
              </w:rPr>
              <w:t>s</w:t>
            </w:r>
            <w:r>
              <w:rPr>
                <w:rStyle w:val="InstructionsTabelleText"/>
                <w:rFonts w:ascii="Times New Roman" w:hAnsi="Times New Roman"/>
                <w:sz w:val="24"/>
              </w:rPr>
              <w:t>tante ou éventuelle, article 474, point b), et article 475, paragraphe 2, point b), du CRR.</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230</w:t>
            </w:r>
          </w:p>
        </w:tc>
        <w:tc>
          <w:tcPr>
            <w:tcW w:w="7478" w:type="dxa"/>
          </w:tcPr>
          <w:p w:rsidR="00A60195" w:rsidRPr="00392FFD" w:rsidRDefault="0020170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1.3.2.6.3</w:t>
            </w:r>
            <w:r>
              <w:tab/>
            </w:r>
            <w:r>
              <w:rPr>
                <w:rStyle w:val="InstructionsTabelleberschrift"/>
                <w:rFonts w:ascii="Times New Roman" w:hAnsi="Times New Roman"/>
                <w:sz w:val="24"/>
              </w:rPr>
              <w:t>Propres instruments T2</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66, point a), article 476, article 477, paragraphe 2, et article 478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 xml:space="preserve">Lors du calcul du montant de ces détentions à déduire, les établissements </w:t>
            </w:r>
            <w:r>
              <w:rPr>
                <w:rStyle w:val="InstructionsTabelleText"/>
                <w:rFonts w:ascii="Times New Roman" w:hAnsi="Times New Roman"/>
                <w:sz w:val="24"/>
              </w:rPr>
              <w:lastRenderedPageBreak/>
              <w:t>tiendront compte des dispositions de l’article 67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Étant donné que le traitement du «montant résiduel» varie en fonction de la nature de l’instrument (article 477, paragraphe 2, du CRR), les établiss</w:t>
            </w:r>
            <w:r>
              <w:rPr>
                <w:rStyle w:val="InstructionsTabelleText"/>
                <w:rFonts w:ascii="Times New Roman" w:hAnsi="Times New Roman"/>
                <w:sz w:val="24"/>
              </w:rPr>
              <w:t>e</w:t>
            </w:r>
            <w:r>
              <w:rPr>
                <w:rStyle w:val="InstructionsTabelleText"/>
                <w:rFonts w:ascii="Times New Roman" w:hAnsi="Times New Roman"/>
                <w:sz w:val="24"/>
              </w:rPr>
              <w:t>ments répartiront les détentions précitées entre détentions «directes» et «indirectes» de propres instruments de fonds propres de catégorie 2.</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Montant à déclarer dans la colonne 060 de cette ligne: la déduction initiale visée à l'article 66, point a), du CRR.</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lastRenderedPageBreak/>
              <w:t>231</w:t>
            </w:r>
          </w:p>
        </w:tc>
        <w:tc>
          <w:tcPr>
            <w:tcW w:w="7478" w:type="dxa"/>
          </w:tcPr>
          <w:p w:rsidR="00A60195" w:rsidRPr="00392FFD" w:rsidRDefault="0020170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Dont: Détentions directes</w:t>
            </w:r>
          </w:p>
          <w:p w:rsidR="00A60195" w:rsidRPr="00392FFD" w:rsidRDefault="00A60195" w:rsidP="00622B37">
            <w:pPr>
              <w:pStyle w:val="InstructionsText"/>
              <w:rPr>
                <w:rStyle w:val="InstructionsTabelleberschrift"/>
                <w:rFonts w:ascii="Times New Roman" w:hAnsi="Times New Roman"/>
                <w:sz w:val="24"/>
              </w:rPr>
            </w:pPr>
            <w:r>
              <w:rPr>
                <w:rStyle w:val="InstructionsTabelleText"/>
                <w:rFonts w:ascii="Times New Roman" w:hAnsi="Times New Roman"/>
                <w:sz w:val="24"/>
              </w:rPr>
              <w:t>Montant à déclarer dans la colonne 060 de cette ligne: le montant total des détentions directes, y compris les instruments qu'un établissement est su</w:t>
            </w:r>
            <w:r>
              <w:rPr>
                <w:rStyle w:val="InstructionsTabelleText"/>
                <w:rFonts w:ascii="Times New Roman" w:hAnsi="Times New Roman"/>
                <w:sz w:val="24"/>
              </w:rPr>
              <w:t>s</w:t>
            </w:r>
            <w:r>
              <w:rPr>
                <w:rStyle w:val="InstructionsTabelleText"/>
                <w:rFonts w:ascii="Times New Roman" w:hAnsi="Times New Roman"/>
                <w:sz w:val="24"/>
              </w:rPr>
              <w:t>ceptible de devoir acquérir en vertu d'une obligation contractuelle existante ou éventuelle, article 476, point b), et article 477, paragraphe 2, point a) du CRR.</w:t>
            </w:r>
          </w:p>
        </w:tc>
      </w:tr>
      <w:tr w:rsidR="00A60195" w:rsidRPr="00392FFD" w:rsidTr="000843B3">
        <w:tc>
          <w:tcPr>
            <w:tcW w:w="1012" w:type="dxa"/>
          </w:tcPr>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232</w:t>
            </w:r>
          </w:p>
          <w:p w:rsidR="00A60195" w:rsidRPr="00392FFD" w:rsidRDefault="00A60195" w:rsidP="00622B37">
            <w:pPr>
              <w:pStyle w:val="InstructionsText"/>
              <w:rPr>
                <w:rStyle w:val="InstructionsTabelleText"/>
                <w:rFonts w:ascii="Times New Roman" w:hAnsi="Times New Roman"/>
                <w:sz w:val="24"/>
              </w:rPr>
            </w:pPr>
          </w:p>
        </w:tc>
        <w:tc>
          <w:tcPr>
            <w:tcW w:w="7478" w:type="dxa"/>
          </w:tcPr>
          <w:p w:rsidR="00A60195" w:rsidRPr="00392FFD" w:rsidRDefault="0020170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Dont: Détentions indirectes</w:t>
            </w:r>
          </w:p>
          <w:p w:rsidR="00A60195" w:rsidRPr="00201704" w:rsidRDefault="00A60195" w:rsidP="00622B37">
            <w:pPr>
              <w:pStyle w:val="InstructionsText"/>
              <w:rPr>
                <w:rStyle w:val="InstructionsTabelleberschrift"/>
                <w:rFonts w:ascii="Times New Roman" w:hAnsi="Times New Roman"/>
                <w:b w:val="0"/>
                <w:bCs w:val="0"/>
                <w:sz w:val="24"/>
                <w:u w:val="none"/>
              </w:rPr>
            </w:pPr>
            <w:r>
              <w:rPr>
                <w:rStyle w:val="InstructionsTabelleText"/>
                <w:rFonts w:ascii="Times New Roman" w:hAnsi="Times New Roman"/>
                <w:sz w:val="24"/>
              </w:rPr>
              <w:t>Montant à déclarer dans la colonne 060 de cette ligne: le montant total des détentions indirectes, y compris les instruments qu'un établissement est susceptible de devoir acquérir en vertu d'une obligation contractuelle exi</w:t>
            </w:r>
            <w:r>
              <w:rPr>
                <w:rStyle w:val="InstructionsTabelleText"/>
                <w:rFonts w:ascii="Times New Roman" w:hAnsi="Times New Roman"/>
                <w:sz w:val="24"/>
              </w:rPr>
              <w:t>s</w:t>
            </w:r>
            <w:r>
              <w:rPr>
                <w:rStyle w:val="InstructionsTabelleText"/>
                <w:rFonts w:ascii="Times New Roman" w:hAnsi="Times New Roman"/>
                <w:sz w:val="24"/>
              </w:rPr>
              <w:t>tante ou éventuelle, article 476, point b), et article 477, paragraphe 2, point b) du CRR.</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240</w:t>
            </w:r>
          </w:p>
        </w:tc>
        <w:tc>
          <w:tcPr>
            <w:tcW w:w="7478" w:type="dxa"/>
          </w:tcPr>
          <w:p w:rsidR="00A60195" w:rsidRPr="00392FFD" w:rsidRDefault="00A60195"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1.3.2.7.</w:t>
            </w:r>
            <w:r>
              <w:tab/>
            </w:r>
            <w:r>
              <w:rPr>
                <w:rStyle w:val="InstructionsTabelleberschrift"/>
                <w:rFonts w:ascii="Times New Roman" w:hAnsi="Times New Roman"/>
                <w:sz w:val="24"/>
              </w:rPr>
              <w:t>Détentions croisées</w:t>
            </w:r>
          </w:p>
          <w:p w:rsidR="00A60195" w:rsidRPr="00201704" w:rsidRDefault="00A60195" w:rsidP="007106FB">
            <w:pPr>
              <w:spacing w:before="0"/>
              <w:rPr>
                <w:rStyle w:val="InstructionsTabelleberschrift"/>
                <w:rFonts w:ascii="Times New Roman" w:hAnsi="Times New Roman"/>
                <w:b w:val="0"/>
                <w:bCs w:val="0"/>
                <w:sz w:val="24"/>
                <w:u w:val="none"/>
              </w:rPr>
            </w:pPr>
            <w:r>
              <w:rPr>
                <w:rStyle w:val="InstructionsTabelleText"/>
                <w:rFonts w:ascii="Times New Roman" w:hAnsi="Times New Roman"/>
                <w:sz w:val="24"/>
              </w:rPr>
              <w:t>Étant donné que le traitement du «montant résiduel» varie selon que la d</w:t>
            </w:r>
            <w:r>
              <w:rPr>
                <w:rStyle w:val="InstructionsTabelleText"/>
                <w:rFonts w:ascii="Times New Roman" w:hAnsi="Times New Roman"/>
                <w:sz w:val="24"/>
              </w:rPr>
              <w:t>é</w:t>
            </w:r>
            <w:r>
              <w:rPr>
                <w:rStyle w:val="InstructionsTabelleText"/>
                <w:rFonts w:ascii="Times New Roman" w:hAnsi="Times New Roman"/>
                <w:sz w:val="24"/>
              </w:rPr>
              <w:t>tention de fonds propres de base de catégorie 1, de fonds propres additio</w:t>
            </w:r>
            <w:r>
              <w:rPr>
                <w:rStyle w:val="InstructionsTabelleText"/>
                <w:rFonts w:ascii="Times New Roman" w:hAnsi="Times New Roman"/>
                <w:sz w:val="24"/>
              </w:rPr>
              <w:t>n</w:t>
            </w:r>
            <w:r>
              <w:rPr>
                <w:rStyle w:val="InstructionsTabelleText"/>
                <w:rFonts w:ascii="Times New Roman" w:hAnsi="Times New Roman"/>
                <w:sz w:val="24"/>
              </w:rPr>
              <w:t>nels de catégorie</w:t>
            </w:r>
            <w:r>
              <w:rPr>
                <w:rFonts w:ascii="Times New Roman" w:hAnsi="Times New Roman"/>
                <w:sz w:val="24"/>
              </w:rPr>
              <w:t xml:space="preserve"> </w:t>
            </w:r>
            <w:r>
              <w:rPr>
                <w:rStyle w:val="InstructionsTabelleText"/>
                <w:rFonts w:ascii="Times New Roman" w:hAnsi="Times New Roman"/>
                <w:sz w:val="24"/>
              </w:rPr>
              <w:t>1 ou de fonds propres de catégorie 2 dans des entités du secteur financier doit être considérée comme importante ou non (article 472, paragraphe 9, article 475, paragraphe 3, et article 477, paragraphe 3, du CRR), les établissements répartissent les détentions croisées entre i</w:t>
            </w:r>
            <w:r>
              <w:rPr>
                <w:rStyle w:val="InstructionsTabelleText"/>
                <w:rFonts w:ascii="Times New Roman" w:hAnsi="Times New Roman"/>
                <w:sz w:val="24"/>
              </w:rPr>
              <w:t>n</w:t>
            </w:r>
            <w:r>
              <w:rPr>
                <w:rStyle w:val="InstructionsTabelleText"/>
                <w:rFonts w:ascii="Times New Roman" w:hAnsi="Times New Roman"/>
                <w:sz w:val="24"/>
              </w:rPr>
              <w:t>vestissements importants et non importants.</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250</w:t>
            </w:r>
          </w:p>
        </w:tc>
        <w:tc>
          <w:tcPr>
            <w:tcW w:w="7478" w:type="dxa"/>
          </w:tcPr>
          <w:p w:rsidR="00A60195" w:rsidRPr="00201704" w:rsidRDefault="00A60195" w:rsidP="00622B37">
            <w:pPr>
              <w:pStyle w:val="InstructionsText"/>
              <w:rPr>
                <w:rStyle w:val="InstructionsTabelleText"/>
                <w:rFonts w:ascii="Times New Roman" w:hAnsi="Times New Roman"/>
                <w:b/>
                <w:bCs/>
                <w:sz w:val="24"/>
                <w:u w:val="single"/>
              </w:rPr>
            </w:pPr>
            <w:r>
              <w:rPr>
                <w:rStyle w:val="InstructionsTabelleberschrift"/>
                <w:rFonts w:ascii="Times New Roman" w:hAnsi="Times New Roman"/>
                <w:sz w:val="24"/>
              </w:rPr>
              <w:t>1.3.2.7.1</w:t>
            </w:r>
            <w:r>
              <w:tab/>
            </w:r>
            <w:r>
              <w:rPr>
                <w:rStyle w:val="InstructionsTabelleberschrift"/>
                <w:rFonts w:ascii="Times New Roman" w:hAnsi="Times New Roman"/>
                <w:sz w:val="24"/>
              </w:rPr>
              <w:t>Détentions croisées de fonds propres CET1</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36, paragraphe 1, point g), article 469, paragraphe 1, article 472, paragraphe 9, et article 478 du CRR</w:t>
            </w:r>
          </w:p>
          <w:p w:rsidR="00A60195" w:rsidRPr="00201704" w:rsidRDefault="00A60195" w:rsidP="00622B37">
            <w:pPr>
              <w:pStyle w:val="InstructionsText"/>
              <w:rPr>
                <w:rStyle w:val="InstructionsTabelleberschrift"/>
                <w:rFonts w:ascii="Times New Roman" w:hAnsi="Times New Roman"/>
                <w:b w:val="0"/>
                <w:bCs w:val="0"/>
                <w:sz w:val="24"/>
                <w:u w:val="none"/>
              </w:rPr>
            </w:pPr>
            <w:r>
              <w:rPr>
                <w:rStyle w:val="InstructionsTabelleText"/>
                <w:rFonts w:ascii="Times New Roman" w:hAnsi="Times New Roman"/>
                <w:sz w:val="24"/>
              </w:rPr>
              <w:t>Montant à déclarer dans la colonne 060 de cette ligne: la déduction initiale visée à l'article 36, paragraphe 1, point g), du CRR.</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260</w:t>
            </w:r>
          </w:p>
        </w:tc>
        <w:tc>
          <w:tcPr>
            <w:tcW w:w="7478" w:type="dxa"/>
          </w:tcPr>
          <w:p w:rsidR="00A60195" w:rsidRPr="00392FFD" w:rsidRDefault="00A60195"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1.3.2.7.1.1</w:t>
            </w:r>
            <w:r>
              <w:tab/>
            </w:r>
            <w:r>
              <w:rPr>
                <w:rStyle w:val="InstructionsTabelleberschrift"/>
                <w:rFonts w:ascii="Times New Roman" w:hAnsi="Times New Roman"/>
                <w:sz w:val="24"/>
              </w:rPr>
              <w:t>Détentions croisées de fonds propres CET1 d’entités du secteur financier dans lesquelles l'établissement ne détient pas d’investissement important</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36, paragraphe 1, point g), article 469, paragraphe 1, article 472, paragraphe 9, point a), et article 478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Montant à déclarer dans la colonne 060 de cette ligne: le montant résiduel visé à l'article 469, paragraphe 1, point b), du CRR.</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270</w:t>
            </w:r>
          </w:p>
        </w:tc>
        <w:tc>
          <w:tcPr>
            <w:tcW w:w="7478" w:type="dxa"/>
          </w:tcPr>
          <w:p w:rsidR="00A60195" w:rsidRPr="00392FFD" w:rsidRDefault="00A60195"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1.3.2.7.1.2</w:t>
            </w:r>
            <w:r>
              <w:tab/>
            </w:r>
            <w:r>
              <w:rPr>
                <w:rStyle w:val="InstructionsTabelleberschrift"/>
                <w:rFonts w:ascii="Times New Roman" w:hAnsi="Times New Roman"/>
                <w:sz w:val="24"/>
              </w:rPr>
              <w:t>Détentions croisées de fonds propres CET1 d’entités du secteur financier dans lesquelles l'établissement détient un investiss</w:t>
            </w:r>
            <w:r>
              <w:rPr>
                <w:rStyle w:val="InstructionsTabelleberschrift"/>
                <w:rFonts w:ascii="Times New Roman" w:hAnsi="Times New Roman"/>
                <w:sz w:val="24"/>
              </w:rPr>
              <w:t>e</w:t>
            </w:r>
            <w:r>
              <w:rPr>
                <w:rStyle w:val="InstructionsTabelleberschrift"/>
                <w:rFonts w:ascii="Times New Roman" w:hAnsi="Times New Roman"/>
                <w:sz w:val="24"/>
              </w:rPr>
              <w:t>ment important</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 xml:space="preserve">Article 36, paragraphe 1, point g), article 469, paragraphe 1, article 472, </w:t>
            </w:r>
            <w:r>
              <w:rPr>
                <w:rStyle w:val="InstructionsTabelleText"/>
                <w:rFonts w:ascii="Times New Roman" w:hAnsi="Times New Roman"/>
                <w:sz w:val="24"/>
              </w:rPr>
              <w:lastRenderedPageBreak/>
              <w:t>paragraphe 9, point b), et article 478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Montant à déclarer dans la colonne 060 de cette ligne: le montant résiduel visé à l'article 469, paragraphe 1, point b), du CRR.</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lastRenderedPageBreak/>
              <w:t>280</w:t>
            </w:r>
          </w:p>
        </w:tc>
        <w:tc>
          <w:tcPr>
            <w:tcW w:w="7478" w:type="dxa"/>
          </w:tcPr>
          <w:p w:rsidR="00A60195" w:rsidRPr="00201704" w:rsidRDefault="00A60195" w:rsidP="00622B37">
            <w:pPr>
              <w:pStyle w:val="InstructionsText"/>
              <w:rPr>
                <w:rStyle w:val="InstructionsTabelleText"/>
                <w:rFonts w:ascii="Times New Roman" w:hAnsi="Times New Roman"/>
                <w:b/>
                <w:bCs/>
                <w:sz w:val="24"/>
                <w:u w:val="single"/>
              </w:rPr>
            </w:pPr>
            <w:r>
              <w:rPr>
                <w:rStyle w:val="InstructionsTabelleberschrift"/>
                <w:rFonts w:ascii="Times New Roman" w:hAnsi="Times New Roman"/>
                <w:sz w:val="24"/>
              </w:rPr>
              <w:t>1.3.2.7.2</w:t>
            </w:r>
            <w:r>
              <w:tab/>
            </w:r>
            <w:r>
              <w:rPr>
                <w:rStyle w:val="InstructionsTabelleberschrift"/>
                <w:rFonts w:ascii="Times New Roman" w:hAnsi="Times New Roman"/>
                <w:sz w:val="24"/>
              </w:rPr>
              <w:t>Détentions croisées de fonds propres AT1</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56, point b), article 474, article 475, paragraphe 3, et article 478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Montant à déclarer dans la colonne 060 de cette ligne: la déduction initiale visée à l'article 56, point b), du CRR.</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290</w:t>
            </w:r>
          </w:p>
        </w:tc>
        <w:tc>
          <w:tcPr>
            <w:tcW w:w="7478" w:type="dxa"/>
          </w:tcPr>
          <w:p w:rsidR="00A60195" w:rsidRPr="00392FFD" w:rsidRDefault="00A60195"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1.3.2.7.2.1</w:t>
            </w:r>
            <w:r>
              <w:tab/>
            </w:r>
            <w:r>
              <w:rPr>
                <w:rStyle w:val="InstructionsTabelleberschrift"/>
                <w:rFonts w:ascii="Times New Roman" w:hAnsi="Times New Roman"/>
                <w:sz w:val="24"/>
              </w:rPr>
              <w:t>Détentions croisées de fonds propres AT1 d’entités du secteur financier dans lesquelles l'établissement ne détient pas d’investissement important</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56, point b), article 474, article 475, paragraphe 3, point a), et a</w:t>
            </w:r>
            <w:r>
              <w:rPr>
                <w:rStyle w:val="InstructionsTabelleText"/>
                <w:rFonts w:ascii="Times New Roman" w:hAnsi="Times New Roman"/>
                <w:sz w:val="24"/>
              </w:rPr>
              <w:t>r</w:t>
            </w:r>
            <w:r>
              <w:rPr>
                <w:rStyle w:val="InstructionsTabelleText"/>
                <w:rFonts w:ascii="Times New Roman" w:hAnsi="Times New Roman"/>
                <w:sz w:val="24"/>
              </w:rPr>
              <w:t>ticle 478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Montant à déclarer dans la colonne 060 de cette ligne: le montant résiduel visé à l'article 475, paragraphe 3, du CRR.</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300</w:t>
            </w:r>
          </w:p>
        </w:tc>
        <w:tc>
          <w:tcPr>
            <w:tcW w:w="7478" w:type="dxa"/>
          </w:tcPr>
          <w:p w:rsidR="00A60195" w:rsidRPr="00392FFD" w:rsidRDefault="00A60195"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1.3.2.7.2.2</w:t>
            </w:r>
            <w:r>
              <w:tab/>
            </w:r>
            <w:r>
              <w:rPr>
                <w:rStyle w:val="InstructionsTabelleberschrift"/>
                <w:rFonts w:ascii="Times New Roman" w:hAnsi="Times New Roman"/>
                <w:sz w:val="24"/>
              </w:rPr>
              <w:t>Détentions croisées de fonds propres AT1 d’entités du secteur financier dans lesquelles l'établissement détient un investiss</w:t>
            </w:r>
            <w:r>
              <w:rPr>
                <w:rStyle w:val="InstructionsTabelleberschrift"/>
                <w:rFonts w:ascii="Times New Roman" w:hAnsi="Times New Roman"/>
                <w:sz w:val="24"/>
              </w:rPr>
              <w:t>e</w:t>
            </w:r>
            <w:r>
              <w:rPr>
                <w:rStyle w:val="InstructionsTabelleberschrift"/>
                <w:rFonts w:ascii="Times New Roman" w:hAnsi="Times New Roman"/>
                <w:sz w:val="24"/>
              </w:rPr>
              <w:t>ment important</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56, point b), article 474, article 475, paragraphe 3, point b), et a</w:t>
            </w:r>
            <w:r>
              <w:rPr>
                <w:rStyle w:val="InstructionsTabelleText"/>
                <w:rFonts w:ascii="Times New Roman" w:hAnsi="Times New Roman"/>
                <w:sz w:val="24"/>
              </w:rPr>
              <w:t>r</w:t>
            </w:r>
            <w:r>
              <w:rPr>
                <w:rStyle w:val="InstructionsTabelleText"/>
                <w:rFonts w:ascii="Times New Roman" w:hAnsi="Times New Roman"/>
                <w:sz w:val="24"/>
              </w:rPr>
              <w:t>ticle 478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Montant à déclarer dans la colonne 060 de cette ligne: le montant résiduel visé à l'article 475, paragraphe 3, du CRR.</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310</w:t>
            </w:r>
          </w:p>
        </w:tc>
        <w:tc>
          <w:tcPr>
            <w:tcW w:w="7478" w:type="dxa"/>
          </w:tcPr>
          <w:p w:rsidR="00A60195" w:rsidRPr="00392FFD" w:rsidRDefault="00A60195"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1.3.2.7.3</w:t>
            </w:r>
            <w:r>
              <w:tab/>
            </w:r>
            <w:r>
              <w:rPr>
                <w:rStyle w:val="InstructionsTabelleberschrift"/>
                <w:rFonts w:ascii="Times New Roman" w:hAnsi="Times New Roman"/>
                <w:sz w:val="24"/>
              </w:rPr>
              <w:t>Détentions croisées de fonds propres T2</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66, point b), article 476, article 477, paragraphe 3, et article 478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Montant à déclarer dans la colonne 060 de cette ligne:</w:t>
            </w:r>
            <w:r>
              <w:t xml:space="preserve"> </w:t>
            </w:r>
            <w:r>
              <w:rPr>
                <w:rStyle w:val="InstructionsTabelleText"/>
                <w:rFonts w:ascii="Times New Roman" w:hAnsi="Times New Roman"/>
                <w:sz w:val="24"/>
              </w:rPr>
              <w:t>la déduction initiale visée à l'article 66, point b), du CRR.</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320</w:t>
            </w:r>
          </w:p>
        </w:tc>
        <w:tc>
          <w:tcPr>
            <w:tcW w:w="7478" w:type="dxa"/>
          </w:tcPr>
          <w:p w:rsidR="00A60195" w:rsidRPr="00201704" w:rsidRDefault="00A60195" w:rsidP="00622B37">
            <w:pPr>
              <w:pStyle w:val="InstructionsText"/>
              <w:rPr>
                <w:rStyle w:val="InstructionsTabelleText"/>
                <w:rFonts w:ascii="Times New Roman" w:hAnsi="Times New Roman"/>
                <w:b/>
                <w:bCs/>
                <w:sz w:val="24"/>
                <w:u w:val="single"/>
              </w:rPr>
            </w:pPr>
            <w:r>
              <w:rPr>
                <w:rStyle w:val="InstructionsTabelleberschrift"/>
                <w:rFonts w:ascii="Times New Roman" w:hAnsi="Times New Roman"/>
                <w:sz w:val="24"/>
              </w:rPr>
              <w:t>1.3.2.7.3.1</w:t>
            </w:r>
            <w:r>
              <w:tab/>
            </w:r>
            <w:r>
              <w:rPr>
                <w:rStyle w:val="InstructionsTabelleberschrift"/>
                <w:rFonts w:ascii="Times New Roman" w:hAnsi="Times New Roman"/>
                <w:sz w:val="24"/>
              </w:rPr>
              <w:t>Détentions croisées de fonds propres T2 d’entités du se</w:t>
            </w:r>
            <w:r>
              <w:rPr>
                <w:rStyle w:val="InstructionsTabelleberschrift"/>
                <w:rFonts w:ascii="Times New Roman" w:hAnsi="Times New Roman"/>
                <w:sz w:val="24"/>
              </w:rPr>
              <w:t>c</w:t>
            </w:r>
            <w:r>
              <w:rPr>
                <w:rStyle w:val="InstructionsTabelleberschrift"/>
                <w:rFonts w:ascii="Times New Roman" w:hAnsi="Times New Roman"/>
                <w:sz w:val="24"/>
              </w:rPr>
              <w:t>teur financier dans lesquelles l'établissement ne détient pas d’investissement important</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66, point b), article 476, article 477, paragraphe 3, point a), et a</w:t>
            </w:r>
            <w:r>
              <w:rPr>
                <w:rStyle w:val="InstructionsTabelleText"/>
                <w:rFonts w:ascii="Times New Roman" w:hAnsi="Times New Roman"/>
                <w:sz w:val="24"/>
              </w:rPr>
              <w:t>r</w:t>
            </w:r>
            <w:r>
              <w:rPr>
                <w:rStyle w:val="InstructionsTabelleText"/>
                <w:rFonts w:ascii="Times New Roman" w:hAnsi="Times New Roman"/>
                <w:sz w:val="24"/>
              </w:rPr>
              <w:t>ticle 478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Montant à déclarer dans la colonne 060 de cette ligne: le montant résiduel visé à l'article 477, paragraphe 3, du CRR.</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330</w:t>
            </w:r>
          </w:p>
        </w:tc>
        <w:tc>
          <w:tcPr>
            <w:tcW w:w="7478" w:type="dxa"/>
          </w:tcPr>
          <w:p w:rsidR="00A60195" w:rsidRPr="00392FFD" w:rsidRDefault="00A60195"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1.3.2.7.3.2</w:t>
            </w:r>
            <w:r>
              <w:tab/>
            </w:r>
            <w:r>
              <w:rPr>
                <w:rStyle w:val="InstructionsTabelleberschrift"/>
                <w:rFonts w:ascii="Times New Roman" w:hAnsi="Times New Roman"/>
                <w:sz w:val="24"/>
              </w:rPr>
              <w:t>Détentions croisées de fonds propres T2 d’entités du se</w:t>
            </w:r>
            <w:r>
              <w:rPr>
                <w:rStyle w:val="InstructionsTabelleberschrift"/>
                <w:rFonts w:ascii="Times New Roman" w:hAnsi="Times New Roman"/>
                <w:sz w:val="24"/>
              </w:rPr>
              <w:t>c</w:t>
            </w:r>
            <w:r>
              <w:rPr>
                <w:rStyle w:val="InstructionsTabelleberschrift"/>
                <w:rFonts w:ascii="Times New Roman" w:hAnsi="Times New Roman"/>
                <w:sz w:val="24"/>
              </w:rPr>
              <w:t>teur financier dans lesquelles l'établissement détient un investissement important</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66, point b), article 476, article 477, paragraphe 3, point b), et a</w:t>
            </w:r>
            <w:r>
              <w:rPr>
                <w:rStyle w:val="InstructionsTabelleText"/>
                <w:rFonts w:ascii="Times New Roman" w:hAnsi="Times New Roman"/>
                <w:sz w:val="24"/>
              </w:rPr>
              <w:t>r</w:t>
            </w:r>
            <w:r>
              <w:rPr>
                <w:rStyle w:val="InstructionsTabelleText"/>
                <w:rFonts w:ascii="Times New Roman" w:hAnsi="Times New Roman"/>
                <w:sz w:val="24"/>
              </w:rPr>
              <w:t>ticle 478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Montant à déclarer dans la colonne 060 de cette ligne: le montant résiduel visé à l'article 477, paragraphe 3, du CRR.</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lastRenderedPageBreak/>
              <w:t>340</w:t>
            </w:r>
          </w:p>
        </w:tc>
        <w:tc>
          <w:tcPr>
            <w:tcW w:w="7478" w:type="dxa"/>
          </w:tcPr>
          <w:p w:rsidR="00A60195" w:rsidRPr="00201704" w:rsidRDefault="00A60195" w:rsidP="00622B37">
            <w:pPr>
              <w:pStyle w:val="InstructionsText"/>
              <w:rPr>
                <w:rStyle w:val="InstructionsTabelleText"/>
                <w:rFonts w:ascii="Times New Roman" w:hAnsi="Times New Roman"/>
                <w:b/>
                <w:bCs/>
                <w:sz w:val="24"/>
                <w:u w:val="single"/>
              </w:rPr>
            </w:pPr>
            <w:r>
              <w:rPr>
                <w:rStyle w:val="InstructionsTabelleberschrift"/>
                <w:rFonts w:ascii="Times New Roman" w:hAnsi="Times New Roman"/>
                <w:sz w:val="24"/>
              </w:rPr>
              <w:t>1.3.2.8.</w:t>
            </w:r>
            <w:r>
              <w:tab/>
            </w:r>
            <w:r>
              <w:rPr>
                <w:rStyle w:val="InstructionsTabelleberschrift"/>
                <w:rFonts w:ascii="Times New Roman" w:hAnsi="Times New Roman"/>
                <w:sz w:val="24"/>
              </w:rPr>
              <w:t>Instruments de fonds propres d’entités du secteur fina</w:t>
            </w:r>
            <w:r>
              <w:rPr>
                <w:rStyle w:val="InstructionsTabelleberschrift"/>
                <w:rFonts w:ascii="Times New Roman" w:hAnsi="Times New Roman"/>
                <w:sz w:val="24"/>
              </w:rPr>
              <w:t>n</w:t>
            </w:r>
            <w:r>
              <w:rPr>
                <w:rStyle w:val="InstructionsTabelleberschrift"/>
                <w:rFonts w:ascii="Times New Roman" w:hAnsi="Times New Roman"/>
                <w:sz w:val="24"/>
              </w:rPr>
              <w:t>cier dans lesquelles l'établissement ne détient pas d’investissement i</w:t>
            </w:r>
            <w:r>
              <w:rPr>
                <w:rStyle w:val="InstructionsTabelleberschrift"/>
                <w:rFonts w:ascii="Times New Roman" w:hAnsi="Times New Roman"/>
                <w:sz w:val="24"/>
              </w:rPr>
              <w:t>m</w:t>
            </w:r>
            <w:r>
              <w:rPr>
                <w:rStyle w:val="InstructionsTabelleberschrift"/>
                <w:rFonts w:ascii="Times New Roman" w:hAnsi="Times New Roman"/>
                <w:sz w:val="24"/>
              </w:rPr>
              <w:t>portant</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350</w:t>
            </w:r>
          </w:p>
        </w:tc>
        <w:tc>
          <w:tcPr>
            <w:tcW w:w="7478" w:type="dxa"/>
          </w:tcPr>
          <w:p w:rsidR="00A60195" w:rsidRPr="00392FFD" w:rsidRDefault="00A60195"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1.3.2.8.1</w:t>
            </w:r>
            <w:r>
              <w:tab/>
            </w:r>
            <w:r>
              <w:rPr>
                <w:rStyle w:val="InstructionsTabelleberschrift"/>
                <w:rFonts w:ascii="Times New Roman" w:hAnsi="Times New Roman"/>
                <w:sz w:val="24"/>
              </w:rPr>
              <w:t>Instruments CET1 d’entités du secteur financier dans lesquelles l'établissement ne détient pas d’investissement important</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36, paragraphe 1, point h), article 469, paragraphe 1, article 472, paragraphe 10, et article 478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Montant à déclarer dans la colonne 060 de cette ligne: la déduction initiale visée à l'article 36, paragraphe 1, point h), du CRR.</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360</w:t>
            </w:r>
          </w:p>
        </w:tc>
        <w:tc>
          <w:tcPr>
            <w:tcW w:w="7478" w:type="dxa"/>
          </w:tcPr>
          <w:p w:rsidR="00A60195" w:rsidRPr="00392FFD" w:rsidRDefault="00A60195"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1.3.2.8.2</w:t>
            </w:r>
            <w:r>
              <w:tab/>
            </w:r>
            <w:r>
              <w:rPr>
                <w:rStyle w:val="InstructionsTabelleberschrift"/>
                <w:rFonts w:ascii="Times New Roman" w:hAnsi="Times New Roman"/>
                <w:sz w:val="24"/>
              </w:rPr>
              <w:t>Instruments AT1 d’entités du secteur financier dans le</w:t>
            </w:r>
            <w:r>
              <w:rPr>
                <w:rStyle w:val="InstructionsTabelleberschrift"/>
                <w:rFonts w:ascii="Times New Roman" w:hAnsi="Times New Roman"/>
                <w:sz w:val="24"/>
              </w:rPr>
              <w:t>s</w:t>
            </w:r>
            <w:r>
              <w:rPr>
                <w:rStyle w:val="InstructionsTabelleberschrift"/>
                <w:rFonts w:ascii="Times New Roman" w:hAnsi="Times New Roman"/>
                <w:sz w:val="24"/>
              </w:rPr>
              <w:t>quelles l'établissement ne détient pas d’investissement important</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56, point c), article 474, article 475, paragraphe 4, et article 478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Montant à déclarer dans la colonne 060 de cette ligne: la déduction initiale visée à l'article 56, point c), du CRR.</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370</w:t>
            </w:r>
          </w:p>
        </w:tc>
        <w:tc>
          <w:tcPr>
            <w:tcW w:w="7478" w:type="dxa"/>
          </w:tcPr>
          <w:p w:rsidR="00A60195" w:rsidRPr="00392FFD" w:rsidRDefault="00A60195"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1.3.2.8.3</w:t>
            </w:r>
            <w:r>
              <w:tab/>
            </w:r>
            <w:r>
              <w:rPr>
                <w:rStyle w:val="InstructionsTabelleberschrift"/>
                <w:rFonts w:ascii="Times New Roman" w:hAnsi="Times New Roman"/>
                <w:sz w:val="24"/>
              </w:rPr>
              <w:t>Instruments T2 d’entités du secteur financier dans le</w:t>
            </w:r>
            <w:r>
              <w:rPr>
                <w:rStyle w:val="InstructionsTabelleberschrift"/>
                <w:rFonts w:ascii="Times New Roman" w:hAnsi="Times New Roman"/>
                <w:sz w:val="24"/>
              </w:rPr>
              <w:t>s</w:t>
            </w:r>
            <w:r>
              <w:rPr>
                <w:rStyle w:val="InstructionsTabelleberschrift"/>
                <w:rFonts w:ascii="Times New Roman" w:hAnsi="Times New Roman"/>
                <w:sz w:val="24"/>
              </w:rPr>
              <w:t>quelles l'établissement ne détient pas d’investissement important</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66, point c), article 476, article 477, paragraphe 4, et article 478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Montant à déclarer dans la colonne 060 de cette ligne: la déduction initiale visée à l'article 66, point c), du CRR.</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380</w:t>
            </w:r>
          </w:p>
        </w:tc>
        <w:tc>
          <w:tcPr>
            <w:tcW w:w="7478" w:type="dxa"/>
          </w:tcPr>
          <w:p w:rsidR="00A60195" w:rsidRPr="000F1CEA" w:rsidRDefault="00A60195" w:rsidP="00622B37">
            <w:pPr>
              <w:pStyle w:val="InstructionsText"/>
              <w:rPr>
                <w:rStyle w:val="InstructionsTabelleText"/>
                <w:rFonts w:ascii="Times New Roman" w:hAnsi="Times New Roman"/>
                <w:b/>
                <w:bCs/>
                <w:sz w:val="24"/>
                <w:u w:val="single"/>
              </w:rPr>
            </w:pPr>
            <w:r>
              <w:rPr>
                <w:rStyle w:val="InstructionsTabelleberschrift"/>
                <w:rFonts w:ascii="Times New Roman" w:hAnsi="Times New Roman"/>
                <w:sz w:val="24"/>
              </w:rPr>
              <w:t>1.3.2.9</w:t>
            </w:r>
            <w:r>
              <w:tab/>
            </w:r>
            <w:r>
              <w:rPr>
                <w:rStyle w:val="InstructionsTabelleberschrift"/>
                <w:rFonts w:ascii="Times New Roman" w:hAnsi="Times New Roman"/>
                <w:sz w:val="24"/>
              </w:rPr>
              <w:t>Actifs d’impôt différé dépendant de bénéfices futurs et résu</w:t>
            </w:r>
            <w:r>
              <w:rPr>
                <w:rStyle w:val="InstructionsTabelleberschrift"/>
                <w:rFonts w:ascii="Times New Roman" w:hAnsi="Times New Roman"/>
                <w:sz w:val="24"/>
              </w:rPr>
              <w:t>l</w:t>
            </w:r>
            <w:r>
              <w:rPr>
                <w:rStyle w:val="InstructionsTabelleberschrift"/>
                <w:rFonts w:ascii="Times New Roman" w:hAnsi="Times New Roman"/>
                <w:sz w:val="24"/>
              </w:rPr>
              <w:t>tant de différences temporelles et instruments CET1 d’entités du se</w:t>
            </w:r>
            <w:r>
              <w:rPr>
                <w:rStyle w:val="InstructionsTabelleberschrift"/>
                <w:rFonts w:ascii="Times New Roman" w:hAnsi="Times New Roman"/>
                <w:sz w:val="24"/>
              </w:rPr>
              <w:t>c</w:t>
            </w:r>
            <w:r>
              <w:rPr>
                <w:rStyle w:val="InstructionsTabelleberschrift"/>
                <w:rFonts w:ascii="Times New Roman" w:hAnsi="Times New Roman"/>
                <w:sz w:val="24"/>
              </w:rPr>
              <w:t>teur financier dans lesquelles l'établissement détient un investissement important</w:t>
            </w:r>
          </w:p>
          <w:p w:rsidR="00A60195" w:rsidRPr="00392FFD" w:rsidRDefault="000F1CEA"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470, paragraphes 2 et 3,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Montant à déclarer dans la colonne 060 de cette ligne: Article 470, par</w:t>
            </w:r>
            <w:r>
              <w:rPr>
                <w:rStyle w:val="InstructionsTabelleText"/>
                <w:rFonts w:ascii="Times New Roman" w:hAnsi="Times New Roman"/>
                <w:sz w:val="24"/>
              </w:rPr>
              <w:t>a</w:t>
            </w:r>
            <w:r>
              <w:rPr>
                <w:rStyle w:val="InstructionsTabelleText"/>
                <w:rFonts w:ascii="Times New Roman" w:hAnsi="Times New Roman"/>
                <w:sz w:val="24"/>
              </w:rPr>
              <w:t>graphe 1, du CRR</w:t>
            </w:r>
          </w:p>
        </w:tc>
      </w:tr>
      <w:tr w:rsidR="004A705D" w:rsidRPr="00392FFD" w:rsidTr="000843B3">
        <w:tc>
          <w:tcPr>
            <w:tcW w:w="1012" w:type="dxa"/>
          </w:tcPr>
          <w:p w:rsidR="004A705D" w:rsidRPr="00392FFD" w:rsidRDefault="004A705D" w:rsidP="00622B37">
            <w:pPr>
              <w:pStyle w:val="InstructionsText"/>
              <w:rPr>
                <w:rStyle w:val="InstructionsTabelleText"/>
                <w:rFonts w:ascii="Times New Roman" w:hAnsi="Times New Roman"/>
                <w:sz w:val="24"/>
              </w:rPr>
            </w:pPr>
            <w:r>
              <w:rPr>
                <w:rStyle w:val="InstructionsTabelleText"/>
                <w:rFonts w:ascii="Times New Roman" w:hAnsi="Times New Roman"/>
                <w:sz w:val="24"/>
              </w:rPr>
              <w:t>385</w:t>
            </w:r>
          </w:p>
        </w:tc>
        <w:tc>
          <w:tcPr>
            <w:tcW w:w="7478" w:type="dxa"/>
          </w:tcPr>
          <w:p w:rsidR="004A705D" w:rsidRPr="000F1CEA" w:rsidRDefault="004A705D" w:rsidP="00622B37">
            <w:pPr>
              <w:pStyle w:val="InstructionsText"/>
              <w:rPr>
                <w:rStyle w:val="InstructionsTabelleText"/>
                <w:rFonts w:ascii="Times New Roman" w:hAnsi="Times New Roman"/>
                <w:b/>
                <w:bCs/>
                <w:sz w:val="24"/>
                <w:u w:val="single"/>
              </w:rPr>
            </w:pPr>
            <w:r>
              <w:rPr>
                <w:rStyle w:val="InstructionsTabelleberschrift"/>
                <w:rFonts w:ascii="Times New Roman" w:hAnsi="Times New Roman"/>
                <w:sz w:val="24"/>
              </w:rPr>
              <w:t>Actifs d'impôt différé dépendant de bénéfices futurs et résultant de différences temporelles</w:t>
            </w:r>
          </w:p>
          <w:p w:rsidR="004A705D" w:rsidRPr="00392FFD" w:rsidRDefault="004A705D" w:rsidP="00622B37">
            <w:pPr>
              <w:pStyle w:val="InstructionsText"/>
              <w:rPr>
                <w:rStyle w:val="InstructionsTabelleText"/>
                <w:rFonts w:ascii="Times New Roman" w:hAnsi="Times New Roman"/>
                <w:bCs/>
                <w:sz w:val="24"/>
              </w:rPr>
            </w:pPr>
            <w:r>
              <w:rPr>
                <w:rStyle w:val="InstructionsTabelleText"/>
                <w:rFonts w:ascii="Times New Roman" w:hAnsi="Times New Roman"/>
                <w:sz w:val="24"/>
              </w:rPr>
              <w:t>Article 469, paragraphe 1, point c), article 478 et article 472, paragraphe 5, du CRR</w:t>
            </w:r>
          </w:p>
          <w:p w:rsidR="004A705D" w:rsidRPr="000F1CEA" w:rsidRDefault="004A705D" w:rsidP="00622B37">
            <w:pPr>
              <w:pStyle w:val="InstructionsText"/>
              <w:rPr>
                <w:rStyle w:val="InstructionsTabelleberschrift"/>
                <w:rFonts w:ascii="Times New Roman" w:hAnsi="Times New Roman"/>
                <w:b w:val="0"/>
                <w:sz w:val="24"/>
                <w:u w:val="none"/>
              </w:rPr>
            </w:pPr>
            <w:r>
              <w:rPr>
                <w:rStyle w:val="InstructionsTabelleText"/>
                <w:rFonts w:ascii="Times New Roman" w:hAnsi="Times New Roman"/>
                <w:sz w:val="24"/>
              </w:rPr>
              <w:t>Partie des actifs d’impôt différé dépendant de bénéfices futurs et résultant de différences temporelles qui dépasse le seuil de 10 % visé à l’article 470, paragraphe 2, point a), du CRR.</w:t>
            </w:r>
          </w:p>
        </w:tc>
      </w:tr>
      <w:tr w:rsidR="00A60195" w:rsidRPr="00392FFD" w:rsidTr="000F1CEA">
        <w:trPr>
          <w:trHeight w:val="60"/>
        </w:trPr>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390</w:t>
            </w:r>
          </w:p>
        </w:tc>
        <w:tc>
          <w:tcPr>
            <w:tcW w:w="7478" w:type="dxa"/>
          </w:tcPr>
          <w:p w:rsidR="00A60195" w:rsidRPr="00392FFD" w:rsidRDefault="00A60195"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1.3.2.10</w:t>
            </w:r>
            <w:r>
              <w:tab/>
            </w:r>
            <w:r>
              <w:rPr>
                <w:rStyle w:val="InstructionsTabelleberschrift"/>
                <w:rFonts w:ascii="Times New Roman" w:hAnsi="Times New Roman"/>
                <w:sz w:val="24"/>
              </w:rPr>
              <w:t>Instruments de fonds propres d’entités du secteur fina</w:t>
            </w:r>
            <w:r>
              <w:rPr>
                <w:rStyle w:val="InstructionsTabelleberschrift"/>
                <w:rFonts w:ascii="Times New Roman" w:hAnsi="Times New Roman"/>
                <w:sz w:val="24"/>
              </w:rPr>
              <w:t>n</w:t>
            </w:r>
            <w:r>
              <w:rPr>
                <w:rStyle w:val="InstructionsTabelleberschrift"/>
                <w:rFonts w:ascii="Times New Roman" w:hAnsi="Times New Roman"/>
                <w:sz w:val="24"/>
              </w:rPr>
              <w:t>cier dans lesquelles l'établissement détient un investissement impo</w:t>
            </w:r>
            <w:r>
              <w:rPr>
                <w:rStyle w:val="InstructionsTabelleberschrift"/>
                <w:rFonts w:ascii="Times New Roman" w:hAnsi="Times New Roman"/>
                <w:sz w:val="24"/>
              </w:rPr>
              <w:t>r</w:t>
            </w:r>
            <w:r>
              <w:rPr>
                <w:rStyle w:val="InstructionsTabelleberschrift"/>
                <w:rFonts w:ascii="Times New Roman" w:hAnsi="Times New Roman"/>
                <w:sz w:val="24"/>
              </w:rPr>
              <w:t>tant</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400</w:t>
            </w:r>
          </w:p>
        </w:tc>
        <w:tc>
          <w:tcPr>
            <w:tcW w:w="7478" w:type="dxa"/>
          </w:tcPr>
          <w:p w:rsidR="00A60195" w:rsidRPr="00392FFD" w:rsidRDefault="00A60195"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1.3.2.10.1</w:t>
            </w:r>
            <w:r>
              <w:tab/>
            </w:r>
            <w:r>
              <w:rPr>
                <w:rStyle w:val="InstructionsTabelleberschrift"/>
                <w:rFonts w:ascii="Times New Roman" w:hAnsi="Times New Roman"/>
                <w:sz w:val="24"/>
              </w:rPr>
              <w:t>Instruments CET1 d'entités du secteur financier lorsque l'établissement détient un investissement important</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36, paragraphe 1, point i), article 469, paragraphe 1, article 472, p</w:t>
            </w:r>
            <w:r>
              <w:rPr>
                <w:rStyle w:val="InstructionsTabelleText"/>
                <w:rFonts w:ascii="Times New Roman" w:hAnsi="Times New Roman"/>
                <w:sz w:val="24"/>
              </w:rPr>
              <w:t>a</w:t>
            </w:r>
            <w:r>
              <w:rPr>
                <w:rStyle w:val="InstructionsTabelleText"/>
                <w:rFonts w:ascii="Times New Roman" w:hAnsi="Times New Roman"/>
                <w:sz w:val="24"/>
              </w:rPr>
              <w:t>ragraphe 11, et article 478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lastRenderedPageBreak/>
              <w:t>Montant à déclarer dans la colonne 060 de cette ligne: la déduction initiale visée à l'article 36, paragraphe 1, point i), du CRR.</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lastRenderedPageBreak/>
              <w:t>410</w:t>
            </w:r>
          </w:p>
        </w:tc>
        <w:tc>
          <w:tcPr>
            <w:tcW w:w="7478" w:type="dxa"/>
          </w:tcPr>
          <w:p w:rsidR="00A60195" w:rsidRPr="00392FFD" w:rsidRDefault="00A60195"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1.3.2.10.2</w:t>
            </w:r>
            <w:r>
              <w:tab/>
            </w:r>
            <w:r>
              <w:rPr>
                <w:rStyle w:val="InstructionsTabelleberschrift"/>
                <w:rFonts w:ascii="Times New Roman" w:hAnsi="Times New Roman"/>
                <w:sz w:val="24"/>
              </w:rPr>
              <w:t>Instruments AT1 d'entités du secteur financier lorsque l'établissement détient un investissement important</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56, point d), article 474, article 475, paragraphe 4, et article 478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Montant à déclarer dans la colonne 060 de cette ligne: la déduction initiale visée à l'article 56, point d), du CRR.</w:t>
            </w:r>
          </w:p>
        </w:tc>
      </w:tr>
      <w:tr w:rsidR="00A60195" w:rsidRPr="00392FFD" w:rsidTr="000843B3">
        <w:tc>
          <w:tcPr>
            <w:tcW w:w="1012" w:type="dxa"/>
          </w:tcPr>
          <w:p w:rsidR="00A60195" w:rsidRPr="00392FFD" w:rsidDel="00E41E4F"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420</w:t>
            </w:r>
          </w:p>
        </w:tc>
        <w:tc>
          <w:tcPr>
            <w:tcW w:w="7478" w:type="dxa"/>
          </w:tcPr>
          <w:p w:rsidR="00A60195" w:rsidRPr="00392FFD" w:rsidRDefault="00A60195"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1.3.2.10.2</w:t>
            </w:r>
            <w:r>
              <w:tab/>
            </w:r>
            <w:r>
              <w:rPr>
                <w:rStyle w:val="InstructionsTabelleberschrift"/>
                <w:rFonts w:ascii="Times New Roman" w:hAnsi="Times New Roman"/>
                <w:sz w:val="24"/>
              </w:rPr>
              <w:t>Instruments T2 d'entités du secteur financier lorsque l'établissement détient un investissement important</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66, point d), article 476, article 477, paragraphe 4, et article 478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Montant à déclarer dans la colonne 060 de cette ligne: la déduction in</w:t>
            </w:r>
            <w:r>
              <w:rPr>
                <w:rStyle w:val="InstructionsTabelleText"/>
                <w:rFonts w:ascii="Times New Roman" w:hAnsi="Times New Roman"/>
                <w:sz w:val="24"/>
              </w:rPr>
              <w:t>i</w:t>
            </w:r>
            <w:r>
              <w:rPr>
                <w:rStyle w:val="InstructionsTabelleText"/>
                <w:rFonts w:ascii="Times New Roman" w:hAnsi="Times New Roman"/>
                <w:sz w:val="24"/>
              </w:rPr>
              <w:t>tiale visée à l'article 66, point d), du CRR.</w:t>
            </w:r>
          </w:p>
        </w:tc>
      </w:tr>
      <w:tr w:rsidR="00A60195" w:rsidRPr="00392FFD" w:rsidTr="000843B3">
        <w:tc>
          <w:tcPr>
            <w:tcW w:w="1012" w:type="dxa"/>
          </w:tcPr>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425</w:t>
            </w:r>
          </w:p>
        </w:tc>
        <w:tc>
          <w:tcPr>
            <w:tcW w:w="7478" w:type="dxa"/>
          </w:tcPr>
          <w:p w:rsidR="00A60195" w:rsidRPr="00392FFD" w:rsidRDefault="00A60195"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1.3.2.11</w:t>
            </w:r>
            <w:r>
              <w:tab/>
            </w:r>
            <w:r>
              <w:rPr>
                <w:rStyle w:val="InstructionsTabelleberschrift"/>
                <w:rFonts w:ascii="Times New Roman" w:hAnsi="Times New Roman"/>
                <w:sz w:val="24"/>
              </w:rPr>
              <w:t>Autorisation de ne pas déduire les participations dans des entreprises d'assurance des éléments CET 1</w:t>
            </w:r>
          </w:p>
          <w:p w:rsidR="00A60195" w:rsidRPr="00392FFD" w:rsidRDefault="000F1CEA"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 471 du CRR</w:t>
            </w:r>
          </w:p>
        </w:tc>
      </w:tr>
      <w:tr w:rsidR="00A60195" w:rsidRPr="00392FFD" w:rsidTr="000843B3">
        <w:tc>
          <w:tcPr>
            <w:tcW w:w="1012" w:type="dxa"/>
          </w:tcPr>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430</w:t>
            </w:r>
          </w:p>
          <w:p w:rsidR="00A60195" w:rsidRPr="00392FFD" w:rsidRDefault="00A60195" w:rsidP="00622B37">
            <w:pPr>
              <w:pStyle w:val="InstructionsText"/>
              <w:rPr>
                <w:rStyle w:val="InstructionsTabelleText"/>
                <w:rFonts w:ascii="Times New Roman" w:hAnsi="Times New Roman"/>
                <w:sz w:val="24"/>
              </w:rPr>
            </w:pPr>
          </w:p>
        </w:tc>
        <w:tc>
          <w:tcPr>
            <w:tcW w:w="7478" w:type="dxa"/>
          </w:tcPr>
          <w:p w:rsidR="00A60195" w:rsidRPr="000F1CEA" w:rsidRDefault="00A60195" w:rsidP="00622B37">
            <w:pPr>
              <w:pStyle w:val="InstructionsText"/>
              <w:rPr>
                <w:rStyle w:val="InstructionsTabelleText"/>
                <w:rFonts w:ascii="Times New Roman" w:hAnsi="Times New Roman"/>
                <w:b/>
                <w:bCs/>
                <w:sz w:val="24"/>
                <w:u w:val="single"/>
              </w:rPr>
            </w:pPr>
            <w:r>
              <w:rPr>
                <w:rStyle w:val="InstructionsTabelleberschrift"/>
                <w:rFonts w:ascii="Times New Roman" w:hAnsi="Times New Roman"/>
                <w:sz w:val="24"/>
              </w:rPr>
              <w:t>1.3.3</w:t>
            </w:r>
            <w:r>
              <w:tab/>
            </w:r>
            <w:r>
              <w:rPr>
                <w:rStyle w:val="InstructionsTabelleberschrift"/>
                <w:rFonts w:ascii="Times New Roman" w:hAnsi="Times New Roman"/>
                <w:sz w:val="24"/>
              </w:rPr>
              <w:t>Filtres et déductions supplémentaires</w:t>
            </w:r>
          </w:p>
          <w:p w:rsidR="00A60195" w:rsidRPr="00392FFD" w:rsidRDefault="00A60195" w:rsidP="007106FB">
            <w:pPr>
              <w:spacing w:before="0"/>
              <w:rPr>
                <w:rStyle w:val="InstructionsTabelleText"/>
                <w:rFonts w:ascii="Times New Roman" w:hAnsi="Times New Roman"/>
                <w:sz w:val="24"/>
              </w:rPr>
            </w:pPr>
            <w:r>
              <w:rPr>
                <w:rStyle w:val="InstructionsTabelleText"/>
                <w:rFonts w:ascii="Times New Roman" w:hAnsi="Times New Roman"/>
                <w:sz w:val="24"/>
              </w:rPr>
              <w:t>Article 481 du CRR</w:t>
            </w:r>
          </w:p>
          <w:p w:rsidR="00A60195"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Cette ligne reflète l’effet global des dispositions transitoires sur les filtres et déductions supplémentaires.</w:t>
            </w:r>
          </w:p>
          <w:p w:rsidR="00783881" w:rsidRPr="00392FFD" w:rsidRDefault="00A60195" w:rsidP="00622B37">
            <w:pPr>
              <w:pStyle w:val="InstructionsText"/>
              <w:rPr>
                <w:rStyle w:val="InstructionsTabelleText"/>
                <w:rFonts w:ascii="Times New Roman" w:hAnsi="Times New Roman"/>
                <w:sz w:val="24"/>
              </w:rPr>
            </w:pPr>
            <w:r>
              <w:rPr>
                <w:rStyle w:val="InstructionsTabelleText"/>
                <w:rFonts w:ascii="Times New Roman" w:hAnsi="Times New Roman"/>
                <w:sz w:val="24"/>
              </w:rPr>
              <w:t xml:space="preserve">Conformément à l’article 481 du CRR, les établissements déclarent au point 1.3.3 les informations concernant les filtres et les déductions visées par les mesures de transposition en droit national des articles 57 et 66 de la directive 2006/48/CE et des articles 13 et 16 de la directive 2006/49/CE, et qui ne sont pas exigés conformément à la deuxième partie du CRR. </w:t>
            </w:r>
          </w:p>
        </w:tc>
      </w:tr>
      <w:tr w:rsidR="008B695F" w:rsidRPr="00392FFD" w:rsidTr="000843B3">
        <w:tc>
          <w:tcPr>
            <w:tcW w:w="1012" w:type="dxa"/>
          </w:tcPr>
          <w:p w:rsidR="008B695F" w:rsidRPr="00392FFD" w:rsidRDefault="008B695F" w:rsidP="00622B37">
            <w:pPr>
              <w:pStyle w:val="InstructionsText"/>
              <w:rPr>
                <w:rStyle w:val="InstructionsTabelleText"/>
                <w:rFonts w:ascii="Times New Roman" w:hAnsi="Times New Roman"/>
                <w:sz w:val="24"/>
              </w:rPr>
            </w:pPr>
            <w:r>
              <w:rPr>
                <w:rStyle w:val="InstructionsTabelleText"/>
                <w:rFonts w:ascii="Times New Roman" w:hAnsi="Times New Roman"/>
                <w:sz w:val="24"/>
              </w:rPr>
              <w:t>440</w:t>
            </w:r>
          </w:p>
        </w:tc>
        <w:tc>
          <w:tcPr>
            <w:tcW w:w="7478" w:type="dxa"/>
          </w:tcPr>
          <w:p w:rsidR="008B695F" w:rsidRDefault="008B695F"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1.3.4</w:t>
            </w:r>
            <w:r>
              <w:tab/>
            </w:r>
            <w:r>
              <w:rPr>
                <w:rStyle w:val="InstructionsTabelleberschrift"/>
                <w:rFonts w:ascii="Times New Roman" w:hAnsi="Times New Roman"/>
                <w:sz w:val="24"/>
              </w:rPr>
              <w:t>Ajustements dus aux dispositions transitoires liées à la norme IFRS 9</w:t>
            </w:r>
          </w:p>
          <w:p w:rsidR="008B695F" w:rsidRPr="008B695F" w:rsidRDefault="009247A0"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Les établissements déclarent les informations relatives aux dispositions transitoires liées à la norme IFRS 9 conformément aux dispositions jur</w:t>
            </w:r>
            <w:r>
              <w:rPr>
                <w:rStyle w:val="InstructionsTabelleberschrift"/>
                <w:rFonts w:ascii="Times New Roman" w:hAnsi="Times New Roman"/>
                <w:b w:val="0"/>
                <w:sz w:val="24"/>
                <w:u w:val="none"/>
              </w:rPr>
              <w:t>i</w:t>
            </w:r>
            <w:r>
              <w:rPr>
                <w:rStyle w:val="InstructionsTabelleberschrift"/>
                <w:rFonts w:ascii="Times New Roman" w:hAnsi="Times New Roman"/>
                <w:b w:val="0"/>
                <w:sz w:val="24"/>
                <w:u w:val="none"/>
              </w:rPr>
              <w:t>diques applicables.</w:t>
            </w:r>
          </w:p>
        </w:tc>
      </w:tr>
    </w:tbl>
    <w:p w:rsidR="002648B0" w:rsidRPr="00392FFD" w:rsidRDefault="002648B0" w:rsidP="00D946DB">
      <w:pPr>
        <w:spacing w:after="0"/>
        <w:rPr>
          <w:rFonts w:ascii="Times New Roman" w:hAnsi="Times New Roman"/>
          <w:sz w:val="24"/>
        </w:rPr>
      </w:pPr>
    </w:p>
    <w:p w:rsidR="002648B0" w:rsidRPr="00392FFD" w:rsidRDefault="00125707" w:rsidP="0023700C">
      <w:pPr>
        <w:pStyle w:val="Instructionsberschrift2"/>
        <w:numPr>
          <w:ilvl w:val="0"/>
          <w:numId w:val="0"/>
        </w:numPr>
        <w:ind w:left="357" w:hanging="357"/>
        <w:rPr>
          <w:rFonts w:ascii="Times New Roman" w:hAnsi="Times New Roman" w:cs="Times New Roman"/>
          <w:sz w:val="24"/>
        </w:rPr>
      </w:pPr>
      <w:bookmarkStart w:id="84" w:name="_Toc361666252"/>
      <w:bookmarkStart w:id="85" w:name="_Toc308175839"/>
      <w:bookmarkStart w:id="86" w:name="_Toc473560885"/>
      <w:bookmarkStart w:id="87" w:name="_Toc360188337"/>
      <w:bookmarkStart w:id="88" w:name="_Toc496022280"/>
      <w:bookmarkEnd w:id="84"/>
      <w:r>
        <w:rPr>
          <w:rFonts w:ascii="Times New Roman" w:hAnsi="Times New Roman"/>
          <w:sz w:val="24"/>
          <w:u w:val="none"/>
        </w:rPr>
        <w:t>1.6.3.</w:t>
      </w:r>
      <w:r>
        <w:tab/>
      </w:r>
      <w:r>
        <w:rPr>
          <w:rFonts w:ascii="Times New Roman" w:hAnsi="Times New Roman"/>
          <w:sz w:val="24"/>
        </w:rPr>
        <w:t>C 05.02 - INSTRUMENTS BÉNÉFICIANT D'UNE CLAUSE D'ANTÉRIORITÉ: INSTRUMENTS NE CONSTITUANT PAS UNE AIDE D'ÉTAT (CA5.2)</w:t>
      </w:r>
      <w:bookmarkEnd w:id="85"/>
      <w:bookmarkEnd w:id="86"/>
      <w:bookmarkEnd w:id="88"/>
      <w:r>
        <w:rPr>
          <w:rFonts w:ascii="Times New Roman" w:hAnsi="Times New Roman"/>
          <w:sz w:val="24"/>
        </w:rPr>
        <w:t xml:space="preserve"> </w:t>
      </w:r>
      <w:bookmarkEnd w:id="87"/>
    </w:p>
    <w:p w:rsidR="00783881" w:rsidRPr="00392FFD" w:rsidRDefault="00125707" w:rsidP="0023700C">
      <w:pPr>
        <w:pStyle w:val="InstructionsText2"/>
        <w:numPr>
          <w:ilvl w:val="0"/>
          <w:numId w:val="0"/>
        </w:numPr>
        <w:ind w:left="1353" w:hanging="360"/>
      </w:pPr>
      <w:r>
        <w:t>25.</w:t>
      </w:r>
      <w:r>
        <w:tab/>
        <w:t>Les établissements déclarent les informations relatives aux dispositions trans</w:t>
      </w:r>
      <w:r>
        <w:t>i</w:t>
      </w:r>
      <w:r>
        <w:t>toires pour les instruments bénéficiant d’une clause d’antériorité qui ne const</w:t>
      </w:r>
      <w:r>
        <w:t>i</w:t>
      </w:r>
      <w:r>
        <w:t>tuent pas une aide d’État (articles 484 à 491 du CRR).</w:t>
      </w:r>
    </w:p>
    <w:p w:rsidR="002648B0" w:rsidRPr="00392FFD" w:rsidRDefault="00125707" w:rsidP="0023700C">
      <w:pPr>
        <w:pStyle w:val="Instructionsberschrift2"/>
        <w:numPr>
          <w:ilvl w:val="0"/>
          <w:numId w:val="0"/>
        </w:numPr>
        <w:ind w:left="357" w:hanging="357"/>
        <w:rPr>
          <w:rFonts w:ascii="Times New Roman" w:hAnsi="Times New Roman" w:cs="Times New Roman"/>
          <w:sz w:val="24"/>
        </w:rPr>
      </w:pPr>
      <w:bookmarkStart w:id="89" w:name="_Toc360188338"/>
      <w:bookmarkStart w:id="90" w:name="_Toc473560886"/>
      <w:bookmarkStart w:id="91" w:name="_Toc496022281"/>
      <w:r>
        <w:rPr>
          <w:rFonts w:ascii="Times New Roman" w:hAnsi="Times New Roman"/>
          <w:sz w:val="24"/>
          <w:u w:val="none"/>
        </w:rPr>
        <w:t>1.6.3.1.</w:t>
      </w:r>
      <w:r>
        <w:tab/>
      </w:r>
      <w:r>
        <w:rPr>
          <w:rFonts w:ascii="Times New Roman" w:hAnsi="Times New Roman"/>
          <w:sz w:val="24"/>
        </w:rPr>
        <w:t>Instructions concernant certaines positions</w:t>
      </w:r>
      <w:bookmarkEnd w:id="89"/>
      <w:bookmarkEnd w:id="90"/>
      <w:bookmarkEnd w:id="91"/>
    </w:p>
    <w:tbl>
      <w:tblPr>
        <w:tblW w:w="0" w:type="auto"/>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3"/>
        <w:gridCol w:w="7478"/>
      </w:tblGrid>
      <w:tr w:rsidR="002648B0" w:rsidRPr="00392FFD" w:rsidTr="009F1084">
        <w:tc>
          <w:tcPr>
            <w:tcW w:w="8181" w:type="dxa"/>
            <w:gridSpan w:val="2"/>
            <w:shd w:val="clear" w:color="auto" w:fill="D9D9D9"/>
          </w:tcPr>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Colonnes</w:t>
            </w:r>
          </w:p>
        </w:tc>
      </w:tr>
      <w:tr w:rsidR="002648B0" w:rsidRPr="00392FFD" w:rsidTr="009F1084">
        <w:tc>
          <w:tcPr>
            <w:tcW w:w="703"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lastRenderedPageBreak/>
              <w:t>010</w:t>
            </w:r>
          </w:p>
        </w:tc>
        <w:tc>
          <w:tcPr>
            <w:tcW w:w="7478" w:type="dxa"/>
          </w:tcPr>
          <w:p w:rsidR="002648B0" w:rsidRPr="00392FFD" w:rsidRDefault="002648B0" w:rsidP="007106FB">
            <w:pPr>
              <w:rPr>
                <w:rStyle w:val="InstructionsTabelleberschrift"/>
                <w:rFonts w:ascii="Times New Roman" w:hAnsi="Times New Roman"/>
                <w:sz w:val="24"/>
              </w:rPr>
            </w:pPr>
            <w:r>
              <w:rPr>
                <w:rStyle w:val="InstructionsTabelleberschrift"/>
                <w:rFonts w:ascii="Times New Roman" w:hAnsi="Times New Roman"/>
                <w:sz w:val="24"/>
              </w:rPr>
              <w:t>Montant des instruments plus les primes d’émission y afférentes</w:t>
            </w:r>
          </w:p>
          <w:p w:rsidR="002648B0" w:rsidRPr="00392FFD" w:rsidRDefault="002648B0" w:rsidP="007106FB">
            <w:pPr>
              <w:rPr>
                <w:rStyle w:val="InstructionsTabelleText"/>
                <w:rFonts w:ascii="Times New Roman" w:hAnsi="Times New Roman"/>
                <w:sz w:val="24"/>
              </w:rPr>
            </w:pPr>
            <w:r>
              <w:rPr>
                <w:rStyle w:val="InstructionsTabelleText"/>
                <w:rFonts w:ascii="Times New Roman" w:hAnsi="Times New Roman"/>
                <w:sz w:val="24"/>
              </w:rPr>
              <w:t>Article 484, paragraphes 3 à 5, du CRR</w:t>
            </w:r>
          </w:p>
          <w:p w:rsidR="002648B0" w:rsidRPr="00392FFD" w:rsidRDefault="002648B0" w:rsidP="007106FB">
            <w:pPr>
              <w:rPr>
                <w:rStyle w:val="InstructionsTabelleText"/>
                <w:rFonts w:ascii="Times New Roman" w:hAnsi="Times New Roman"/>
                <w:sz w:val="24"/>
              </w:rPr>
            </w:pPr>
            <w:r>
              <w:rPr>
                <w:rStyle w:val="InstructionsTabelleText"/>
                <w:rFonts w:ascii="Times New Roman" w:hAnsi="Times New Roman"/>
                <w:sz w:val="24"/>
              </w:rPr>
              <w:t>Instruments éligibles dans chaque ligne respective, en ce compris les primes d’émission liées.</w:t>
            </w:r>
          </w:p>
        </w:tc>
      </w:tr>
      <w:tr w:rsidR="002648B0" w:rsidRPr="00392FFD" w:rsidTr="009F1084">
        <w:tc>
          <w:tcPr>
            <w:tcW w:w="703"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020</w:t>
            </w:r>
          </w:p>
        </w:tc>
        <w:tc>
          <w:tcPr>
            <w:tcW w:w="7478" w:type="dxa"/>
          </w:tcPr>
          <w:p w:rsidR="002648B0" w:rsidRPr="00392FFD" w:rsidRDefault="002648B0" w:rsidP="007106FB">
            <w:pPr>
              <w:rPr>
                <w:rStyle w:val="InstructionsTabelleberschrift"/>
                <w:rFonts w:ascii="Times New Roman" w:hAnsi="Times New Roman"/>
                <w:sz w:val="24"/>
              </w:rPr>
            </w:pPr>
            <w:r>
              <w:rPr>
                <w:rStyle w:val="InstructionsTabelleberschrift"/>
                <w:rFonts w:ascii="Times New Roman" w:hAnsi="Times New Roman"/>
                <w:sz w:val="24"/>
              </w:rPr>
              <w:t>Base de calcul de la limite</w:t>
            </w:r>
          </w:p>
          <w:p w:rsidR="002648B0" w:rsidRPr="00392FFD" w:rsidRDefault="002648B0" w:rsidP="007106FB">
            <w:pPr>
              <w:rPr>
                <w:rStyle w:val="InstructionsTabelleText"/>
                <w:rFonts w:ascii="Times New Roman" w:hAnsi="Times New Roman"/>
                <w:sz w:val="24"/>
              </w:rPr>
            </w:pPr>
            <w:r>
              <w:rPr>
                <w:rStyle w:val="InstructionsTabelleText"/>
                <w:rFonts w:ascii="Times New Roman" w:hAnsi="Times New Roman"/>
                <w:sz w:val="24"/>
              </w:rPr>
              <w:t>Article 486, paragraphes 2 à 4, du CRR.</w:t>
            </w:r>
          </w:p>
        </w:tc>
      </w:tr>
      <w:tr w:rsidR="002648B0" w:rsidRPr="00392FFD" w:rsidTr="009F1084">
        <w:tc>
          <w:tcPr>
            <w:tcW w:w="703"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030</w:t>
            </w:r>
          </w:p>
        </w:tc>
        <w:tc>
          <w:tcPr>
            <w:tcW w:w="7478" w:type="dxa"/>
          </w:tcPr>
          <w:p w:rsidR="002648B0" w:rsidRPr="00392FFD" w:rsidRDefault="002648B0" w:rsidP="007106FB">
            <w:pPr>
              <w:rPr>
                <w:rStyle w:val="InstructionsTabelleberschrift"/>
                <w:rFonts w:ascii="Times New Roman" w:hAnsi="Times New Roman"/>
                <w:sz w:val="24"/>
              </w:rPr>
            </w:pPr>
            <w:r>
              <w:rPr>
                <w:rStyle w:val="InstructionsTabelleberschrift"/>
                <w:rFonts w:ascii="Times New Roman" w:hAnsi="Times New Roman"/>
                <w:sz w:val="24"/>
              </w:rPr>
              <w:t>Pourcentage applicable</w:t>
            </w:r>
          </w:p>
          <w:p w:rsidR="002648B0" w:rsidRPr="00392FFD" w:rsidRDefault="002648B0" w:rsidP="007106FB">
            <w:pPr>
              <w:rPr>
                <w:rStyle w:val="InstructionsTabelleText"/>
                <w:rFonts w:ascii="Times New Roman" w:hAnsi="Times New Roman"/>
                <w:sz w:val="24"/>
              </w:rPr>
            </w:pPr>
            <w:r>
              <w:rPr>
                <w:rStyle w:val="InstructionsTabelleText"/>
                <w:rFonts w:ascii="Times New Roman" w:hAnsi="Times New Roman"/>
                <w:sz w:val="24"/>
              </w:rPr>
              <w:t>Article 486, paragraphe 5, du CRR</w:t>
            </w:r>
          </w:p>
        </w:tc>
      </w:tr>
      <w:tr w:rsidR="002648B0" w:rsidRPr="00392FFD" w:rsidTr="009F1084">
        <w:tc>
          <w:tcPr>
            <w:tcW w:w="703"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040</w:t>
            </w:r>
          </w:p>
        </w:tc>
        <w:tc>
          <w:tcPr>
            <w:tcW w:w="7478" w:type="dxa"/>
          </w:tcPr>
          <w:p w:rsidR="002648B0" w:rsidRPr="00392FFD" w:rsidRDefault="002648B0" w:rsidP="007106FB">
            <w:pPr>
              <w:rPr>
                <w:rStyle w:val="InstructionsTabelleberschrift"/>
                <w:rFonts w:ascii="Times New Roman" w:hAnsi="Times New Roman"/>
                <w:sz w:val="24"/>
              </w:rPr>
            </w:pPr>
            <w:r>
              <w:rPr>
                <w:rStyle w:val="InstructionsTabelleberschrift"/>
                <w:rFonts w:ascii="Times New Roman" w:hAnsi="Times New Roman"/>
                <w:sz w:val="24"/>
              </w:rPr>
              <w:t>Limite</w:t>
            </w:r>
          </w:p>
          <w:p w:rsidR="002648B0" w:rsidRPr="00392FFD" w:rsidRDefault="002648B0" w:rsidP="007106FB">
            <w:pPr>
              <w:rPr>
                <w:rStyle w:val="InstructionsTabelleText"/>
                <w:rFonts w:ascii="Times New Roman" w:hAnsi="Times New Roman"/>
                <w:sz w:val="24"/>
              </w:rPr>
            </w:pPr>
            <w:r>
              <w:rPr>
                <w:rStyle w:val="InstructionsTabelleText"/>
                <w:rFonts w:ascii="Times New Roman" w:hAnsi="Times New Roman"/>
                <w:sz w:val="24"/>
              </w:rPr>
              <w:t>Article 486, paragraphes 2 à 5, du CRR</w:t>
            </w:r>
          </w:p>
        </w:tc>
      </w:tr>
      <w:tr w:rsidR="002648B0" w:rsidRPr="00392FFD" w:rsidTr="009F1084">
        <w:tc>
          <w:tcPr>
            <w:tcW w:w="703"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050</w:t>
            </w:r>
          </w:p>
        </w:tc>
        <w:tc>
          <w:tcPr>
            <w:tcW w:w="7478" w:type="dxa"/>
          </w:tcPr>
          <w:p w:rsidR="002648B0" w:rsidRPr="00392FFD" w:rsidRDefault="002648B0" w:rsidP="007106FB">
            <w:pPr>
              <w:rPr>
                <w:rStyle w:val="InstructionsTabelleberschrift"/>
                <w:rFonts w:ascii="Times New Roman" w:hAnsi="Times New Roman"/>
                <w:sz w:val="24"/>
              </w:rPr>
            </w:pPr>
            <w:r>
              <w:rPr>
                <w:rStyle w:val="InstructionsTabelleberschrift"/>
                <w:rFonts w:ascii="Times New Roman" w:hAnsi="Times New Roman"/>
                <w:sz w:val="24"/>
              </w:rPr>
              <w:t>(-) Montant dépassant les limites relatives au maintien des acquis</w:t>
            </w:r>
          </w:p>
          <w:p w:rsidR="002648B0" w:rsidRPr="00392FFD" w:rsidRDefault="002648B0" w:rsidP="007106FB">
            <w:pPr>
              <w:rPr>
                <w:rStyle w:val="InstructionsTabelleText"/>
                <w:rFonts w:ascii="Times New Roman" w:hAnsi="Times New Roman"/>
                <w:sz w:val="24"/>
              </w:rPr>
            </w:pPr>
            <w:r>
              <w:rPr>
                <w:rStyle w:val="InstructionsTabelleText"/>
                <w:rFonts w:ascii="Times New Roman" w:hAnsi="Times New Roman"/>
                <w:sz w:val="24"/>
              </w:rPr>
              <w:t>Article 486, paragraphes 2 à 5, du CRR</w:t>
            </w:r>
          </w:p>
        </w:tc>
      </w:tr>
      <w:tr w:rsidR="002648B0" w:rsidRPr="00392FFD" w:rsidTr="009F1084">
        <w:tc>
          <w:tcPr>
            <w:tcW w:w="703"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060</w:t>
            </w:r>
          </w:p>
        </w:tc>
        <w:tc>
          <w:tcPr>
            <w:tcW w:w="7478" w:type="dxa"/>
          </w:tcPr>
          <w:p w:rsidR="002648B0" w:rsidRPr="00392FFD" w:rsidRDefault="002648B0" w:rsidP="007106FB">
            <w:pPr>
              <w:rPr>
                <w:rStyle w:val="InstructionsTabelleberschrift"/>
                <w:rFonts w:ascii="Times New Roman" w:hAnsi="Times New Roman"/>
                <w:sz w:val="24"/>
              </w:rPr>
            </w:pPr>
            <w:r>
              <w:rPr>
                <w:rStyle w:val="InstructionsTabelleberschrift"/>
                <w:rFonts w:ascii="Times New Roman" w:hAnsi="Times New Roman"/>
                <w:sz w:val="24"/>
              </w:rPr>
              <w:t>Montant total bénéficiant d’une clause d’antériorité</w:t>
            </w:r>
          </w:p>
          <w:p w:rsidR="002648B0" w:rsidRPr="00392FFD" w:rsidRDefault="002648B0" w:rsidP="007106FB">
            <w:pPr>
              <w:rPr>
                <w:rStyle w:val="InstructionsTabelleText"/>
                <w:rFonts w:ascii="Times New Roman" w:hAnsi="Times New Roman"/>
                <w:sz w:val="24"/>
              </w:rPr>
            </w:pPr>
            <w:r>
              <w:rPr>
                <w:rStyle w:val="InstructionsTabelleText"/>
                <w:rFonts w:ascii="Times New Roman" w:hAnsi="Times New Roman"/>
                <w:sz w:val="24"/>
              </w:rPr>
              <w:t>Le montant à déclarer sera égal aux montants déclarés dans les colonnes respectives de la ligne 060 du modèle CA 5.1.</w:t>
            </w:r>
          </w:p>
        </w:tc>
      </w:tr>
    </w:tbl>
    <w:p w:rsidR="002648B0" w:rsidRPr="00392FFD" w:rsidRDefault="002648B0" w:rsidP="00622B37">
      <w:pPr>
        <w:pStyle w:val="InstructionsText"/>
      </w:pPr>
    </w:p>
    <w:tbl>
      <w:tblPr>
        <w:tblW w:w="0" w:type="auto"/>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3"/>
        <w:gridCol w:w="7478"/>
      </w:tblGrid>
      <w:tr w:rsidR="002648B0" w:rsidRPr="00392FFD" w:rsidTr="00A34026">
        <w:tc>
          <w:tcPr>
            <w:tcW w:w="8181" w:type="dxa"/>
            <w:gridSpan w:val="2"/>
            <w:shd w:val="clear" w:color="auto" w:fill="D9D9D9"/>
          </w:tcPr>
          <w:p w:rsidR="005643EA" w:rsidRPr="00392FFD" w:rsidRDefault="002648B0" w:rsidP="00622B37">
            <w:pPr>
              <w:pStyle w:val="InstructionsText"/>
            </w:pPr>
            <w:r>
              <w:t>Lignes</w:t>
            </w:r>
          </w:p>
        </w:tc>
      </w:tr>
      <w:tr w:rsidR="002648B0" w:rsidRPr="00392FFD" w:rsidTr="000903FA">
        <w:tc>
          <w:tcPr>
            <w:tcW w:w="703"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010</w:t>
            </w:r>
          </w:p>
        </w:tc>
        <w:tc>
          <w:tcPr>
            <w:tcW w:w="7478" w:type="dxa"/>
          </w:tcPr>
          <w:p w:rsidR="005643EA" w:rsidRPr="00392FFD" w:rsidRDefault="00C66473"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w:t>
            </w:r>
            <w:r>
              <w:tab/>
            </w:r>
            <w:r>
              <w:rPr>
                <w:rStyle w:val="InstructionsTabelleberschrift"/>
                <w:rFonts w:ascii="Times New Roman" w:hAnsi="Times New Roman"/>
                <w:sz w:val="24"/>
              </w:rPr>
              <w:t>Instruments éligibles en vertu du point a) de l'article 57 de la directive 2006/48/CE</w:t>
            </w:r>
          </w:p>
          <w:p w:rsidR="002648B0" w:rsidRPr="00392FFD" w:rsidRDefault="002648B0" w:rsidP="007106FB">
            <w:pPr>
              <w:rPr>
                <w:rStyle w:val="InstructionsTabelleText"/>
                <w:rFonts w:ascii="Times New Roman" w:hAnsi="Times New Roman"/>
                <w:sz w:val="24"/>
              </w:rPr>
            </w:pPr>
            <w:r>
              <w:rPr>
                <w:rStyle w:val="InstructionsTabelleText"/>
                <w:rFonts w:ascii="Times New Roman" w:hAnsi="Times New Roman"/>
                <w:sz w:val="24"/>
              </w:rPr>
              <w:t>Article 484, paragraphe 3, du CRR</w:t>
            </w:r>
          </w:p>
          <w:p w:rsidR="002648B0" w:rsidRPr="00392FFD" w:rsidRDefault="002648B0" w:rsidP="007106FB">
            <w:pPr>
              <w:rPr>
                <w:rStyle w:val="InstructionsTabelleText"/>
                <w:rFonts w:ascii="Times New Roman" w:hAnsi="Times New Roman"/>
                <w:sz w:val="24"/>
              </w:rPr>
            </w:pPr>
            <w:r>
              <w:rPr>
                <w:rStyle w:val="InstructionsTabelleText"/>
                <w:rFonts w:ascii="Times New Roman" w:hAnsi="Times New Roman"/>
                <w:sz w:val="24"/>
              </w:rPr>
              <w:t>Le montant à déclarer comprendra les comptes des primes d’émission y a</w:t>
            </w:r>
            <w:r>
              <w:rPr>
                <w:rStyle w:val="InstructionsTabelleText"/>
                <w:rFonts w:ascii="Times New Roman" w:hAnsi="Times New Roman"/>
                <w:sz w:val="24"/>
              </w:rPr>
              <w:t>f</w:t>
            </w:r>
            <w:r>
              <w:rPr>
                <w:rStyle w:val="InstructionsTabelleText"/>
                <w:rFonts w:ascii="Times New Roman" w:hAnsi="Times New Roman"/>
                <w:sz w:val="24"/>
              </w:rPr>
              <w:t>férents.</w:t>
            </w:r>
          </w:p>
        </w:tc>
      </w:tr>
      <w:tr w:rsidR="002648B0" w:rsidRPr="00392FFD" w:rsidTr="000903FA">
        <w:tc>
          <w:tcPr>
            <w:tcW w:w="703"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020</w:t>
            </w:r>
          </w:p>
        </w:tc>
        <w:tc>
          <w:tcPr>
            <w:tcW w:w="7478" w:type="dxa"/>
          </w:tcPr>
          <w:p w:rsidR="005643EA" w:rsidRPr="000F1CEA" w:rsidRDefault="00C66473" w:rsidP="00622B37">
            <w:pPr>
              <w:pStyle w:val="InstructionsText"/>
              <w:rPr>
                <w:rStyle w:val="InstructionsTabelleText"/>
                <w:rFonts w:ascii="Times New Roman" w:hAnsi="Times New Roman"/>
                <w:b/>
                <w:sz w:val="24"/>
                <w:u w:val="single"/>
              </w:rPr>
            </w:pPr>
            <w:r>
              <w:rPr>
                <w:rStyle w:val="InstructionsTabelleberschrift"/>
                <w:rFonts w:ascii="Times New Roman" w:hAnsi="Times New Roman"/>
                <w:sz w:val="24"/>
              </w:rPr>
              <w:t>2.</w:t>
            </w:r>
            <w:r>
              <w:tab/>
            </w:r>
            <w:r>
              <w:rPr>
                <w:rStyle w:val="InstructionsTabelleberschrift"/>
                <w:rFonts w:ascii="Times New Roman" w:hAnsi="Times New Roman"/>
                <w:sz w:val="24"/>
              </w:rPr>
              <w:t>Instruments éligibles en vertu du point ca) de l’article 57 et de l’article 154, paragraphes 8 et 9, de la directive 2006/48/CE, sous r</w:t>
            </w:r>
            <w:r>
              <w:rPr>
                <w:rStyle w:val="InstructionsTabelleberschrift"/>
                <w:rFonts w:ascii="Times New Roman" w:hAnsi="Times New Roman"/>
                <w:sz w:val="24"/>
              </w:rPr>
              <w:t>é</w:t>
            </w:r>
            <w:r>
              <w:rPr>
                <w:rStyle w:val="InstructionsTabelleberschrift"/>
                <w:rFonts w:ascii="Times New Roman" w:hAnsi="Times New Roman"/>
                <w:sz w:val="24"/>
              </w:rPr>
              <w:t>serve des limites de l’article 489</w:t>
            </w:r>
          </w:p>
          <w:p w:rsidR="002648B0" w:rsidRPr="00392FFD" w:rsidRDefault="002648B0" w:rsidP="007106FB">
            <w:pPr>
              <w:rPr>
                <w:rStyle w:val="InstructionsTabelleText"/>
                <w:rFonts w:ascii="Times New Roman" w:hAnsi="Times New Roman"/>
                <w:sz w:val="24"/>
              </w:rPr>
            </w:pPr>
            <w:r>
              <w:rPr>
                <w:rStyle w:val="InstructionsTabelleText"/>
                <w:rFonts w:ascii="Times New Roman" w:hAnsi="Times New Roman"/>
                <w:sz w:val="24"/>
              </w:rPr>
              <w:t>Article 484, paragraphe 4, du CRR</w:t>
            </w:r>
          </w:p>
        </w:tc>
      </w:tr>
      <w:tr w:rsidR="002648B0" w:rsidRPr="00392FFD" w:rsidTr="000903FA">
        <w:tc>
          <w:tcPr>
            <w:tcW w:w="703"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030</w:t>
            </w:r>
          </w:p>
        </w:tc>
        <w:tc>
          <w:tcPr>
            <w:tcW w:w="7478" w:type="dxa"/>
          </w:tcPr>
          <w:p w:rsidR="00496C53" w:rsidRPr="000F1CEA" w:rsidRDefault="002648B0" w:rsidP="00622B37">
            <w:pPr>
              <w:pStyle w:val="InstructionsText"/>
              <w:rPr>
                <w:rStyle w:val="InstructionsTabelleText"/>
                <w:rFonts w:ascii="Times New Roman" w:hAnsi="Times New Roman"/>
                <w:b/>
                <w:sz w:val="24"/>
                <w:u w:val="single"/>
              </w:rPr>
            </w:pPr>
            <w:r>
              <w:rPr>
                <w:rStyle w:val="InstructionsTabelleberschrift"/>
                <w:rFonts w:ascii="Times New Roman" w:hAnsi="Times New Roman"/>
                <w:sz w:val="24"/>
              </w:rPr>
              <w:t>2.1</w:t>
            </w:r>
            <w:r>
              <w:tab/>
            </w:r>
            <w:r>
              <w:rPr>
                <w:rStyle w:val="InstructionsTabelleberschrift"/>
                <w:rFonts w:ascii="Times New Roman" w:hAnsi="Times New Roman"/>
                <w:sz w:val="24"/>
              </w:rPr>
              <w:t>Total des instruments sans option ni incitation au rembours</w:t>
            </w:r>
            <w:r>
              <w:rPr>
                <w:rStyle w:val="InstructionsTabelleberschrift"/>
                <w:rFonts w:ascii="Times New Roman" w:hAnsi="Times New Roman"/>
                <w:sz w:val="24"/>
              </w:rPr>
              <w:t>e</w:t>
            </w:r>
            <w:r>
              <w:rPr>
                <w:rStyle w:val="InstructionsTabelleberschrift"/>
                <w:rFonts w:ascii="Times New Roman" w:hAnsi="Times New Roman"/>
                <w:sz w:val="24"/>
              </w:rPr>
              <w:t>ment</w:t>
            </w:r>
          </w:p>
          <w:p w:rsidR="002648B0" w:rsidRPr="000F1CEA" w:rsidRDefault="002648B0" w:rsidP="00622B37">
            <w:pPr>
              <w:pStyle w:val="InstructionsText"/>
              <w:rPr>
                <w:rStyle w:val="InstructionsTabelleText"/>
                <w:rFonts w:ascii="Times New Roman" w:hAnsi="Times New Roman"/>
                <w:bCs/>
                <w:sz w:val="24"/>
              </w:rPr>
            </w:pPr>
            <w:r>
              <w:rPr>
                <w:rStyle w:val="InstructionsTabelleText"/>
                <w:rFonts w:ascii="Times New Roman" w:hAnsi="Times New Roman"/>
                <w:sz w:val="24"/>
              </w:rPr>
              <w:t>Article 484, paragraphe 4, et article 489 du CRR</w:t>
            </w:r>
          </w:p>
          <w:p w:rsidR="002648B0" w:rsidRPr="00392FFD" w:rsidRDefault="002648B0" w:rsidP="007106FB">
            <w:pPr>
              <w:rPr>
                <w:rStyle w:val="InstructionsTabelleText"/>
                <w:rFonts w:ascii="Times New Roman" w:hAnsi="Times New Roman"/>
                <w:sz w:val="24"/>
              </w:rPr>
            </w:pPr>
            <w:r>
              <w:rPr>
                <w:rStyle w:val="InstructionsTabelleText"/>
                <w:rFonts w:ascii="Times New Roman" w:hAnsi="Times New Roman"/>
                <w:sz w:val="24"/>
              </w:rPr>
              <w:t>Le montant à déclarer comprendra les comptes des primes d’émission y a</w:t>
            </w:r>
            <w:r>
              <w:rPr>
                <w:rStyle w:val="InstructionsTabelleText"/>
                <w:rFonts w:ascii="Times New Roman" w:hAnsi="Times New Roman"/>
                <w:sz w:val="24"/>
              </w:rPr>
              <w:t>f</w:t>
            </w:r>
            <w:r>
              <w:rPr>
                <w:rStyle w:val="InstructionsTabelleText"/>
                <w:rFonts w:ascii="Times New Roman" w:hAnsi="Times New Roman"/>
                <w:sz w:val="24"/>
              </w:rPr>
              <w:t>férents.</w:t>
            </w:r>
          </w:p>
        </w:tc>
      </w:tr>
      <w:tr w:rsidR="002648B0" w:rsidRPr="00392FFD" w:rsidTr="000903FA">
        <w:tc>
          <w:tcPr>
            <w:tcW w:w="703"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040</w:t>
            </w:r>
          </w:p>
        </w:tc>
        <w:tc>
          <w:tcPr>
            <w:tcW w:w="7478" w:type="dxa"/>
          </w:tcPr>
          <w:p w:rsidR="005643EA" w:rsidRPr="000F1CEA" w:rsidRDefault="002648B0" w:rsidP="00622B37">
            <w:pPr>
              <w:pStyle w:val="InstructionsText"/>
              <w:rPr>
                <w:rStyle w:val="InstructionsTabelleText"/>
                <w:rFonts w:ascii="Times New Roman" w:hAnsi="Times New Roman"/>
                <w:b/>
                <w:sz w:val="24"/>
                <w:u w:val="single"/>
              </w:rPr>
            </w:pPr>
            <w:r>
              <w:rPr>
                <w:rStyle w:val="InstructionsTabelleberschrift"/>
                <w:rFonts w:ascii="Times New Roman" w:hAnsi="Times New Roman"/>
                <w:sz w:val="24"/>
              </w:rPr>
              <w:t>2.2</w:t>
            </w:r>
            <w:r>
              <w:tab/>
            </w:r>
            <w:r>
              <w:rPr>
                <w:rStyle w:val="InstructionsTabelleberschrift"/>
                <w:rFonts w:ascii="Times New Roman" w:hAnsi="Times New Roman"/>
                <w:sz w:val="24"/>
              </w:rPr>
              <w:t>Instruments bénéficiant d’une clause d’antériorité avec option comportant une incitation au remboursement</w:t>
            </w:r>
          </w:p>
          <w:p w:rsidR="005643EA" w:rsidRPr="00392FFD" w:rsidRDefault="002648B0" w:rsidP="00622B37">
            <w:pPr>
              <w:pStyle w:val="InstructionsText"/>
              <w:rPr>
                <w:rStyle w:val="InstructionsTabelleText"/>
                <w:rFonts w:ascii="Times New Roman" w:hAnsi="Times New Roman"/>
                <w:bCs/>
                <w:sz w:val="24"/>
              </w:rPr>
            </w:pPr>
            <w:r>
              <w:rPr>
                <w:rStyle w:val="InstructionsTabelleText"/>
                <w:rFonts w:ascii="Times New Roman" w:hAnsi="Times New Roman"/>
                <w:sz w:val="24"/>
              </w:rPr>
              <w:t>Article 489 du CRR</w:t>
            </w:r>
          </w:p>
        </w:tc>
      </w:tr>
      <w:tr w:rsidR="002648B0" w:rsidRPr="00392FFD" w:rsidTr="000903FA">
        <w:tc>
          <w:tcPr>
            <w:tcW w:w="703"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050</w:t>
            </w:r>
          </w:p>
        </w:tc>
        <w:tc>
          <w:tcPr>
            <w:tcW w:w="7478" w:type="dxa"/>
          </w:tcPr>
          <w:p w:rsidR="005643EA" w:rsidRPr="000F1CEA" w:rsidRDefault="002648B0" w:rsidP="00622B37">
            <w:pPr>
              <w:pStyle w:val="InstructionsText"/>
              <w:rPr>
                <w:rStyle w:val="InstructionsTabelleText"/>
                <w:rFonts w:ascii="Times New Roman" w:hAnsi="Times New Roman"/>
                <w:b/>
                <w:bCs/>
                <w:sz w:val="24"/>
                <w:u w:val="single"/>
              </w:rPr>
            </w:pPr>
            <w:r>
              <w:rPr>
                <w:rStyle w:val="InstructionsTabelleberschrift"/>
                <w:rFonts w:ascii="Times New Roman" w:hAnsi="Times New Roman"/>
                <w:sz w:val="24"/>
              </w:rPr>
              <w:t>2.2.1</w:t>
            </w:r>
            <w:r>
              <w:tab/>
            </w:r>
            <w:r>
              <w:rPr>
                <w:rStyle w:val="InstructionsTabelleberschrift"/>
                <w:rFonts w:ascii="Times New Roman" w:hAnsi="Times New Roman"/>
                <w:sz w:val="24"/>
              </w:rPr>
              <w:t xml:space="preserve">Instruments avec option pouvant être exercée après la date de déclaration, et remplissant les conditions de l’article 52 du CRR après </w:t>
            </w:r>
            <w:r>
              <w:rPr>
                <w:rStyle w:val="InstructionsTabelleberschrift"/>
                <w:rFonts w:ascii="Times New Roman" w:hAnsi="Times New Roman"/>
                <w:sz w:val="24"/>
              </w:rPr>
              <w:lastRenderedPageBreak/>
              <w:t>la date d’échéance effective</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489, paragraphe 3, et article 491, point a), du CRR</w:t>
            </w:r>
          </w:p>
          <w:p w:rsidR="002648B0" w:rsidRPr="00392FFD" w:rsidRDefault="002648B0" w:rsidP="007106FB">
            <w:pPr>
              <w:rPr>
                <w:rStyle w:val="InstructionsTabelleText"/>
                <w:rFonts w:ascii="Times New Roman" w:hAnsi="Times New Roman"/>
                <w:sz w:val="24"/>
              </w:rPr>
            </w:pPr>
            <w:r>
              <w:rPr>
                <w:rStyle w:val="InstructionsTabelleText"/>
                <w:rFonts w:ascii="Times New Roman" w:hAnsi="Times New Roman"/>
                <w:sz w:val="24"/>
              </w:rPr>
              <w:t>Le montant à déclarer comprendra les comptes des primes d’émission y a</w:t>
            </w:r>
            <w:r>
              <w:rPr>
                <w:rStyle w:val="InstructionsTabelleText"/>
                <w:rFonts w:ascii="Times New Roman" w:hAnsi="Times New Roman"/>
                <w:sz w:val="24"/>
              </w:rPr>
              <w:t>f</w:t>
            </w:r>
            <w:r>
              <w:rPr>
                <w:rStyle w:val="InstructionsTabelleText"/>
                <w:rFonts w:ascii="Times New Roman" w:hAnsi="Times New Roman"/>
                <w:sz w:val="24"/>
              </w:rPr>
              <w:t>férents.</w:t>
            </w:r>
          </w:p>
        </w:tc>
      </w:tr>
      <w:tr w:rsidR="002648B0" w:rsidRPr="00392FFD" w:rsidTr="000903FA">
        <w:tc>
          <w:tcPr>
            <w:tcW w:w="703"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lastRenderedPageBreak/>
              <w:t>060</w:t>
            </w:r>
          </w:p>
        </w:tc>
        <w:tc>
          <w:tcPr>
            <w:tcW w:w="7478" w:type="dxa"/>
          </w:tcPr>
          <w:p w:rsidR="005643EA" w:rsidRPr="000F1CEA" w:rsidRDefault="002648B0" w:rsidP="00622B37">
            <w:pPr>
              <w:pStyle w:val="InstructionsText"/>
              <w:rPr>
                <w:rStyle w:val="InstructionsTabelleText"/>
                <w:rFonts w:ascii="Times New Roman" w:hAnsi="Times New Roman"/>
                <w:b/>
                <w:sz w:val="24"/>
                <w:u w:val="single"/>
              </w:rPr>
            </w:pPr>
            <w:r>
              <w:rPr>
                <w:rStyle w:val="InstructionsTabelleberschrift"/>
                <w:rFonts w:ascii="Times New Roman" w:hAnsi="Times New Roman"/>
                <w:sz w:val="24"/>
              </w:rPr>
              <w:t>2.2.2</w:t>
            </w:r>
            <w:r>
              <w:tab/>
            </w:r>
            <w:r>
              <w:rPr>
                <w:rStyle w:val="InstructionsTabelleberschrift"/>
                <w:rFonts w:ascii="Times New Roman" w:hAnsi="Times New Roman"/>
                <w:sz w:val="24"/>
              </w:rPr>
              <w:t>Instruments avec option pouvant être exercée après la date de déclaration, et ne remplissant pas les conditions de l’article 52 du CRR après la date d’échéance effective</w:t>
            </w:r>
          </w:p>
          <w:p w:rsidR="005643EA" w:rsidRPr="00392FFD" w:rsidRDefault="002648B0" w:rsidP="00622B37">
            <w:pPr>
              <w:pStyle w:val="InstructionsText"/>
              <w:rPr>
                <w:rStyle w:val="InstructionsTabelleText"/>
                <w:rFonts w:ascii="Times New Roman" w:hAnsi="Times New Roman"/>
                <w:bCs/>
                <w:sz w:val="24"/>
              </w:rPr>
            </w:pPr>
            <w:r>
              <w:rPr>
                <w:rStyle w:val="InstructionsTabelleText"/>
                <w:rFonts w:ascii="Times New Roman" w:hAnsi="Times New Roman"/>
                <w:sz w:val="24"/>
              </w:rPr>
              <w:t>Article 489, paragraphe 5, et article 491, point a), du CRR</w:t>
            </w:r>
          </w:p>
          <w:p w:rsidR="002648B0" w:rsidRPr="00392FFD" w:rsidRDefault="002648B0" w:rsidP="007106FB">
            <w:pPr>
              <w:rPr>
                <w:rStyle w:val="InstructionsTabelleText"/>
                <w:rFonts w:ascii="Times New Roman" w:hAnsi="Times New Roman"/>
                <w:sz w:val="24"/>
              </w:rPr>
            </w:pPr>
            <w:r>
              <w:rPr>
                <w:rStyle w:val="InstructionsTabelleText"/>
                <w:rFonts w:ascii="Times New Roman" w:hAnsi="Times New Roman"/>
                <w:sz w:val="24"/>
              </w:rPr>
              <w:t>Le montant à déclarer comprendra les comptes des primes d’émission y a</w:t>
            </w:r>
            <w:r>
              <w:rPr>
                <w:rStyle w:val="InstructionsTabelleText"/>
                <w:rFonts w:ascii="Times New Roman" w:hAnsi="Times New Roman"/>
                <w:sz w:val="24"/>
              </w:rPr>
              <w:t>f</w:t>
            </w:r>
            <w:r>
              <w:rPr>
                <w:rStyle w:val="InstructionsTabelleText"/>
                <w:rFonts w:ascii="Times New Roman" w:hAnsi="Times New Roman"/>
                <w:sz w:val="24"/>
              </w:rPr>
              <w:t>férents.</w:t>
            </w:r>
          </w:p>
        </w:tc>
      </w:tr>
      <w:tr w:rsidR="002648B0" w:rsidRPr="00392FFD" w:rsidTr="000903FA">
        <w:tc>
          <w:tcPr>
            <w:tcW w:w="703"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070</w:t>
            </w:r>
          </w:p>
        </w:tc>
        <w:tc>
          <w:tcPr>
            <w:tcW w:w="7478" w:type="dxa"/>
          </w:tcPr>
          <w:p w:rsidR="005643EA" w:rsidRPr="000F1CEA" w:rsidRDefault="002648B0" w:rsidP="00622B37">
            <w:pPr>
              <w:pStyle w:val="InstructionsText"/>
              <w:rPr>
                <w:rStyle w:val="InstructionsTabelleText"/>
                <w:rFonts w:ascii="Times New Roman" w:hAnsi="Times New Roman"/>
                <w:b/>
                <w:sz w:val="24"/>
                <w:u w:val="single"/>
              </w:rPr>
            </w:pPr>
            <w:r>
              <w:rPr>
                <w:rStyle w:val="InstructionsTabelleberschrift"/>
                <w:rFonts w:ascii="Times New Roman" w:hAnsi="Times New Roman"/>
                <w:sz w:val="24"/>
              </w:rPr>
              <w:t>2.2.3</w:t>
            </w:r>
            <w:r>
              <w:tab/>
            </w:r>
            <w:r>
              <w:rPr>
                <w:rStyle w:val="InstructionsTabelleberschrift"/>
                <w:rFonts w:ascii="Times New Roman" w:hAnsi="Times New Roman"/>
                <w:sz w:val="24"/>
              </w:rPr>
              <w:t>Instruments avec option pouvant être exercée jusqu’au 20 jui</w:t>
            </w:r>
            <w:r>
              <w:rPr>
                <w:rStyle w:val="InstructionsTabelleberschrift"/>
                <w:rFonts w:ascii="Times New Roman" w:hAnsi="Times New Roman"/>
                <w:sz w:val="24"/>
              </w:rPr>
              <w:t>l</w:t>
            </w:r>
            <w:r>
              <w:rPr>
                <w:rStyle w:val="InstructionsTabelleberschrift"/>
                <w:rFonts w:ascii="Times New Roman" w:hAnsi="Times New Roman"/>
                <w:sz w:val="24"/>
              </w:rPr>
              <w:t>let 2011 inclus, et ne remplissant pas les conditions de l’article 52 du CRR après la date d’échéance effective</w:t>
            </w:r>
          </w:p>
          <w:p w:rsidR="005643EA" w:rsidRPr="00392FFD" w:rsidRDefault="002648B0" w:rsidP="00622B37">
            <w:pPr>
              <w:pStyle w:val="InstructionsText"/>
              <w:rPr>
                <w:rStyle w:val="InstructionsTabelleText"/>
                <w:rFonts w:ascii="Times New Roman" w:hAnsi="Times New Roman"/>
                <w:bCs/>
                <w:sz w:val="24"/>
              </w:rPr>
            </w:pPr>
            <w:r>
              <w:rPr>
                <w:rStyle w:val="InstructionsTabelleText"/>
                <w:rFonts w:ascii="Times New Roman" w:hAnsi="Times New Roman"/>
                <w:sz w:val="24"/>
              </w:rPr>
              <w:t>Article 489, paragraphe 6, et article 491, point c), du CRR</w:t>
            </w:r>
          </w:p>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Le montant à déclarer comprendra les comptes des primes d’émission y a</w:t>
            </w:r>
            <w:r>
              <w:rPr>
                <w:rStyle w:val="InstructionsTabelleText"/>
                <w:rFonts w:ascii="Times New Roman" w:hAnsi="Times New Roman"/>
                <w:sz w:val="24"/>
              </w:rPr>
              <w:t>f</w:t>
            </w:r>
            <w:r>
              <w:rPr>
                <w:rStyle w:val="InstructionsTabelleText"/>
                <w:rFonts w:ascii="Times New Roman" w:hAnsi="Times New Roman"/>
                <w:sz w:val="24"/>
              </w:rPr>
              <w:t>férents.</w:t>
            </w:r>
          </w:p>
        </w:tc>
      </w:tr>
      <w:tr w:rsidR="002648B0" w:rsidRPr="00392FFD" w:rsidTr="000903FA">
        <w:tc>
          <w:tcPr>
            <w:tcW w:w="703"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080</w:t>
            </w:r>
          </w:p>
        </w:tc>
        <w:tc>
          <w:tcPr>
            <w:tcW w:w="7478" w:type="dxa"/>
          </w:tcPr>
          <w:p w:rsidR="005643EA" w:rsidRPr="000F1CEA" w:rsidRDefault="002648B0" w:rsidP="00622B37">
            <w:pPr>
              <w:pStyle w:val="InstructionsText"/>
              <w:rPr>
                <w:rStyle w:val="InstructionsTabelleText"/>
                <w:rFonts w:ascii="Times New Roman" w:hAnsi="Times New Roman"/>
                <w:b/>
                <w:bCs/>
                <w:sz w:val="24"/>
                <w:u w:val="single"/>
              </w:rPr>
            </w:pPr>
            <w:r>
              <w:rPr>
                <w:rStyle w:val="InstructionsTabelleberschrift"/>
                <w:rFonts w:ascii="Times New Roman" w:hAnsi="Times New Roman"/>
                <w:sz w:val="24"/>
              </w:rPr>
              <w:t>2.3</w:t>
            </w:r>
            <w:r>
              <w:tab/>
            </w:r>
            <w:r>
              <w:rPr>
                <w:rStyle w:val="InstructionsTabelleberschrift"/>
                <w:rFonts w:ascii="Times New Roman" w:hAnsi="Times New Roman"/>
                <w:sz w:val="24"/>
              </w:rPr>
              <w:t>Dépassement de la limite des instruments de fonds propres CET1 bénéficiant d’une clause d’antériorité</w:t>
            </w:r>
          </w:p>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487, paragraphe 1, du CRR</w:t>
            </w:r>
          </w:p>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L’excédent par rapport à la limite d’instruments de fonds propres de base de catégorie 1 bénéficiant d’une clause d’antériorité peut être traité comme des instruments pouvant être éligibles en tant qu’instruments de fonds propres additionnels de catégorie 1 en vertu d’une clause d’antériorité.</w:t>
            </w:r>
          </w:p>
        </w:tc>
      </w:tr>
      <w:tr w:rsidR="002648B0" w:rsidRPr="00392FFD" w:rsidTr="000903FA">
        <w:tc>
          <w:tcPr>
            <w:tcW w:w="703"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090</w:t>
            </w:r>
          </w:p>
        </w:tc>
        <w:tc>
          <w:tcPr>
            <w:tcW w:w="7478" w:type="dxa"/>
          </w:tcPr>
          <w:p w:rsidR="005643EA" w:rsidRPr="000F1CEA" w:rsidRDefault="00C66473" w:rsidP="00622B37">
            <w:pPr>
              <w:pStyle w:val="InstructionsText"/>
              <w:rPr>
                <w:rStyle w:val="InstructionsTabelleText"/>
                <w:rFonts w:ascii="Times New Roman" w:hAnsi="Times New Roman"/>
                <w:b/>
                <w:sz w:val="24"/>
                <w:u w:val="single"/>
              </w:rPr>
            </w:pPr>
            <w:r>
              <w:rPr>
                <w:rStyle w:val="InstructionsTabelleberschrift"/>
                <w:rFonts w:ascii="Times New Roman" w:hAnsi="Times New Roman"/>
                <w:sz w:val="24"/>
              </w:rPr>
              <w:t>3.</w:t>
            </w:r>
            <w:r>
              <w:tab/>
            </w:r>
            <w:r>
              <w:rPr>
                <w:rStyle w:val="InstructionsTabelleberschrift"/>
                <w:rFonts w:ascii="Times New Roman" w:hAnsi="Times New Roman"/>
                <w:sz w:val="24"/>
              </w:rPr>
              <w:t>Éléments éligibles en vertu des points e), f), g) ou h) de l’article 57 de la directive 2006/48/CE, sous réserve de la limite de l’article 490</w:t>
            </w:r>
          </w:p>
          <w:p w:rsidR="005643EA" w:rsidRPr="00392FFD" w:rsidRDefault="002648B0" w:rsidP="00622B37">
            <w:pPr>
              <w:pStyle w:val="InstructionsText"/>
              <w:rPr>
                <w:rStyle w:val="InstructionsTabelleText"/>
                <w:rFonts w:ascii="Times New Roman" w:hAnsi="Times New Roman"/>
                <w:bCs/>
                <w:sz w:val="24"/>
              </w:rPr>
            </w:pPr>
            <w:r>
              <w:rPr>
                <w:rStyle w:val="InstructionsTabelleText"/>
                <w:rFonts w:ascii="Times New Roman" w:hAnsi="Times New Roman"/>
                <w:sz w:val="24"/>
              </w:rPr>
              <w:t>Article 484, paragraphe 5, du CRR</w:t>
            </w:r>
          </w:p>
        </w:tc>
      </w:tr>
      <w:tr w:rsidR="002648B0" w:rsidRPr="00392FFD" w:rsidTr="000903FA">
        <w:tc>
          <w:tcPr>
            <w:tcW w:w="703"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100</w:t>
            </w:r>
          </w:p>
        </w:tc>
        <w:tc>
          <w:tcPr>
            <w:tcW w:w="7478" w:type="dxa"/>
          </w:tcPr>
          <w:p w:rsidR="005643EA" w:rsidRPr="000F1CEA" w:rsidRDefault="002648B0" w:rsidP="00622B37">
            <w:pPr>
              <w:pStyle w:val="InstructionsText"/>
              <w:rPr>
                <w:rStyle w:val="InstructionsTabelleText"/>
                <w:rFonts w:ascii="Times New Roman" w:hAnsi="Times New Roman"/>
                <w:b/>
                <w:bCs/>
                <w:sz w:val="24"/>
                <w:u w:val="single"/>
              </w:rPr>
            </w:pPr>
            <w:r>
              <w:rPr>
                <w:rStyle w:val="InstructionsTabelleberschrift"/>
                <w:rFonts w:ascii="Times New Roman" w:hAnsi="Times New Roman"/>
                <w:sz w:val="24"/>
              </w:rPr>
              <w:t>3.1</w:t>
            </w:r>
            <w:r>
              <w:tab/>
            </w:r>
            <w:r>
              <w:rPr>
                <w:rStyle w:val="InstructionsTabelleberschrift"/>
                <w:rFonts w:ascii="Times New Roman" w:hAnsi="Times New Roman"/>
                <w:sz w:val="24"/>
              </w:rPr>
              <w:t>Total des éléments sans incitation au remboursement</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490 du CRR</w:t>
            </w:r>
          </w:p>
        </w:tc>
      </w:tr>
      <w:tr w:rsidR="002648B0" w:rsidRPr="00392FFD" w:rsidTr="000903FA">
        <w:tc>
          <w:tcPr>
            <w:tcW w:w="703"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110</w:t>
            </w:r>
          </w:p>
        </w:tc>
        <w:tc>
          <w:tcPr>
            <w:tcW w:w="7478" w:type="dxa"/>
          </w:tcPr>
          <w:p w:rsidR="005643EA" w:rsidRPr="000F1CEA" w:rsidRDefault="002648B0" w:rsidP="00622B37">
            <w:pPr>
              <w:pStyle w:val="InstructionsText"/>
              <w:rPr>
                <w:rStyle w:val="InstructionsTabelleText"/>
                <w:rFonts w:ascii="Times New Roman" w:hAnsi="Times New Roman"/>
                <w:b/>
                <w:bCs/>
                <w:sz w:val="24"/>
                <w:u w:val="single"/>
              </w:rPr>
            </w:pPr>
            <w:r>
              <w:rPr>
                <w:rStyle w:val="InstructionsTabelleberschrift"/>
                <w:rFonts w:ascii="Times New Roman" w:hAnsi="Times New Roman"/>
                <w:sz w:val="24"/>
              </w:rPr>
              <w:t>3.2</w:t>
            </w:r>
            <w:r>
              <w:tab/>
            </w:r>
            <w:r>
              <w:rPr>
                <w:rStyle w:val="InstructionsTabelleberschrift"/>
                <w:rFonts w:ascii="Times New Roman" w:hAnsi="Times New Roman"/>
                <w:sz w:val="24"/>
              </w:rPr>
              <w:t>Éléments bénéficiant d’une clause d’antériorité et comportant une incitation au remboursement</w:t>
            </w:r>
          </w:p>
          <w:p w:rsidR="005643EA"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Article 490 du CRR</w:t>
            </w:r>
          </w:p>
        </w:tc>
      </w:tr>
      <w:tr w:rsidR="002648B0" w:rsidRPr="00392FFD" w:rsidTr="000903FA">
        <w:tc>
          <w:tcPr>
            <w:tcW w:w="703"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120</w:t>
            </w:r>
          </w:p>
        </w:tc>
        <w:tc>
          <w:tcPr>
            <w:tcW w:w="7478" w:type="dxa"/>
          </w:tcPr>
          <w:p w:rsidR="005643EA" w:rsidRPr="000F1CEA" w:rsidRDefault="002648B0" w:rsidP="00622B37">
            <w:pPr>
              <w:pStyle w:val="InstructionsText"/>
              <w:rPr>
                <w:rStyle w:val="InstructionsTabelleText"/>
                <w:rFonts w:ascii="Times New Roman" w:hAnsi="Times New Roman"/>
                <w:b/>
                <w:bCs/>
                <w:sz w:val="24"/>
                <w:u w:val="single"/>
              </w:rPr>
            </w:pPr>
            <w:r>
              <w:rPr>
                <w:rStyle w:val="InstructionsTabelleberschrift"/>
                <w:rFonts w:ascii="Times New Roman" w:hAnsi="Times New Roman"/>
                <w:sz w:val="24"/>
              </w:rPr>
              <w:t>3.2.1</w:t>
            </w:r>
            <w:r>
              <w:tab/>
            </w:r>
            <w:r>
              <w:rPr>
                <w:rStyle w:val="InstructionsTabelleberschrift"/>
                <w:rFonts w:ascii="Times New Roman" w:hAnsi="Times New Roman"/>
                <w:sz w:val="24"/>
              </w:rPr>
              <w:t>Éléments avec option pouvant être exercée après la date de d</w:t>
            </w:r>
            <w:r>
              <w:rPr>
                <w:rStyle w:val="InstructionsTabelleberschrift"/>
                <w:rFonts w:ascii="Times New Roman" w:hAnsi="Times New Roman"/>
                <w:sz w:val="24"/>
              </w:rPr>
              <w:t>é</w:t>
            </w:r>
            <w:r>
              <w:rPr>
                <w:rStyle w:val="InstructionsTabelleberschrift"/>
                <w:rFonts w:ascii="Times New Roman" w:hAnsi="Times New Roman"/>
                <w:sz w:val="24"/>
              </w:rPr>
              <w:t>claration, et remplissant les conditions de l’article 63 du CRR après la date d’échéance effective</w:t>
            </w:r>
          </w:p>
          <w:p w:rsidR="002648B0" w:rsidRPr="00392FFD" w:rsidRDefault="002648B0" w:rsidP="007106FB">
            <w:pPr>
              <w:rPr>
                <w:rStyle w:val="InstructionsTabelleText"/>
                <w:rFonts w:ascii="Times New Roman" w:hAnsi="Times New Roman"/>
                <w:sz w:val="24"/>
              </w:rPr>
            </w:pPr>
            <w:r>
              <w:rPr>
                <w:rStyle w:val="InstructionsTabelleText"/>
                <w:rFonts w:ascii="Times New Roman" w:hAnsi="Times New Roman"/>
                <w:sz w:val="24"/>
              </w:rPr>
              <w:t>Article 490, paragraphe 3, et article 491, point a), du CRR</w:t>
            </w:r>
          </w:p>
          <w:p w:rsidR="002648B0" w:rsidRPr="00392FFD" w:rsidRDefault="002648B0" w:rsidP="007106FB">
            <w:pPr>
              <w:rPr>
                <w:rStyle w:val="InstructionsTabelleText"/>
                <w:rFonts w:ascii="Times New Roman" w:hAnsi="Times New Roman"/>
                <w:sz w:val="24"/>
              </w:rPr>
            </w:pPr>
            <w:r>
              <w:rPr>
                <w:rStyle w:val="InstructionsTabelleText"/>
                <w:rFonts w:ascii="Times New Roman" w:hAnsi="Times New Roman"/>
                <w:sz w:val="24"/>
              </w:rPr>
              <w:t>Le montant à déclarer comprendra les comptes des primes d’émission y a</w:t>
            </w:r>
            <w:r>
              <w:rPr>
                <w:rStyle w:val="InstructionsTabelleText"/>
                <w:rFonts w:ascii="Times New Roman" w:hAnsi="Times New Roman"/>
                <w:sz w:val="24"/>
              </w:rPr>
              <w:t>f</w:t>
            </w:r>
            <w:r>
              <w:rPr>
                <w:rStyle w:val="InstructionsTabelleText"/>
                <w:rFonts w:ascii="Times New Roman" w:hAnsi="Times New Roman"/>
                <w:sz w:val="24"/>
              </w:rPr>
              <w:t>férents.</w:t>
            </w:r>
          </w:p>
        </w:tc>
      </w:tr>
      <w:tr w:rsidR="002648B0" w:rsidRPr="00392FFD" w:rsidTr="000903FA">
        <w:tc>
          <w:tcPr>
            <w:tcW w:w="703"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130</w:t>
            </w:r>
          </w:p>
        </w:tc>
        <w:tc>
          <w:tcPr>
            <w:tcW w:w="7478" w:type="dxa"/>
          </w:tcPr>
          <w:p w:rsidR="005643EA" w:rsidRPr="000F1CEA" w:rsidRDefault="002648B0" w:rsidP="00622B37">
            <w:pPr>
              <w:pStyle w:val="InstructionsText"/>
              <w:rPr>
                <w:rStyle w:val="InstructionsTabelleText"/>
                <w:rFonts w:ascii="Times New Roman" w:hAnsi="Times New Roman"/>
                <w:b/>
                <w:sz w:val="24"/>
                <w:u w:val="single"/>
              </w:rPr>
            </w:pPr>
            <w:r>
              <w:rPr>
                <w:rStyle w:val="InstructionsTabelleberschrift"/>
                <w:rFonts w:ascii="Times New Roman" w:hAnsi="Times New Roman"/>
                <w:sz w:val="24"/>
              </w:rPr>
              <w:t>3.2.2</w:t>
            </w:r>
            <w:r>
              <w:tab/>
            </w:r>
            <w:r>
              <w:rPr>
                <w:rStyle w:val="InstructionsTabelleberschrift"/>
                <w:rFonts w:ascii="Times New Roman" w:hAnsi="Times New Roman"/>
                <w:sz w:val="24"/>
              </w:rPr>
              <w:t>Éléments avec option pouvant être exercée après la date de d</w:t>
            </w:r>
            <w:r>
              <w:rPr>
                <w:rStyle w:val="InstructionsTabelleberschrift"/>
                <w:rFonts w:ascii="Times New Roman" w:hAnsi="Times New Roman"/>
                <w:sz w:val="24"/>
              </w:rPr>
              <w:t>é</w:t>
            </w:r>
            <w:r>
              <w:rPr>
                <w:rStyle w:val="InstructionsTabelleberschrift"/>
                <w:rFonts w:ascii="Times New Roman" w:hAnsi="Times New Roman"/>
                <w:sz w:val="24"/>
              </w:rPr>
              <w:t>claration, et ne remplissant pas les conditions de l’article 63 du CRR après la date d’échéance effective</w:t>
            </w:r>
          </w:p>
          <w:p w:rsidR="002648B0" w:rsidRPr="00392FFD" w:rsidRDefault="002648B0" w:rsidP="007106FB">
            <w:pPr>
              <w:rPr>
                <w:rStyle w:val="InstructionsTabelleText"/>
                <w:rFonts w:ascii="Times New Roman" w:hAnsi="Times New Roman"/>
                <w:sz w:val="24"/>
              </w:rPr>
            </w:pPr>
            <w:r>
              <w:rPr>
                <w:rStyle w:val="InstructionsTabelleText"/>
                <w:rFonts w:ascii="Times New Roman" w:hAnsi="Times New Roman"/>
                <w:sz w:val="24"/>
              </w:rPr>
              <w:lastRenderedPageBreak/>
              <w:t>Article 490, paragraphe 5, et article 491, point a), du CRR</w:t>
            </w:r>
          </w:p>
          <w:p w:rsidR="002648B0" w:rsidRPr="00392FFD" w:rsidRDefault="007C3B71" w:rsidP="007106FB">
            <w:pPr>
              <w:rPr>
                <w:rStyle w:val="InstructionsTabelleText"/>
                <w:rFonts w:ascii="Times New Roman" w:hAnsi="Times New Roman"/>
                <w:sz w:val="24"/>
              </w:rPr>
            </w:pPr>
            <w:r>
              <w:rPr>
                <w:rStyle w:val="InstructionsTabelleText"/>
                <w:rFonts w:ascii="Times New Roman" w:hAnsi="Times New Roman"/>
                <w:sz w:val="24"/>
              </w:rPr>
              <w:t>Le montant à déclarer comprendra les comptes des primes d’émission y a</w:t>
            </w:r>
            <w:r>
              <w:rPr>
                <w:rStyle w:val="InstructionsTabelleText"/>
                <w:rFonts w:ascii="Times New Roman" w:hAnsi="Times New Roman"/>
                <w:sz w:val="24"/>
              </w:rPr>
              <w:t>f</w:t>
            </w:r>
            <w:r>
              <w:rPr>
                <w:rStyle w:val="InstructionsTabelleText"/>
                <w:rFonts w:ascii="Times New Roman" w:hAnsi="Times New Roman"/>
                <w:sz w:val="24"/>
              </w:rPr>
              <w:t>férents.</w:t>
            </w:r>
          </w:p>
        </w:tc>
      </w:tr>
      <w:tr w:rsidR="002648B0" w:rsidRPr="00392FFD" w:rsidTr="000903FA">
        <w:tc>
          <w:tcPr>
            <w:tcW w:w="703"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lastRenderedPageBreak/>
              <w:t>140</w:t>
            </w:r>
          </w:p>
        </w:tc>
        <w:tc>
          <w:tcPr>
            <w:tcW w:w="7478" w:type="dxa"/>
          </w:tcPr>
          <w:p w:rsidR="00496C53" w:rsidRPr="00392FFD" w:rsidRDefault="002648B0" w:rsidP="00622B37">
            <w:pPr>
              <w:pStyle w:val="InstructionsText"/>
              <w:rPr>
                <w:rStyle w:val="InstructionsTabelleberschrift"/>
                <w:rFonts w:ascii="Times New Roman" w:hAnsi="Times New Roman"/>
                <w:bCs w:val="0"/>
                <w:sz w:val="24"/>
              </w:rPr>
            </w:pPr>
            <w:r>
              <w:rPr>
                <w:rStyle w:val="InstructionsTabelleberschrift"/>
                <w:rFonts w:ascii="Times New Roman" w:hAnsi="Times New Roman"/>
                <w:sz w:val="24"/>
              </w:rPr>
              <w:t>3.2.3</w:t>
            </w:r>
            <w:r>
              <w:tab/>
            </w:r>
            <w:r>
              <w:rPr>
                <w:rStyle w:val="InstructionsTabelleberschrift"/>
                <w:rFonts w:ascii="Times New Roman" w:hAnsi="Times New Roman"/>
                <w:sz w:val="24"/>
              </w:rPr>
              <w:t>Éléments avec option pouvant être exercée jusqu’au 20 juillet 2011 inclus, et ne remplissant pas les conditions de l’article 63 du CRR après la date d’échéance effective</w:t>
            </w:r>
          </w:p>
          <w:p w:rsidR="002648B0" w:rsidRPr="00392FFD" w:rsidRDefault="002648B0" w:rsidP="007106FB">
            <w:pPr>
              <w:rPr>
                <w:rStyle w:val="InstructionsTabelleText"/>
                <w:rFonts w:ascii="Times New Roman" w:hAnsi="Times New Roman"/>
                <w:sz w:val="24"/>
              </w:rPr>
            </w:pPr>
            <w:r>
              <w:rPr>
                <w:rStyle w:val="InstructionsTabelleText"/>
                <w:rFonts w:ascii="Times New Roman" w:hAnsi="Times New Roman"/>
                <w:sz w:val="24"/>
              </w:rPr>
              <w:t xml:space="preserve">Article 490, paragraphe 6, et article 491, point c), du CRR </w:t>
            </w:r>
          </w:p>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Le montant à déclarer comprendra les comptes des primes d’émission y a</w:t>
            </w:r>
            <w:r>
              <w:rPr>
                <w:rStyle w:val="InstructionsTabelleText"/>
                <w:rFonts w:ascii="Times New Roman" w:hAnsi="Times New Roman"/>
                <w:sz w:val="24"/>
              </w:rPr>
              <w:t>f</w:t>
            </w:r>
            <w:r>
              <w:rPr>
                <w:rStyle w:val="InstructionsTabelleText"/>
                <w:rFonts w:ascii="Times New Roman" w:hAnsi="Times New Roman"/>
                <w:sz w:val="24"/>
              </w:rPr>
              <w:t>férents.</w:t>
            </w:r>
          </w:p>
        </w:tc>
      </w:tr>
      <w:tr w:rsidR="002648B0" w:rsidRPr="00392FFD" w:rsidTr="000903FA">
        <w:tc>
          <w:tcPr>
            <w:tcW w:w="703" w:type="dxa"/>
          </w:tcPr>
          <w:p w:rsidR="002648B0" w:rsidRPr="00392FFD" w:rsidRDefault="002648B0" w:rsidP="00622B37">
            <w:pPr>
              <w:pStyle w:val="InstructionsText"/>
              <w:rPr>
                <w:rStyle w:val="InstructionsTabelleText"/>
                <w:rFonts w:ascii="Times New Roman" w:hAnsi="Times New Roman"/>
                <w:sz w:val="24"/>
              </w:rPr>
            </w:pPr>
            <w:r>
              <w:rPr>
                <w:rStyle w:val="InstructionsTabelleText"/>
                <w:rFonts w:ascii="Times New Roman" w:hAnsi="Times New Roman"/>
                <w:sz w:val="24"/>
              </w:rPr>
              <w:t>150</w:t>
            </w:r>
          </w:p>
        </w:tc>
        <w:tc>
          <w:tcPr>
            <w:tcW w:w="7478" w:type="dxa"/>
          </w:tcPr>
          <w:p w:rsidR="005643EA" w:rsidRPr="00392FFD" w:rsidRDefault="002648B0"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3.3</w:t>
            </w:r>
            <w:r>
              <w:tab/>
            </w:r>
            <w:r>
              <w:rPr>
                <w:rStyle w:val="InstructionsTabelleberschrift"/>
                <w:rFonts w:ascii="Times New Roman" w:hAnsi="Times New Roman"/>
                <w:sz w:val="24"/>
              </w:rPr>
              <w:t>Dépassement de la limite des instruments de fonds propres AT1 bénéficiant d’une clause d’antériorité</w:t>
            </w:r>
          </w:p>
          <w:p w:rsidR="002648B0" w:rsidRPr="00392FFD" w:rsidRDefault="002648B0" w:rsidP="007106FB">
            <w:pPr>
              <w:rPr>
                <w:rStyle w:val="InstructionsTabelleText"/>
                <w:rFonts w:ascii="Times New Roman" w:hAnsi="Times New Roman"/>
                <w:sz w:val="24"/>
              </w:rPr>
            </w:pPr>
            <w:r>
              <w:rPr>
                <w:rStyle w:val="InstructionsTabelleText"/>
                <w:rFonts w:ascii="Times New Roman" w:hAnsi="Times New Roman"/>
                <w:sz w:val="24"/>
              </w:rPr>
              <w:t xml:space="preserve">Article 487, paragraphe 2, du CRR </w:t>
            </w:r>
          </w:p>
          <w:p w:rsidR="002648B0" w:rsidRPr="00392FFD" w:rsidRDefault="002648B0" w:rsidP="007106FB">
            <w:pPr>
              <w:rPr>
                <w:rStyle w:val="InstructionsTabelleText"/>
                <w:rFonts w:ascii="Times New Roman" w:hAnsi="Times New Roman"/>
                <w:sz w:val="24"/>
              </w:rPr>
            </w:pPr>
            <w:r>
              <w:rPr>
                <w:rStyle w:val="InstructionsTabelleText"/>
                <w:rFonts w:ascii="Times New Roman" w:hAnsi="Times New Roman"/>
                <w:sz w:val="24"/>
              </w:rPr>
              <w:t>L’excédent par rapport à la limite d’instruments de fonds propres additio</w:t>
            </w:r>
            <w:r>
              <w:rPr>
                <w:rStyle w:val="InstructionsTabelleText"/>
                <w:rFonts w:ascii="Times New Roman" w:hAnsi="Times New Roman"/>
                <w:sz w:val="24"/>
              </w:rPr>
              <w:t>n</w:t>
            </w:r>
            <w:r>
              <w:rPr>
                <w:rStyle w:val="InstructionsTabelleText"/>
                <w:rFonts w:ascii="Times New Roman" w:hAnsi="Times New Roman"/>
                <w:sz w:val="24"/>
              </w:rPr>
              <w:t>nels de catégorie 1 bénéficiant d’une clause d’antériorité peut être traité comme des instruments pouvant être éligibles en tant qu’instruments de fonds propres de catégorie 2 en vertu d’une clause d’antériorité.</w:t>
            </w:r>
          </w:p>
        </w:tc>
      </w:tr>
    </w:tbl>
    <w:p w:rsidR="00464F34" w:rsidRPr="00392FFD" w:rsidRDefault="00464F34">
      <w:pPr>
        <w:spacing w:before="0" w:after="0"/>
        <w:jc w:val="left"/>
        <w:rPr>
          <w:rFonts w:ascii="Times New Roman" w:hAnsi="Times New Roman"/>
          <w:sz w:val="24"/>
          <w:u w:val="single"/>
        </w:rPr>
      </w:pPr>
      <w:bookmarkStart w:id="92" w:name="_Toc239157372"/>
      <w:bookmarkStart w:id="93" w:name="_Toc295829844"/>
      <w:bookmarkStart w:id="94" w:name="_Toc330394185"/>
      <w:bookmarkEnd w:id="0"/>
      <w:bookmarkEnd w:id="1"/>
    </w:p>
    <w:p w:rsidR="00464F34" w:rsidRPr="00392FFD" w:rsidRDefault="00125707" w:rsidP="0023700C">
      <w:pPr>
        <w:pStyle w:val="Instructionsberschrift2"/>
        <w:numPr>
          <w:ilvl w:val="0"/>
          <w:numId w:val="0"/>
        </w:numPr>
        <w:ind w:left="357" w:hanging="357"/>
        <w:rPr>
          <w:rFonts w:ascii="Times New Roman" w:hAnsi="Times New Roman" w:cs="Times New Roman"/>
          <w:sz w:val="24"/>
        </w:rPr>
      </w:pPr>
      <w:bookmarkStart w:id="95" w:name="_Toc360188339"/>
      <w:bookmarkStart w:id="96" w:name="_Toc473560887"/>
      <w:bookmarkStart w:id="97" w:name="_Toc496022282"/>
      <w:bookmarkEnd w:id="92"/>
      <w:bookmarkEnd w:id="93"/>
      <w:bookmarkEnd w:id="94"/>
      <w:r>
        <w:rPr>
          <w:rFonts w:ascii="Times New Roman" w:hAnsi="Times New Roman"/>
          <w:sz w:val="24"/>
          <w:u w:val="none"/>
        </w:rPr>
        <w:t>2.</w:t>
      </w:r>
      <w:r>
        <w:tab/>
      </w:r>
      <w:r>
        <w:rPr>
          <w:rFonts w:ascii="Times New Roman" w:hAnsi="Times New Roman"/>
          <w:sz w:val="24"/>
        </w:rPr>
        <w:t>SOLVABILITÉ DU GROUPE: INFORMATIONS SUR LES FILIALES (GS</w:t>
      </w:r>
      <w:bookmarkEnd w:id="95"/>
      <w:r>
        <w:rPr>
          <w:rFonts w:ascii="Times New Roman" w:hAnsi="Times New Roman"/>
          <w:sz w:val="24"/>
        </w:rPr>
        <w:t>)</w:t>
      </w:r>
      <w:bookmarkEnd w:id="96"/>
      <w:bookmarkEnd w:id="97"/>
    </w:p>
    <w:p w:rsidR="00464F34" w:rsidRPr="00392FFD" w:rsidRDefault="00125707" w:rsidP="0023700C">
      <w:pPr>
        <w:pStyle w:val="Instructionsberschrift2"/>
        <w:numPr>
          <w:ilvl w:val="0"/>
          <w:numId w:val="0"/>
        </w:numPr>
        <w:ind w:left="357" w:hanging="357"/>
        <w:rPr>
          <w:rFonts w:ascii="Times New Roman" w:hAnsi="Times New Roman" w:cs="Times New Roman"/>
          <w:sz w:val="24"/>
        </w:rPr>
      </w:pPr>
      <w:bookmarkStart w:id="98" w:name="_Toc264038416"/>
      <w:bookmarkStart w:id="99" w:name="_Toc295829845"/>
      <w:bookmarkStart w:id="100" w:name="_Toc310415011"/>
      <w:bookmarkStart w:id="101" w:name="_Toc330394186"/>
      <w:bookmarkStart w:id="102" w:name="_Toc360188340"/>
      <w:bookmarkStart w:id="103" w:name="_Toc473560888"/>
      <w:bookmarkStart w:id="104" w:name="_Toc496022283"/>
      <w:r>
        <w:rPr>
          <w:rFonts w:ascii="Times New Roman" w:hAnsi="Times New Roman"/>
          <w:sz w:val="24"/>
          <w:u w:val="none"/>
        </w:rPr>
        <w:t>2,1.</w:t>
      </w:r>
      <w:r>
        <w:tab/>
      </w:r>
      <w:r>
        <w:rPr>
          <w:rFonts w:ascii="Times New Roman" w:hAnsi="Times New Roman"/>
          <w:sz w:val="24"/>
        </w:rPr>
        <w:t>Remarques générales</w:t>
      </w:r>
      <w:bookmarkEnd w:id="98"/>
      <w:bookmarkEnd w:id="99"/>
      <w:bookmarkEnd w:id="100"/>
      <w:bookmarkEnd w:id="101"/>
      <w:bookmarkEnd w:id="102"/>
      <w:bookmarkEnd w:id="103"/>
      <w:bookmarkEnd w:id="104"/>
    </w:p>
    <w:p w:rsidR="00464F34" w:rsidRPr="00392FFD" w:rsidRDefault="00125707" w:rsidP="0023700C">
      <w:pPr>
        <w:pStyle w:val="InstructionsText2"/>
        <w:numPr>
          <w:ilvl w:val="0"/>
          <w:numId w:val="0"/>
        </w:numPr>
        <w:ind w:left="1353" w:hanging="360"/>
      </w:pPr>
      <w:r>
        <w:t>26.</w:t>
      </w:r>
      <w:r>
        <w:tab/>
        <w:t>Les modèles C 06.01 et C 06.02 seront utilisés si les exigences de fonds propres sont calculées sur une base consolidée. Ce modèle se compose de quatre parties, afin de collecter des informations sur chacune des différentes entités (y compris l’établissement déclarant) incluses dans le périmètre de consolidation.</w:t>
      </w:r>
    </w:p>
    <w:p w:rsidR="00C93697" w:rsidRPr="000F1CEA" w:rsidRDefault="00125707" w:rsidP="0023700C">
      <w:pPr>
        <w:pStyle w:val="InstructionsText2"/>
        <w:numPr>
          <w:ilvl w:val="0"/>
          <w:numId w:val="0"/>
        </w:numPr>
        <w:ind w:left="1440" w:hanging="360"/>
      </w:pPr>
      <w:r>
        <w:t>a)</w:t>
      </w:r>
      <w:r>
        <w:tab/>
        <w:t>Entités faisant partie du périmètre de consolidation;</w:t>
      </w:r>
    </w:p>
    <w:p w:rsidR="00C93697" w:rsidRPr="000F1CEA" w:rsidRDefault="00125707" w:rsidP="0023700C">
      <w:pPr>
        <w:pStyle w:val="InstructionsText2"/>
        <w:numPr>
          <w:ilvl w:val="0"/>
          <w:numId w:val="0"/>
        </w:numPr>
        <w:ind w:left="1440" w:hanging="360"/>
      </w:pPr>
      <w:r>
        <w:t>b)</w:t>
      </w:r>
      <w:r>
        <w:tab/>
        <w:t>Informations détaillées sur la solvabilité du groupe;</w:t>
      </w:r>
    </w:p>
    <w:p w:rsidR="00C93697" w:rsidRPr="000F1CEA" w:rsidRDefault="00125707" w:rsidP="0023700C">
      <w:pPr>
        <w:pStyle w:val="InstructionsText2"/>
        <w:numPr>
          <w:ilvl w:val="0"/>
          <w:numId w:val="0"/>
        </w:numPr>
        <w:ind w:left="1440" w:hanging="360"/>
      </w:pPr>
      <w:r>
        <w:t>c)</w:t>
      </w:r>
      <w:r>
        <w:tab/>
        <w:t>Informations sur la contribution des différentes entités à la solvabilité du groupe;</w:t>
      </w:r>
    </w:p>
    <w:p w:rsidR="00C93697" w:rsidRPr="000F1CEA" w:rsidRDefault="00125707" w:rsidP="0023700C">
      <w:pPr>
        <w:pStyle w:val="InstructionsText2"/>
        <w:numPr>
          <w:ilvl w:val="0"/>
          <w:numId w:val="0"/>
        </w:numPr>
        <w:ind w:left="1440" w:hanging="360"/>
      </w:pPr>
      <w:r>
        <w:t>d)</w:t>
      </w:r>
      <w:r>
        <w:tab/>
        <w:t>Informations sur les coussins de fonds propres.</w:t>
      </w:r>
    </w:p>
    <w:p w:rsidR="00464F34" w:rsidRPr="00392FFD" w:rsidRDefault="00125707" w:rsidP="0023700C">
      <w:pPr>
        <w:pStyle w:val="InstructionsText2"/>
        <w:numPr>
          <w:ilvl w:val="0"/>
          <w:numId w:val="0"/>
        </w:numPr>
        <w:ind w:left="1353" w:hanging="360"/>
        <w:rPr>
          <w:rStyle w:val="InstructionsTabelleText"/>
          <w:rFonts w:ascii="Times New Roman" w:hAnsi="Times New Roman"/>
          <w:sz w:val="24"/>
        </w:rPr>
      </w:pPr>
      <w:r>
        <w:rPr>
          <w:rStyle w:val="InstructionsTabelleText"/>
          <w:rFonts w:ascii="Times New Roman" w:hAnsi="Times New Roman"/>
          <w:sz w:val="24"/>
        </w:rPr>
        <w:t>27.</w:t>
      </w:r>
      <w:r>
        <w:tab/>
      </w:r>
      <w:r>
        <w:rPr>
          <w:rStyle w:val="InstructionsTabelleText"/>
          <w:rFonts w:ascii="Times New Roman" w:hAnsi="Times New Roman"/>
          <w:sz w:val="24"/>
        </w:rPr>
        <w:t>Les établissements exemptés conformément à l’article 7 du CRR ne remplissent que les colonnes 010 à 060 et 250 à 400.</w:t>
      </w:r>
    </w:p>
    <w:p w:rsidR="004C0508" w:rsidRPr="00392FFD" w:rsidRDefault="00125707" w:rsidP="0023700C">
      <w:pPr>
        <w:pStyle w:val="InstructionsText2"/>
        <w:numPr>
          <w:ilvl w:val="0"/>
          <w:numId w:val="0"/>
        </w:numPr>
        <w:ind w:left="1353" w:hanging="360"/>
      </w:pPr>
      <w:r>
        <w:t>28.</w:t>
      </w:r>
      <w:r>
        <w:tab/>
        <w:t>Les chiffres déclarés tiennent compte de toutes les dispositions transitoires a</w:t>
      </w:r>
      <w:r>
        <w:t>p</w:t>
      </w:r>
      <w:r>
        <w:t>plicables du règlement (UE) nº 575/2013 qui sont applicables à la date de décl</w:t>
      </w:r>
      <w:r>
        <w:t>a</w:t>
      </w:r>
      <w:r>
        <w:t>ration concernée.</w:t>
      </w:r>
    </w:p>
    <w:p w:rsidR="00C93697" w:rsidRPr="00392FFD" w:rsidRDefault="00125707" w:rsidP="0023700C">
      <w:pPr>
        <w:pStyle w:val="Instructionsberschrift2"/>
        <w:numPr>
          <w:ilvl w:val="0"/>
          <w:numId w:val="0"/>
        </w:numPr>
        <w:ind w:left="357" w:hanging="357"/>
        <w:rPr>
          <w:rFonts w:ascii="Times New Roman" w:hAnsi="Times New Roman" w:cs="Times New Roman"/>
          <w:sz w:val="24"/>
        </w:rPr>
      </w:pPr>
      <w:bookmarkStart w:id="105" w:name="_Toc360188341"/>
      <w:bookmarkStart w:id="106" w:name="_Toc473560889"/>
      <w:bookmarkStart w:id="107" w:name="_Toc496022284"/>
      <w:r>
        <w:rPr>
          <w:rFonts w:ascii="Times New Roman" w:hAnsi="Times New Roman"/>
          <w:sz w:val="24"/>
          <w:u w:val="none"/>
        </w:rPr>
        <w:t>2.2.</w:t>
      </w:r>
      <w:r>
        <w:tab/>
      </w:r>
      <w:r>
        <w:rPr>
          <w:rFonts w:ascii="Times New Roman" w:hAnsi="Times New Roman"/>
          <w:sz w:val="24"/>
        </w:rPr>
        <w:t>Informations détaillées sur la solvabilité du groupe</w:t>
      </w:r>
      <w:bookmarkEnd w:id="105"/>
      <w:bookmarkEnd w:id="106"/>
      <w:bookmarkEnd w:id="107"/>
    </w:p>
    <w:p w:rsidR="00464F34" w:rsidRPr="00392FFD" w:rsidRDefault="00125707" w:rsidP="0023700C">
      <w:pPr>
        <w:pStyle w:val="InstructionsText2"/>
        <w:numPr>
          <w:ilvl w:val="0"/>
          <w:numId w:val="0"/>
        </w:numPr>
        <w:ind w:left="1353" w:hanging="360"/>
      </w:pPr>
      <w:r>
        <w:t>29.</w:t>
      </w:r>
      <w:r>
        <w:tab/>
        <w:t>La deuxième partie de ce modèle (Informations détaillées sur la solvabilité du groupe), de la colonne 070 à 210, vise à rassembler des données sur les établi</w:t>
      </w:r>
      <w:r>
        <w:t>s</w:t>
      </w:r>
      <w:r>
        <w:t>sements de crédit et les autres entreprises financières réglementées, qui sont e</w:t>
      </w:r>
      <w:r>
        <w:t>f</w:t>
      </w:r>
      <w:r>
        <w:lastRenderedPageBreak/>
        <w:t>fectivement soumises, sur base individuelle, à des exigences de solvabilité pa</w:t>
      </w:r>
      <w:r>
        <w:t>r</w:t>
      </w:r>
      <w:r>
        <w:t>ticulières. Pour chacune de ces entités faisant partie du périmètre de consolid</w:t>
      </w:r>
      <w:r>
        <w:t>a</w:t>
      </w:r>
      <w:r>
        <w:t xml:space="preserve">tion, cette partie traite des exigences de fonds propres pour chaque catégorie de risque, ainsi que des fonds propres aux fins de solvabilité. </w:t>
      </w:r>
    </w:p>
    <w:p w:rsidR="00464F34" w:rsidRPr="00392FFD" w:rsidRDefault="00125707" w:rsidP="0023700C">
      <w:pPr>
        <w:pStyle w:val="InstructionsText2"/>
        <w:numPr>
          <w:ilvl w:val="0"/>
          <w:numId w:val="0"/>
        </w:numPr>
        <w:ind w:left="1353" w:hanging="360"/>
      </w:pPr>
      <w:r>
        <w:t>30.</w:t>
      </w:r>
      <w:r>
        <w:tab/>
        <w:t>En cas de consolidation proportionnelle des participations, les chiffres conce</w:t>
      </w:r>
      <w:r>
        <w:t>r</w:t>
      </w:r>
      <w:r>
        <w:t>nant les exigences de fonds propres et les fonds propres reflèteront les montants proportionnels respectifs.</w:t>
      </w:r>
    </w:p>
    <w:p w:rsidR="00C93697" w:rsidRPr="00392FFD" w:rsidRDefault="00125707" w:rsidP="0023700C">
      <w:pPr>
        <w:pStyle w:val="Instructionsberschrift2"/>
        <w:numPr>
          <w:ilvl w:val="0"/>
          <w:numId w:val="0"/>
        </w:numPr>
        <w:ind w:left="357" w:hanging="357"/>
        <w:rPr>
          <w:rFonts w:ascii="Times New Roman" w:hAnsi="Times New Roman" w:cs="Times New Roman"/>
          <w:sz w:val="24"/>
        </w:rPr>
      </w:pPr>
      <w:bookmarkStart w:id="108" w:name="_Toc360188342"/>
      <w:bookmarkStart w:id="109" w:name="_Toc473560890"/>
      <w:bookmarkStart w:id="110" w:name="_Toc496022285"/>
      <w:r>
        <w:rPr>
          <w:rFonts w:ascii="Times New Roman" w:hAnsi="Times New Roman"/>
          <w:sz w:val="24"/>
          <w:u w:val="none"/>
        </w:rPr>
        <w:t>2.3.</w:t>
      </w:r>
      <w:r>
        <w:tab/>
      </w:r>
      <w:r>
        <w:rPr>
          <w:rFonts w:ascii="Times New Roman" w:hAnsi="Times New Roman"/>
          <w:sz w:val="24"/>
        </w:rPr>
        <w:t>Informations sur les contributions des différentes entités à la solvabilité du groupe</w:t>
      </w:r>
      <w:bookmarkEnd w:id="108"/>
      <w:bookmarkEnd w:id="109"/>
      <w:bookmarkEnd w:id="110"/>
    </w:p>
    <w:p w:rsidR="00464F34" w:rsidRPr="00392FFD" w:rsidRDefault="00125707" w:rsidP="0023700C">
      <w:pPr>
        <w:pStyle w:val="InstructionsText2"/>
        <w:numPr>
          <w:ilvl w:val="0"/>
          <w:numId w:val="0"/>
        </w:numPr>
        <w:ind w:left="1353" w:hanging="360"/>
      </w:pPr>
      <w:r>
        <w:t>31.</w:t>
      </w:r>
      <w:r>
        <w:tab/>
        <w:t>L’objectif de cette troisième partie (informations sur les contributions à la so</w:t>
      </w:r>
      <w:r>
        <w:t>l</w:t>
      </w:r>
      <w:r>
        <w:t>vabilité du groupe de toutes les entités faisant partie du périmètre de consolid</w:t>
      </w:r>
      <w:r>
        <w:t>a</w:t>
      </w:r>
      <w:r>
        <w:t xml:space="preserve">tion en vertu du CRR), y compris celles qui, sur base individuelle, ne sont pas soumises à des exigences de solvabilité particulières, de la colonne 250 à 400, est d’identifier les entités du groupe qui génèrent les risques et lèvent des fonds propres sur les marchés, sur la base des données disponibles ou pouvant être exploitées sans recalculer le ratio de fonds propres sur une base individuelle ou sous-consolidée. Au niveau de l’entité, les chiffres relatifs aux risques comme aux fonds propres constituent des contributions aux chiffres du groupe et non des éléments d’un ratio de solvabilité individuelle. En conséquence, ils ne sont pas comparables entre eux. </w:t>
      </w:r>
    </w:p>
    <w:p w:rsidR="00464F34" w:rsidRPr="00392FFD" w:rsidRDefault="00125707" w:rsidP="0023700C">
      <w:pPr>
        <w:pStyle w:val="InstructionsText2"/>
        <w:numPr>
          <w:ilvl w:val="0"/>
          <w:numId w:val="0"/>
        </w:numPr>
        <w:ind w:left="1353" w:hanging="360"/>
      </w:pPr>
      <w:r>
        <w:t>32.</w:t>
      </w:r>
      <w:r>
        <w:tab/>
        <w:t>Dans la troisième partie du modèle figurent les montants des intérêts minor</w:t>
      </w:r>
      <w:r>
        <w:t>i</w:t>
      </w:r>
      <w:r>
        <w:t>taires, des fonds propres additionnels de catégorie 1 reconnaissables et des fonds propres de catégorie 2 reconnaissables dans les fonds propres consolidés.</w:t>
      </w:r>
    </w:p>
    <w:p w:rsidR="00464F34" w:rsidRPr="00392FFD" w:rsidRDefault="00125707" w:rsidP="0023700C">
      <w:pPr>
        <w:pStyle w:val="InstructionsText2"/>
        <w:numPr>
          <w:ilvl w:val="0"/>
          <w:numId w:val="0"/>
        </w:numPr>
        <w:ind w:left="1353" w:hanging="360"/>
      </w:pPr>
      <w:r>
        <w:t>33.</w:t>
      </w:r>
      <w:r>
        <w:tab/>
        <w:t>Étant donné que, dans cette troisième partie, il est fait référence aux «contrib</w:t>
      </w:r>
      <w:r>
        <w:t>u</w:t>
      </w:r>
      <w:r>
        <w:t>tions», les chiffres à déclarer diffèreront, le cas échéant, des chiffres déclarés dans les colonnes qui se rapportent aux données détaillées sur la solvabilité du groupe.</w:t>
      </w:r>
    </w:p>
    <w:p w:rsidR="00464F34" w:rsidRPr="00392FFD" w:rsidRDefault="00125707" w:rsidP="0023700C">
      <w:pPr>
        <w:pStyle w:val="InstructionsText2"/>
        <w:numPr>
          <w:ilvl w:val="0"/>
          <w:numId w:val="0"/>
        </w:numPr>
        <w:ind w:left="1353" w:hanging="360"/>
      </w:pPr>
      <w:r>
        <w:t>34.</w:t>
      </w:r>
      <w:r>
        <w:tab/>
        <w:t>Le principe est de supprimer de façon homogène les expositions croisées au sein d'un même groupe, tant sur le plan des risques que des fonds propres, afin de couvrir les montants déclarés dans le modèle CA consolidé du groupe en a</w:t>
      </w:r>
      <w:r>
        <w:t>d</w:t>
      </w:r>
      <w:r>
        <w:t>ditionnant les montants déclarés pour chaque entité dans le modèle «solvabilité du groupe». Pour les cas où le seuil de 1 % n’est pas dépassé, il ne sera pas po</w:t>
      </w:r>
      <w:r>
        <w:t>s</w:t>
      </w:r>
      <w:r>
        <w:t>sible d’établir un lien direct avec le modèle CA.</w:t>
      </w:r>
    </w:p>
    <w:p w:rsidR="00464F34" w:rsidRPr="00392FFD" w:rsidRDefault="00125707" w:rsidP="0023700C">
      <w:pPr>
        <w:pStyle w:val="InstructionsText2"/>
        <w:numPr>
          <w:ilvl w:val="0"/>
          <w:numId w:val="0"/>
        </w:numPr>
        <w:ind w:left="1353" w:hanging="360"/>
      </w:pPr>
      <w:r>
        <w:t>35.</w:t>
      </w:r>
      <w:r>
        <w:tab/>
        <w:t>Les établissements définissent la méthode la plus appropriée de ventilation entre les différentes entités en vue de tenir compte des éventuels effets de la diversif</w:t>
      </w:r>
      <w:r>
        <w:t>i</w:t>
      </w:r>
      <w:r>
        <w:t>cation pour le risque de marché et le risque opérationnel.</w:t>
      </w:r>
    </w:p>
    <w:p w:rsidR="00464F34" w:rsidRPr="00392FFD" w:rsidRDefault="00125707" w:rsidP="0023700C">
      <w:pPr>
        <w:pStyle w:val="InstructionsText2"/>
        <w:numPr>
          <w:ilvl w:val="0"/>
          <w:numId w:val="0"/>
        </w:numPr>
        <w:ind w:left="1353" w:hanging="360"/>
      </w:pPr>
      <w:r>
        <w:t>36.</w:t>
      </w:r>
      <w:r>
        <w:tab/>
        <w:t>Il est possible qu’un groupe consolidé soit inclus dans un autre groupe consol</w:t>
      </w:r>
      <w:r>
        <w:t>i</w:t>
      </w:r>
      <w:r>
        <w:t>dé. Cela signifie que les entités appartenant à un sous-groupe font l’objet d’une déclaration individuelle (entité par entité) dans le modèle GS du groupe entier, même si ce sous-groupe est lui-même soumis à des obligations de déclaration. Si le sous-groupe est soumis à des obligations de déclaration, il remplit égal</w:t>
      </w:r>
      <w:r>
        <w:t>e</w:t>
      </w:r>
      <w:r>
        <w:t>ment le modèle GS sur une base individuelle (entité par entité), bien que ces données soient incluses dans le modèle GS d’un groupe consolidé de niveau s</w:t>
      </w:r>
      <w:r>
        <w:t>u</w:t>
      </w:r>
      <w:r>
        <w:t xml:space="preserve">périeur. </w:t>
      </w:r>
    </w:p>
    <w:p w:rsidR="00464F34" w:rsidRPr="00392FFD" w:rsidRDefault="00125707" w:rsidP="0023700C">
      <w:pPr>
        <w:pStyle w:val="InstructionsText2"/>
        <w:numPr>
          <w:ilvl w:val="0"/>
          <w:numId w:val="0"/>
        </w:numPr>
        <w:ind w:left="1353" w:hanging="360"/>
      </w:pPr>
      <w:r>
        <w:lastRenderedPageBreak/>
        <w:t>37.</w:t>
      </w:r>
      <w:r>
        <w:tab/>
        <w:t>Un établissement déclare les données relatives à la contribution d’une entité lorsque sa contribution au montant total d’exposition au risque dépasse 1 % du montant total d’exposition au risque du groupe ou lorsque sa contribution au t</w:t>
      </w:r>
      <w:r>
        <w:t>o</w:t>
      </w:r>
      <w:r>
        <w:t>tal des fonds propres dépasse 1 % du total des fonds propres du groupe. Ce seuil ne s’applique pas aux filiales ou sous-groupes qui fournissent des fonds propres au groupe (sous la forme d’intérêts minoritaires, d’instruments de fonds propres additionnels de catégorie 1 ou d’instruments de fonds propres de catégorie 2 r</w:t>
      </w:r>
      <w:r>
        <w:t>e</w:t>
      </w:r>
      <w:r>
        <w:t>connaissables inclus dans les fonds propres).</w:t>
      </w:r>
    </w:p>
    <w:p w:rsidR="00464F34" w:rsidRPr="00392FFD" w:rsidRDefault="00125707" w:rsidP="0023700C">
      <w:pPr>
        <w:pStyle w:val="Instructionsberschrift2"/>
        <w:numPr>
          <w:ilvl w:val="0"/>
          <w:numId w:val="0"/>
        </w:numPr>
        <w:ind w:left="357" w:hanging="357"/>
        <w:rPr>
          <w:rFonts w:ascii="Times New Roman" w:hAnsi="Times New Roman" w:cs="Times New Roman"/>
          <w:sz w:val="24"/>
        </w:rPr>
      </w:pPr>
      <w:bookmarkStart w:id="111" w:name="_Toc473560891"/>
      <w:bookmarkStart w:id="112" w:name="_Toc496022286"/>
      <w:r>
        <w:rPr>
          <w:rFonts w:ascii="Times New Roman" w:hAnsi="Times New Roman"/>
          <w:sz w:val="24"/>
          <w:u w:val="none"/>
        </w:rPr>
        <w:t>2.4.</w:t>
      </w:r>
      <w:r>
        <w:tab/>
      </w:r>
      <w:r>
        <w:rPr>
          <w:rFonts w:ascii="Times New Roman" w:hAnsi="Times New Roman"/>
          <w:sz w:val="24"/>
        </w:rPr>
        <w:t>C 06.01 – SOLVABILITÉ DU GROUPE: INFORMATIONS SUR LES FILIALES – Total (GS Total)</w:t>
      </w:r>
      <w:bookmarkEnd w:id="111"/>
      <w:bookmarkEnd w:id="112"/>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8640"/>
      </w:tblGrid>
      <w:tr w:rsidR="00D85AC7" w:rsidRPr="00392FFD" w:rsidTr="00FF36A5">
        <w:tc>
          <w:tcPr>
            <w:tcW w:w="1188" w:type="dxa"/>
            <w:shd w:val="clear" w:color="auto" w:fill="CCCCCC"/>
          </w:tcPr>
          <w:p w:rsidR="00D85AC7" w:rsidRPr="00392FFD" w:rsidRDefault="00D85AC7" w:rsidP="00FF36A5">
            <w:pPr>
              <w:rPr>
                <w:rStyle w:val="InstructionsTabelleText"/>
                <w:rFonts w:ascii="Times New Roman" w:hAnsi="Times New Roman"/>
                <w:sz w:val="24"/>
              </w:rPr>
            </w:pPr>
            <w:r>
              <w:rPr>
                <w:rStyle w:val="InstructionsTabelleText"/>
                <w:rFonts w:ascii="Times New Roman" w:hAnsi="Times New Roman"/>
                <w:sz w:val="24"/>
              </w:rPr>
              <w:t>Colonnes</w:t>
            </w:r>
          </w:p>
        </w:tc>
        <w:tc>
          <w:tcPr>
            <w:tcW w:w="8640" w:type="dxa"/>
            <w:shd w:val="clear" w:color="auto" w:fill="CCCCCC"/>
          </w:tcPr>
          <w:p w:rsidR="00D85AC7" w:rsidRPr="00392FFD" w:rsidRDefault="00D85AC7" w:rsidP="00FF36A5">
            <w:pPr>
              <w:rPr>
                <w:rStyle w:val="InstructionsTabelleText"/>
                <w:rFonts w:ascii="Times New Roman" w:hAnsi="Times New Roman"/>
                <w:sz w:val="24"/>
              </w:rPr>
            </w:pPr>
            <w:r>
              <w:rPr>
                <w:rStyle w:val="InstructionsTabelleText"/>
                <w:rFonts w:ascii="Times New Roman" w:hAnsi="Times New Roman"/>
                <w:sz w:val="24"/>
              </w:rPr>
              <w:t>Instructions</w:t>
            </w:r>
          </w:p>
        </w:tc>
      </w:tr>
      <w:tr w:rsidR="00D85AC7" w:rsidRPr="00392FFD" w:rsidTr="00FF36A5">
        <w:tc>
          <w:tcPr>
            <w:tcW w:w="1188" w:type="dxa"/>
          </w:tcPr>
          <w:p w:rsidR="00D85AC7" w:rsidRPr="00392FFD" w:rsidRDefault="00D85AC7" w:rsidP="00F535E7">
            <w:pPr>
              <w:rPr>
                <w:rStyle w:val="InstructionsTabelleText"/>
                <w:rFonts w:ascii="Times New Roman" w:hAnsi="Times New Roman"/>
                <w:sz w:val="24"/>
              </w:rPr>
            </w:pPr>
            <w:r>
              <w:rPr>
                <w:rStyle w:val="InstructionsTabelleText"/>
                <w:rFonts w:ascii="Times New Roman" w:hAnsi="Times New Roman"/>
                <w:sz w:val="24"/>
              </w:rPr>
              <w:t>250-400</w:t>
            </w:r>
          </w:p>
        </w:tc>
        <w:tc>
          <w:tcPr>
            <w:tcW w:w="8640" w:type="dxa"/>
          </w:tcPr>
          <w:p w:rsidR="00D85AC7" w:rsidRPr="00392FFD" w:rsidRDefault="00D85AC7" w:rsidP="00FF36A5">
            <w:pPr>
              <w:rPr>
                <w:rStyle w:val="InstructionsTabelleberschrift"/>
                <w:rFonts w:ascii="Times New Roman" w:hAnsi="Times New Roman"/>
                <w:sz w:val="24"/>
              </w:rPr>
            </w:pPr>
            <w:r>
              <w:rPr>
                <w:rStyle w:val="InstructionsTabelleberschrift"/>
                <w:rFonts w:ascii="Times New Roman" w:hAnsi="Times New Roman"/>
                <w:sz w:val="24"/>
              </w:rPr>
              <w:t>ENTITÉS COMPRISES DANS LE PÉRIMÈTRE DE CONSOLIDATION</w:t>
            </w:r>
          </w:p>
          <w:p w:rsidR="00D85AC7" w:rsidRPr="00392FFD" w:rsidRDefault="00D85AC7" w:rsidP="00FF36A5">
            <w:pPr>
              <w:rPr>
                <w:rStyle w:val="InstructionsTabelleberschrift"/>
                <w:rFonts w:ascii="Times New Roman" w:hAnsi="Times New Roman"/>
                <w:b w:val="0"/>
                <w:bCs w:val="0"/>
                <w:sz w:val="24"/>
              </w:rPr>
            </w:pPr>
            <w:r>
              <w:rPr>
                <w:rStyle w:val="InstructionsTabelleText"/>
                <w:rFonts w:ascii="Times New Roman" w:hAnsi="Times New Roman"/>
                <w:sz w:val="24"/>
              </w:rPr>
              <w:t>Voir instructions pour C 06.02</w:t>
            </w:r>
          </w:p>
        </w:tc>
      </w:tr>
      <w:tr w:rsidR="00D85AC7" w:rsidRPr="00392FFD" w:rsidTr="00D85AC7">
        <w:tc>
          <w:tcPr>
            <w:tcW w:w="1188" w:type="dxa"/>
            <w:tcBorders>
              <w:top w:val="single" w:sz="4" w:space="0" w:color="auto"/>
              <w:left w:val="single" w:sz="4" w:space="0" w:color="auto"/>
              <w:bottom w:val="single" w:sz="4" w:space="0" w:color="auto"/>
              <w:right w:val="single" w:sz="4" w:space="0" w:color="auto"/>
            </w:tcBorders>
          </w:tcPr>
          <w:p w:rsidR="00D85AC7" w:rsidRPr="00392FFD" w:rsidRDefault="00D85AC7" w:rsidP="00FF36A5">
            <w:pPr>
              <w:rPr>
                <w:rStyle w:val="InstructionsTabelleText"/>
                <w:rFonts w:ascii="Times New Roman" w:hAnsi="Times New Roman"/>
                <w:sz w:val="24"/>
              </w:rPr>
            </w:pPr>
            <w:r>
              <w:rPr>
                <w:rStyle w:val="InstructionsTabelleText"/>
                <w:rFonts w:ascii="Times New Roman" w:hAnsi="Times New Roman"/>
                <w:sz w:val="24"/>
              </w:rPr>
              <w:t>410-480</w:t>
            </w:r>
          </w:p>
        </w:tc>
        <w:tc>
          <w:tcPr>
            <w:tcW w:w="8640" w:type="dxa"/>
            <w:tcBorders>
              <w:top w:val="single" w:sz="4" w:space="0" w:color="auto"/>
              <w:left w:val="single" w:sz="4" w:space="0" w:color="auto"/>
              <w:bottom w:val="single" w:sz="4" w:space="0" w:color="auto"/>
              <w:right w:val="single" w:sz="4" w:space="0" w:color="auto"/>
            </w:tcBorders>
          </w:tcPr>
          <w:p w:rsidR="00D85AC7" w:rsidRPr="00392FFD" w:rsidRDefault="00D85AC7" w:rsidP="00FF36A5">
            <w:pPr>
              <w:rPr>
                <w:rStyle w:val="InstructionsTabelleberschrift"/>
                <w:rFonts w:ascii="Times New Roman" w:hAnsi="Times New Roman"/>
                <w:sz w:val="24"/>
              </w:rPr>
            </w:pPr>
            <w:r>
              <w:rPr>
                <w:rStyle w:val="InstructionsTabelleberschrift"/>
                <w:rFonts w:ascii="Times New Roman" w:hAnsi="Times New Roman"/>
                <w:sz w:val="24"/>
              </w:rPr>
              <w:t>COUSSINS DE FONDS PROPRES</w:t>
            </w:r>
          </w:p>
          <w:p w:rsidR="00D85AC7" w:rsidRPr="00392FFD" w:rsidRDefault="00D85AC7" w:rsidP="00FF36A5">
            <w:pPr>
              <w:rPr>
                <w:rStyle w:val="InstructionsTabelleberschrift"/>
                <w:rFonts w:ascii="Times New Roman" w:hAnsi="Times New Roman"/>
                <w:sz w:val="24"/>
              </w:rPr>
            </w:pPr>
            <w:r>
              <w:rPr>
                <w:rStyle w:val="InstructionsTabelleText"/>
                <w:rFonts w:ascii="Times New Roman" w:hAnsi="Times New Roman"/>
                <w:sz w:val="24"/>
              </w:rPr>
              <w:t>Voir instructions pour C 06.02</w:t>
            </w:r>
          </w:p>
        </w:tc>
      </w:tr>
    </w:tbl>
    <w:p w:rsidR="00D85AC7" w:rsidRPr="00392FFD" w:rsidRDefault="00D85AC7" w:rsidP="00622B37">
      <w:pPr>
        <w:pStyle w:val="InstructionsText"/>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8640"/>
      </w:tblGrid>
      <w:tr w:rsidR="00D85AC7" w:rsidRPr="00392FFD" w:rsidTr="00FF36A5">
        <w:tc>
          <w:tcPr>
            <w:tcW w:w="1188" w:type="dxa"/>
            <w:shd w:val="clear" w:color="auto" w:fill="CCCCCC"/>
          </w:tcPr>
          <w:p w:rsidR="00D85AC7" w:rsidRPr="00392FFD" w:rsidRDefault="00D85AC7" w:rsidP="00FF36A5">
            <w:pPr>
              <w:rPr>
                <w:rStyle w:val="InstructionsTabelleText"/>
                <w:rFonts w:ascii="Times New Roman" w:hAnsi="Times New Roman"/>
                <w:sz w:val="24"/>
              </w:rPr>
            </w:pPr>
            <w:r>
              <w:rPr>
                <w:rStyle w:val="InstructionsTabelleText"/>
                <w:rFonts w:ascii="Times New Roman" w:hAnsi="Times New Roman"/>
                <w:sz w:val="24"/>
              </w:rPr>
              <w:t>Lignes</w:t>
            </w:r>
          </w:p>
        </w:tc>
        <w:tc>
          <w:tcPr>
            <w:tcW w:w="8640" w:type="dxa"/>
            <w:shd w:val="clear" w:color="auto" w:fill="CCCCCC"/>
          </w:tcPr>
          <w:p w:rsidR="00D85AC7" w:rsidRPr="00392FFD" w:rsidRDefault="00D85AC7" w:rsidP="00FF36A5">
            <w:pPr>
              <w:rPr>
                <w:rStyle w:val="InstructionsTabelleText"/>
                <w:rFonts w:ascii="Times New Roman" w:hAnsi="Times New Roman"/>
                <w:sz w:val="24"/>
              </w:rPr>
            </w:pPr>
            <w:r>
              <w:rPr>
                <w:rStyle w:val="InstructionsTabelleText"/>
                <w:rFonts w:ascii="Times New Roman" w:hAnsi="Times New Roman"/>
                <w:sz w:val="24"/>
              </w:rPr>
              <w:t>Instructions</w:t>
            </w:r>
          </w:p>
        </w:tc>
      </w:tr>
      <w:tr w:rsidR="00D85AC7" w:rsidRPr="00392FFD" w:rsidTr="00FF36A5">
        <w:tc>
          <w:tcPr>
            <w:tcW w:w="1188" w:type="dxa"/>
          </w:tcPr>
          <w:p w:rsidR="00D85AC7" w:rsidRPr="00392FFD" w:rsidRDefault="00D85AC7" w:rsidP="00FF36A5">
            <w:pPr>
              <w:rPr>
                <w:rStyle w:val="InstructionsTabelleText"/>
                <w:rFonts w:ascii="Times New Roman" w:hAnsi="Times New Roman"/>
                <w:sz w:val="24"/>
              </w:rPr>
            </w:pPr>
            <w:r>
              <w:rPr>
                <w:rStyle w:val="InstructionsTabelleText"/>
                <w:rFonts w:ascii="Times New Roman" w:hAnsi="Times New Roman"/>
                <w:sz w:val="24"/>
              </w:rPr>
              <w:t>010</w:t>
            </w:r>
          </w:p>
        </w:tc>
        <w:tc>
          <w:tcPr>
            <w:tcW w:w="8640" w:type="dxa"/>
          </w:tcPr>
          <w:p w:rsidR="00D85AC7" w:rsidRPr="00392FFD" w:rsidRDefault="00D85AC7" w:rsidP="00FF36A5">
            <w:pPr>
              <w:rPr>
                <w:rStyle w:val="InstructionsTabelleberschrift"/>
                <w:rFonts w:ascii="Times New Roman" w:hAnsi="Times New Roman"/>
                <w:sz w:val="24"/>
              </w:rPr>
            </w:pPr>
            <w:r>
              <w:rPr>
                <w:rStyle w:val="InstructionsTabelleberschrift"/>
                <w:rFonts w:ascii="Times New Roman" w:hAnsi="Times New Roman"/>
                <w:sz w:val="24"/>
              </w:rPr>
              <w:t>TOTAL</w:t>
            </w:r>
          </w:p>
          <w:p w:rsidR="00D85AC7" w:rsidRPr="00392FFD" w:rsidRDefault="00D85AC7" w:rsidP="00D85AC7">
            <w:pPr>
              <w:rPr>
                <w:rStyle w:val="InstructionsTabelleberschrift"/>
                <w:rFonts w:ascii="Times New Roman" w:hAnsi="Times New Roman"/>
                <w:b w:val="0"/>
                <w:bCs w:val="0"/>
                <w:sz w:val="24"/>
              </w:rPr>
            </w:pPr>
            <w:r>
              <w:rPr>
                <w:rStyle w:val="InstructionsTabelleText"/>
                <w:rFonts w:ascii="Times New Roman" w:hAnsi="Times New Roman"/>
                <w:sz w:val="24"/>
              </w:rPr>
              <w:t>Le total représente la somme des valeurs déclarées dans toutes les lignes du modèle C 06.02.</w:t>
            </w:r>
          </w:p>
        </w:tc>
      </w:tr>
    </w:tbl>
    <w:p w:rsidR="00D85AC7" w:rsidRPr="00392FFD" w:rsidRDefault="00D85AC7" w:rsidP="00622B37">
      <w:pPr>
        <w:pStyle w:val="InstructionsText"/>
      </w:pPr>
    </w:p>
    <w:p w:rsidR="00D85AC7" w:rsidRPr="00392FFD" w:rsidRDefault="00125707" w:rsidP="0023700C">
      <w:pPr>
        <w:pStyle w:val="Instructionsberschrift2"/>
        <w:numPr>
          <w:ilvl w:val="0"/>
          <w:numId w:val="0"/>
        </w:numPr>
        <w:ind w:left="357" w:hanging="357"/>
        <w:rPr>
          <w:rFonts w:ascii="Times New Roman" w:hAnsi="Times New Roman" w:cs="Times New Roman"/>
          <w:sz w:val="24"/>
        </w:rPr>
      </w:pPr>
      <w:bookmarkStart w:id="113" w:name="_Toc473560892"/>
      <w:bookmarkStart w:id="114" w:name="_Toc496022287"/>
      <w:r>
        <w:rPr>
          <w:rFonts w:ascii="Times New Roman" w:hAnsi="Times New Roman"/>
          <w:sz w:val="24"/>
          <w:u w:val="none"/>
        </w:rPr>
        <w:t>2.5.</w:t>
      </w:r>
      <w:r>
        <w:tab/>
      </w:r>
      <w:r>
        <w:rPr>
          <w:rFonts w:ascii="Times New Roman" w:hAnsi="Times New Roman"/>
          <w:sz w:val="24"/>
        </w:rPr>
        <w:t>C 06.02 – SOLVABILITÉ DU GROUPE: INFORMATIONS SUR LES FILIALES (GS)</w:t>
      </w:r>
      <w:bookmarkEnd w:id="113"/>
      <w:bookmarkEnd w:id="114"/>
    </w:p>
    <w:p w:rsidR="00D85AC7" w:rsidRPr="00392FFD" w:rsidRDefault="00D85AC7" w:rsidP="00622B37">
      <w:pPr>
        <w:pStyle w:val="InstructionsText"/>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8640"/>
      </w:tblGrid>
      <w:tr w:rsidR="00464F34" w:rsidRPr="00392FFD" w:rsidTr="00464F34">
        <w:tc>
          <w:tcPr>
            <w:tcW w:w="1188" w:type="dxa"/>
            <w:shd w:val="clear" w:color="auto" w:fill="CCCCCC"/>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Colonnes</w:t>
            </w:r>
          </w:p>
        </w:tc>
        <w:tc>
          <w:tcPr>
            <w:tcW w:w="8640" w:type="dxa"/>
            <w:shd w:val="clear" w:color="auto" w:fill="CCCCCC"/>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Instructions</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010-060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ENTITÉS COMPRISES DANS LE PÉRIMÈTRE DE CONSOLIDATION</w:t>
            </w:r>
          </w:p>
          <w:p w:rsidR="00464F34" w:rsidRPr="00392FFD" w:rsidRDefault="00464F34" w:rsidP="003C1BB1">
            <w:pPr>
              <w:rPr>
                <w:rStyle w:val="InstructionsTabelleberschrift"/>
                <w:rFonts w:ascii="Times New Roman" w:hAnsi="Times New Roman"/>
                <w:b w:val="0"/>
                <w:bCs w:val="0"/>
                <w:sz w:val="24"/>
              </w:rPr>
            </w:pPr>
            <w:r>
              <w:rPr>
                <w:rStyle w:val="InstructionsTabelleText"/>
                <w:rFonts w:ascii="Times New Roman" w:hAnsi="Times New Roman"/>
                <w:sz w:val="24"/>
              </w:rPr>
              <w:t>Ce modèle vise à collecter des informations sur toutes les entités faisant partie du p</w:t>
            </w:r>
            <w:r>
              <w:rPr>
                <w:rStyle w:val="InstructionsTabelleText"/>
                <w:rFonts w:ascii="Times New Roman" w:hAnsi="Times New Roman"/>
                <w:sz w:val="24"/>
              </w:rPr>
              <w:t>é</w:t>
            </w:r>
            <w:r>
              <w:rPr>
                <w:rStyle w:val="InstructionsTabelleText"/>
                <w:rFonts w:ascii="Times New Roman" w:hAnsi="Times New Roman"/>
                <w:sz w:val="24"/>
              </w:rPr>
              <w:t xml:space="preserve">rimètre de consolidation, sur une base individuelle (entité par entité), conformément au </w:t>
            </w:r>
            <w:r>
              <w:rPr>
                <w:rFonts w:ascii="Times New Roman" w:hAnsi="Times New Roman"/>
                <w:sz w:val="24"/>
              </w:rPr>
              <w:t xml:space="preserve">chapitre 2 du titre II de la première partie </w:t>
            </w:r>
            <w:r>
              <w:rPr>
                <w:rStyle w:val="InstructionsTabelleText"/>
                <w:rFonts w:ascii="Times New Roman" w:hAnsi="Times New Roman"/>
                <w:sz w:val="24"/>
              </w:rPr>
              <w:t>du CRR</w:t>
            </w:r>
            <w:r>
              <w:rPr>
                <w:rFonts w:ascii="Times New Roman" w:hAnsi="Times New Roman"/>
                <w:sz w:val="24"/>
              </w:rPr>
              <w:t>.</w:t>
            </w:r>
            <w:r>
              <w:rPr>
                <w:rStyle w:val="InstructionsTabelleText"/>
                <w:rFonts w:ascii="Times New Roman" w:hAnsi="Times New Roman"/>
                <w:sz w:val="24"/>
              </w:rPr>
              <w:t xml:space="preserve"> </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010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NOM</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Nom de l’entité faisant partie du périmètre de consolidation.</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020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CODE</w:t>
            </w:r>
          </w:p>
          <w:p w:rsidR="009A47E2" w:rsidRPr="00392FFD" w:rsidRDefault="009A47E2" w:rsidP="00464F34">
            <w:pPr>
              <w:rPr>
                <w:rStyle w:val="InstructionsTabelleText"/>
                <w:rFonts w:ascii="Times New Roman" w:hAnsi="Times New Roman"/>
                <w:sz w:val="24"/>
              </w:rPr>
            </w:pPr>
            <w:r>
              <w:rPr>
                <w:rStyle w:val="InstructionsTabelleText"/>
                <w:rFonts w:ascii="Times New Roman" w:hAnsi="Times New Roman"/>
                <w:sz w:val="24"/>
              </w:rPr>
              <w:t>Ce code est un identifiant de la ligne et est propre à chaque ligne du tableau.</w:t>
            </w:r>
          </w:p>
          <w:p w:rsidR="002E136A"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Code attribué à l’entité faisant partie du périmètre de consolidation.</w:t>
            </w:r>
          </w:p>
          <w:p w:rsidR="00464F34" w:rsidRPr="00392FFD" w:rsidRDefault="00464F34" w:rsidP="00622B37">
            <w:pPr>
              <w:pStyle w:val="InstructionsText"/>
              <w:rPr>
                <w:rStyle w:val="InstructionsTabelleText"/>
                <w:rFonts w:ascii="Times New Roman" w:hAnsi="Times New Roman"/>
                <w:sz w:val="24"/>
              </w:rPr>
            </w:pPr>
            <w:r>
              <w:rPr>
                <w:rStyle w:val="FormatvorlageInstructionsTabelleText"/>
                <w:rFonts w:ascii="Times New Roman" w:hAnsi="Times New Roman"/>
                <w:sz w:val="24"/>
              </w:rPr>
              <w:lastRenderedPageBreak/>
              <w:t xml:space="preserve">La composition réelle du code dépend du système national de reddition des comptes. </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lastRenderedPageBreak/>
              <w:t>025</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CODE D’IDENTIFICATION DE L’ENTITÉ JURIDIQUE (LEI)</w:t>
            </w:r>
          </w:p>
          <w:p w:rsidR="00C504D3" w:rsidRPr="00392FFD" w:rsidRDefault="00C504D3" w:rsidP="00C504D3">
            <w:pPr>
              <w:rPr>
                <w:rStyle w:val="InstructionsTabelleText"/>
                <w:rFonts w:ascii="Times New Roman" w:hAnsi="Times New Roman"/>
                <w:sz w:val="24"/>
              </w:rPr>
            </w:pPr>
            <w:r>
              <w:rPr>
                <w:rStyle w:val="InstructionsTabelleText"/>
                <w:rFonts w:ascii="Times New Roman" w:hAnsi="Times New Roman"/>
                <w:sz w:val="24"/>
              </w:rPr>
              <w:t>Le code LEI (pour Legal Entity Identification) est un code de référence proposé par le Conseil de stabilité financière (CSF) et validé par le G20, qui vise à permettre d’identifier de manière univoque dans le monde entier toutes les parties d’une transa</w:t>
            </w:r>
            <w:r>
              <w:rPr>
                <w:rStyle w:val="InstructionsTabelleText"/>
                <w:rFonts w:ascii="Times New Roman" w:hAnsi="Times New Roman"/>
                <w:sz w:val="24"/>
              </w:rPr>
              <w:t>c</w:t>
            </w:r>
            <w:r>
              <w:rPr>
                <w:rStyle w:val="InstructionsTabelleText"/>
                <w:rFonts w:ascii="Times New Roman" w:hAnsi="Times New Roman"/>
                <w:sz w:val="24"/>
              </w:rPr>
              <w:t>tion financière.</w:t>
            </w:r>
          </w:p>
          <w:p w:rsidR="00A10C90" w:rsidRPr="00392FFD" w:rsidRDefault="00C504D3" w:rsidP="009A47E2">
            <w:pPr>
              <w:rPr>
                <w:rStyle w:val="InstructionsTabelleText"/>
                <w:rFonts w:ascii="Times New Roman" w:hAnsi="Times New Roman"/>
                <w:sz w:val="24"/>
              </w:rPr>
            </w:pPr>
            <w:r>
              <w:rPr>
                <w:rStyle w:val="InstructionsTabelleText"/>
                <w:rFonts w:ascii="Times New Roman" w:hAnsi="Times New Roman"/>
                <w:sz w:val="24"/>
              </w:rPr>
              <w:t>En attendant que le système LEI international (Global LEI System) soit pleinement opérationnel, des codes pré-LEI sont attribués aux contreparties par une unité opér</w:t>
            </w:r>
            <w:r>
              <w:rPr>
                <w:rStyle w:val="InstructionsTabelleText"/>
                <w:rFonts w:ascii="Times New Roman" w:hAnsi="Times New Roman"/>
                <w:sz w:val="24"/>
              </w:rPr>
              <w:t>a</w:t>
            </w:r>
            <w:r>
              <w:rPr>
                <w:rStyle w:val="InstructionsTabelleText"/>
                <w:rFonts w:ascii="Times New Roman" w:hAnsi="Times New Roman"/>
                <w:sz w:val="24"/>
              </w:rPr>
              <w:t>tionnelle locale qui a été approuvée par le Comité de surveillance réglementaire (LEI ROC) (des informations détaillées peuvent être obtenues sur le site web www.leiroc.org)</w:t>
            </w:r>
            <w:r>
              <w:rPr>
                <w:rStyle w:val="InstructionsTabelleText"/>
                <w:rFonts w:ascii="Times New Roman" w:hAnsi="Times New Roman"/>
                <w:i/>
                <w:sz w:val="24"/>
              </w:rPr>
              <w:t>).</w:t>
            </w:r>
          </w:p>
          <w:p w:rsidR="00464F34" w:rsidRPr="00392FFD" w:rsidRDefault="009A47E2" w:rsidP="00DD2C1E">
            <w:pPr>
              <w:rPr>
                <w:rStyle w:val="InstructionsTabelleberschrift"/>
                <w:rFonts w:ascii="Times New Roman" w:hAnsi="Times New Roman"/>
                <w:sz w:val="24"/>
              </w:rPr>
            </w:pPr>
            <w:r>
              <w:rPr>
                <w:rStyle w:val="InstructionsTabelleText"/>
                <w:rFonts w:ascii="Times New Roman" w:hAnsi="Times New Roman"/>
                <w:sz w:val="24"/>
              </w:rPr>
              <w:t>Lorsqu’il existe un code LEI pour une contrepartie donnée, il sera utilisé pour ident</w:t>
            </w:r>
            <w:r>
              <w:rPr>
                <w:rStyle w:val="InstructionsTabelleText"/>
                <w:rFonts w:ascii="Times New Roman" w:hAnsi="Times New Roman"/>
                <w:sz w:val="24"/>
              </w:rPr>
              <w:t>i</w:t>
            </w:r>
            <w:r>
              <w:rPr>
                <w:rStyle w:val="InstructionsTabelleText"/>
                <w:rFonts w:ascii="Times New Roman" w:hAnsi="Times New Roman"/>
                <w:sz w:val="24"/>
              </w:rPr>
              <w:t xml:space="preserve">fier cette dernière. </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030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ÉTABLISSEMENT OU ÉQUIVALENT (OUI / NON)</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On indiquera «OUI» lorsque l’entité est soumise aux exigences de fonds propres en vertu du CRR et de la CRD ou de dispositions au moins équivalentes aux dispositions de Bâle.</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Dans le cas contraire, on indiquera «NON».</w:t>
            </w:r>
          </w:p>
          <w:p w:rsidR="00464F34" w:rsidRPr="00392FFD" w:rsidRDefault="00464F34" w:rsidP="00464F34">
            <w:pPr>
              <w:rPr>
                <w:rStyle w:val="InstructionsTabelleText"/>
                <w:rFonts w:ascii="Times New Roman" w:hAnsi="Times New Roman"/>
                <w:sz w:val="24"/>
              </w:rPr>
            </w:pPr>
          </w:p>
          <w:p w:rsidR="00464F34" w:rsidRPr="00125707" w:rsidRDefault="00125707" w:rsidP="0023700C">
            <w:pPr>
              <w:ind w:left="372" w:hanging="360"/>
              <w:contextualSpacing/>
              <w:rPr>
                <w:rStyle w:val="InstructionsTabelleText"/>
                <w:rFonts w:ascii="Times New Roman" w:hAnsi="Times New Roman"/>
                <w:sz w:val="24"/>
              </w:rPr>
            </w:pPr>
            <w:r>
              <w:rPr>
                <w:rStyle w:val="InstructionsTabelleText"/>
                <w:rFonts w:ascii="Wingdings" w:hAnsi="Wingdings"/>
                <w:sz w:val="24"/>
              </w:rPr>
              <w:t></w:t>
            </w:r>
            <w:r>
              <w:tab/>
            </w:r>
            <w:r>
              <w:rPr>
                <w:rStyle w:val="InstructionsTabelleText"/>
                <w:rFonts w:ascii="Times New Roman" w:hAnsi="Times New Roman"/>
                <w:sz w:val="24"/>
              </w:rPr>
              <w:t>Intérêts minoritaires:</w:t>
            </w:r>
          </w:p>
          <w:p w:rsidR="00464F34" w:rsidRPr="00392FFD" w:rsidRDefault="00417984" w:rsidP="00464F34">
            <w:pPr>
              <w:rPr>
                <w:rStyle w:val="InstructionsTabelleText"/>
                <w:rFonts w:ascii="Times New Roman" w:hAnsi="Times New Roman"/>
                <w:sz w:val="24"/>
              </w:rPr>
            </w:pPr>
            <w:r>
              <w:rPr>
                <w:rFonts w:ascii="Times New Roman" w:hAnsi="Times New Roman"/>
                <w:sz w:val="24"/>
              </w:rPr>
              <w:t>Article 81, paragraphe 1, point a) ii), et article 82, paragraphe 1, point a) ii), du CRR</w:t>
            </w:r>
          </w:p>
          <w:p w:rsidR="00464F34" w:rsidRPr="00392FFD" w:rsidRDefault="00464F34" w:rsidP="00464F34">
            <w:pPr>
              <w:rPr>
                <w:rStyle w:val="InstructionsTabelleText"/>
                <w:rFonts w:ascii="Times New Roman" w:hAnsi="Times New Roman"/>
                <w:sz w:val="24"/>
              </w:rPr>
            </w:pPr>
            <w:r>
              <w:rPr>
                <w:rFonts w:ascii="Times New Roman" w:hAnsi="Times New Roman"/>
                <w:sz w:val="24"/>
              </w:rPr>
              <w:t>En ce qui concerne les intérêts minoritaires et les instruments de fonds propres add</w:t>
            </w:r>
            <w:r>
              <w:rPr>
                <w:rFonts w:ascii="Times New Roman" w:hAnsi="Times New Roman"/>
                <w:sz w:val="24"/>
              </w:rPr>
              <w:t>i</w:t>
            </w:r>
            <w:r>
              <w:rPr>
                <w:rFonts w:ascii="Times New Roman" w:hAnsi="Times New Roman"/>
                <w:sz w:val="24"/>
              </w:rPr>
              <w:t>tionnels de catégorie 1 et les instruments de fonds propres de catégorie 2 émis par les filiales, les filiales dont les instruments peuvent être éligibles seront des établissements ou des entreprises soumis aux exigences du CRR en vertu de la législation nationale en vigueur.</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040</w:t>
            </w:r>
          </w:p>
        </w:tc>
        <w:tc>
          <w:tcPr>
            <w:tcW w:w="8640" w:type="dxa"/>
          </w:tcPr>
          <w:p w:rsidR="00464F34" w:rsidRPr="00392FFD" w:rsidRDefault="00464F34" w:rsidP="00464F34">
            <w:pPr>
              <w:rPr>
                <w:rFonts w:ascii="Times New Roman" w:hAnsi="Times New Roman"/>
                <w:b/>
                <w:sz w:val="24"/>
                <w:u w:val="single"/>
              </w:rPr>
            </w:pPr>
            <w:r>
              <w:rPr>
                <w:rFonts w:ascii="Times New Roman" w:hAnsi="Times New Roman"/>
                <w:b/>
                <w:sz w:val="24"/>
                <w:u w:val="single"/>
              </w:rPr>
              <w:t xml:space="preserve">PÉRIMÈTRE DES DONNÉES: </w:t>
            </w:r>
            <w:r>
              <w:rPr>
                <w:rFonts w:ascii="Times New Roman" w:hAnsi="Times New Roman"/>
                <w:b/>
                <w:caps/>
                <w:sz w:val="24"/>
                <w:u w:val="single"/>
              </w:rPr>
              <w:t>sur base individuelle intégral</w:t>
            </w:r>
            <w:r>
              <w:rPr>
                <w:rFonts w:ascii="Times New Roman" w:hAnsi="Times New Roman"/>
                <w:b/>
                <w:caps/>
                <w:sz w:val="24"/>
                <w:u w:val="single"/>
              </w:rPr>
              <w:t>e</w:t>
            </w:r>
            <w:r>
              <w:rPr>
                <w:rFonts w:ascii="Times New Roman" w:hAnsi="Times New Roman"/>
                <w:b/>
                <w:caps/>
                <w:sz w:val="24"/>
                <w:u w:val="single"/>
              </w:rPr>
              <w:t>ment consolidée (SF) OU sur base individuelle partiell</w:t>
            </w:r>
            <w:r>
              <w:rPr>
                <w:rFonts w:ascii="Times New Roman" w:hAnsi="Times New Roman"/>
                <w:b/>
                <w:caps/>
                <w:sz w:val="24"/>
                <w:u w:val="single"/>
              </w:rPr>
              <w:t>e</w:t>
            </w:r>
            <w:r>
              <w:rPr>
                <w:rFonts w:ascii="Times New Roman" w:hAnsi="Times New Roman"/>
                <w:b/>
                <w:caps/>
                <w:sz w:val="24"/>
                <w:u w:val="single"/>
              </w:rPr>
              <w:t>ment consolidée (SP)</w:t>
            </w:r>
          </w:p>
          <w:p w:rsidR="00464F34" w:rsidRPr="00392FFD" w:rsidRDefault="00464F34" w:rsidP="009E5DCC">
            <w:pPr>
              <w:rPr>
                <w:rStyle w:val="Heading1Char"/>
                <w:rFonts w:ascii="Times New Roman" w:hAnsi="Times New Roman"/>
                <w:sz w:val="24"/>
                <w:szCs w:val="24"/>
              </w:rPr>
            </w:pPr>
            <w:r>
              <w:rPr>
                <w:rStyle w:val="InstructionsTabelleText"/>
                <w:rFonts w:ascii="Times New Roman" w:hAnsi="Times New Roman"/>
                <w:sz w:val="24"/>
              </w:rPr>
              <w:t>Indiquer «SF»</w:t>
            </w:r>
            <w:r>
              <w:rPr>
                <w:rFonts w:ascii="Times New Roman" w:hAnsi="Times New Roman"/>
                <w:sz w:val="24"/>
              </w:rPr>
              <w:t xml:space="preserve"> pour les filiales individuelles totalement consolidées.</w:t>
            </w:r>
            <w:r>
              <w:rPr>
                <w:rStyle w:val="Heading1Char"/>
                <w:rFonts w:ascii="Times New Roman" w:hAnsi="Times New Roman"/>
                <w:sz w:val="24"/>
              </w:rPr>
              <w:t xml:space="preserve"> </w:t>
            </w:r>
          </w:p>
          <w:p w:rsidR="00464F34" w:rsidRPr="00392FFD" w:rsidRDefault="009E5DCC" w:rsidP="00941843">
            <w:pPr>
              <w:rPr>
                <w:rStyle w:val="InstructionsTabelleText"/>
                <w:rFonts w:ascii="Times New Roman" w:hAnsi="Times New Roman"/>
                <w:smallCaps/>
                <w:sz w:val="24"/>
              </w:rPr>
            </w:pPr>
            <w:r>
              <w:rPr>
                <w:rStyle w:val="InstructionsTabelleText"/>
                <w:rFonts w:ascii="Times New Roman" w:hAnsi="Times New Roman"/>
                <w:sz w:val="24"/>
              </w:rPr>
              <w:t>Indiquer «SP»</w:t>
            </w:r>
            <w:r>
              <w:rPr>
                <w:rFonts w:ascii="Times New Roman" w:hAnsi="Times New Roman"/>
                <w:sz w:val="24"/>
              </w:rPr>
              <w:t xml:space="preserve"> pour les filiales individuelles partiellement consolidées.</w:t>
            </w:r>
            <w:r>
              <w:rPr>
                <w:rStyle w:val="InstructionsTabelleText"/>
                <w:rFonts w:ascii="Times New Roman" w:hAnsi="Times New Roman"/>
                <w:i/>
                <w:sz w:val="24"/>
              </w:rPr>
              <w:t xml:space="preserve"> </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050</w:t>
            </w:r>
          </w:p>
        </w:tc>
        <w:tc>
          <w:tcPr>
            <w:tcW w:w="8640" w:type="dxa"/>
          </w:tcPr>
          <w:p w:rsidR="00464F34" w:rsidRPr="00392FFD" w:rsidRDefault="00464F34" w:rsidP="00464F34">
            <w:pPr>
              <w:rPr>
                <w:rFonts w:ascii="Times New Roman" w:hAnsi="Times New Roman"/>
                <w:b/>
                <w:sz w:val="24"/>
                <w:u w:val="single"/>
              </w:rPr>
            </w:pPr>
            <w:r>
              <w:rPr>
                <w:rFonts w:ascii="Times New Roman" w:hAnsi="Times New Roman"/>
                <w:b/>
                <w:sz w:val="24"/>
                <w:u w:val="single"/>
              </w:rPr>
              <w:t xml:space="preserve">CODE PAYS </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 xml:space="preserve">Les établissements mentionnent le code pays en deux lettres, selon la norme ISO 3166-2. </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060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PARTICIPATION (%)</w:t>
            </w:r>
          </w:p>
          <w:p w:rsidR="00464F34" w:rsidRPr="00392FFD" w:rsidRDefault="00464F34" w:rsidP="00417984">
            <w:pPr>
              <w:rPr>
                <w:rStyle w:val="InstructionsTabelleText"/>
                <w:rFonts w:ascii="Times New Roman" w:hAnsi="Times New Roman"/>
                <w:sz w:val="24"/>
              </w:rPr>
            </w:pPr>
            <w:r>
              <w:rPr>
                <w:rStyle w:val="InstructionsTabelleText"/>
                <w:rFonts w:ascii="Times New Roman" w:hAnsi="Times New Roman"/>
                <w:sz w:val="24"/>
              </w:rPr>
              <w:t>Ce pourcentage correspond à la part de capital réelle que détient l’entreprise mère dans des filiales. En cas de consolidation intégrale d’une filiale directe, la part réelle est par exemple 70 %. Conformément à l’article 4, point 16, du CRR, la participation dans une filiale d’une filiale à déclarer résulte d’une multiplication des parts entre les filiales concernées.</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lastRenderedPageBreak/>
              <w:t>070-240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INFORMATIONS SUR LES ENTITÉS SOUMISES À DES EXIGENCES DE FONDS PROPRES</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La section consacrée aux informations détaillées (à savoir les colonnes 070 à 240) permet de collecter des données uniquement sur les entités et sous-groupes qui, puisqu’ils font partie du périmètre de consolidation (</w:t>
            </w:r>
            <w:r>
              <w:t>Première partie, titre II, chapitre 2, du CRR</w:t>
            </w:r>
            <w:r>
              <w:rPr>
                <w:rFonts w:ascii="Times New Roman" w:hAnsi="Times New Roman"/>
                <w:sz w:val="24"/>
              </w:rPr>
              <w:t>), sont effectivement soumis à des exigences de solvabilité en vertu du CRR ou de dispositions au moins équivalentes aux dispositions Bâle (soit lorsque la réponse est «OUI» dans la colonne 030).</w:t>
            </w:r>
            <w:r>
              <w:rPr>
                <w:rStyle w:val="InstructionsTabelleText"/>
                <w:rFonts w:ascii="Times New Roman" w:hAnsi="Times New Roman"/>
                <w:sz w:val="24"/>
              </w:rPr>
              <w:t xml:space="preserve"> </w:t>
            </w:r>
          </w:p>
          <w:p w:rsidR="00464F34" w:rsidRPr="00392FFD" w:rsidRDefault="00464F34" w:rsidP="00464F34">
            <w:pPr>
              <w:rPr>
                <w:rFonts w:ascii="Times New Roman" w:hAnsi="Times New Roman"/>
                <w:sz w:val="24"/>
              </w:rPr>
            </w:pPr>
            <w:r>
              <w:rPr>
                <w:rFonts w:ascii="Times New Roman" w:hAnsi="Times New Roman"/>
                <w:sz w:val="24"/>
              </w:rPr>
              <w:t xml:space="preserve">On inclura des informations au sujet de tous les établissements d’un groupe consolidé qui sont soumis à des exigences de fonds propres, où qu’ils soient situés. </w:t>
            </w:r>
          </w:p>
          <w:p w:rsidR="00464F34" w:rsidRPr="00392FFD" w:rsidRDefault="00464F34" w:rsidP="00464F34">
            <w:pPr>
              <w:rPr>
                <w:rFonts w:ascii="Times New Roman" w:hAnsi="Times New Roman"/>
                <w:sz w:val="24"/>
              </w:rPr>
            </w:pPr>
            <w:r>
              <w:rPr>
                <w:rFonts w:ascii="Times New Roman" w:hAnsi="Times New Roman"/>
                <w:sz w:val="24"/>
              </w:rPr>
              <w:t>Les informations déclarées dans cette partie le seront conformément aux règles de so</w:t>
            </w:r>
            <w:r>
              <w:rPr>
                <w:rFonts w:ascii="Times New Roman" w:hAnsi="Times New Roman"/>
                <w:sz w:val="24"/>
              </w:rPr>
              <w:t>l</w:t>
            </w:r>
            <w:r>
              <w:rPr>
                <w:rFonts w:ascii="Times New Roman" w:hAnsi="Times New Roman"/>
                <w:sz w:val="24"/>
              </w:rPr>
              <w:t>vabilité appliquées sur le lieu d’activité de l’établissement (dès lors, pour ce modèle, il n’est pas nécessaire de procéder à un double calcul sur une base individuelle, selon les règles appliquées par l’établissement mère). Lorsque les règlementations locales en matière de solvabilité diffèrent du CRR et en l’absence d’une ventilation comparable, les informations seront complétées dès lors que des données affichant une granularité similaire sont disponibles. C’est la raison pour laquelle cette partie constitue un modèle factuel synthétisant les calculs auxquels les différents établissements d’un groupe do</w:t>
            </w:r>
            <w:r>
              <w:rPr>
                <w:rFonts w:ascii="Times New Roman" w:hAnsi="Times New Roman"/>
                <w:sz w:val="24"/>
              </w:rPr>
              <w:t>i</w:t>
            </w:r>
            <w:r>
              <w:rPr>
                <w:rFonts w:ascii="Times New Roman" w:hAnsi="Times New Roman"/>
                <w:sz w:val="24"/>
              </w:rPr>
              <w:t>vent procéder, sans perdre de vue que certains de ces établissements peuvent être so</w:t>
            </w:r>
            <w:r>
              <w:rPr>
                <w:rFonts w:ascii="Times New Roman" w:hAnsi="Times New Roman"/>
                <w:sz w:val="24"/>
              </w:rPr>
              <w:t>u</w:t>
            </w:r>
            <w:r>
              <w:rPr>
                <w:rFonts w:ascii="Times New Roman" w:hAnsi="Times New Roman"/>
                <w:sz w:val="24"/>
              </w:rPr>
              <w:t>mis à des règles de solvabilité différentes.</w:t>
            </w:r>
          </w:p>
          <w:p w:rsidR="00464F34" w:rsidRPr="00392FFD" w:rsidRDefault="00464F34" w:rsidP="00464F34">
            <w:pPr>
              <w:rPr>
                <w:rStyle w:val="InstructionsTabelleText"/>
                <w:rFonts w:ascii="Times New Roman" w:hAnsi="Times New Roman"/>
                <w:b/>
                <w:sz w:val="24"/>
                <w:u w:val="single"/>
              </w:rPr>
            </w:pPr>
            <w:r>
              <w:rPr>
                <w:rStyle w:val="InstructionsTabelleText"/>
                <w:rFonts w:ascii="Times New Roman" w:hAnsi="Times New Roman"/>
                <w:b/>
                <w:sz w:val="24"/>
                <w:u w:val="single"/>
              </w:rPr>
              <w:t>Déclaration des frais généraux des entreprises d’investissement:</w:t>
            </w:r>
          </w:p>
          <w:p w:rsidR="00464F34" w:rsidRPr="00392FFD" w:rsidRDefault="00464F34" w:rsidP="00464F34">
            <w:pPr>
              <w:autoSpaceDE w:val="0"/>
              <w:autoSpaceDN w:val="0"/>
              <w:adjustRightInd w:val="0"/>
              <w:spacing w:after="0"/>
              <w:rPr>
                <w:rStyle w:val="InstructionsTabelleText"/>
                <w:rFonts w:ascii="Times New Roman" w:hAnsi="Times New Roman"/>
                <w:sz w:val="24"/>
              </w:rPr>
            </w:pPr>
            <w:r>
              <w:rPr>
                <w:rStyle w:val="InstructionsTabelleText"/>
                <w:rFonts w:ascii="Times New Roman" w:hAnsi="Times New Roman"/>
                <w:sz w:val="24"/>
              </w:rPr>
              <w:t>Dans leur calcul du ratio de fonds propres, les entreprises d’investissement incluront les exigences de fonds propres liées aux frais généraux, conformément aux articles 95, 96, 97 et 98 du CRR.</w:t>
            </w:r>
          </w:p>
          <w:p w:rsidR="00464F34" w:rsidRPr="00392FFD" w:rsidRDefault="00464F34" w:rsidP="00941843">
            <w:pPr>
              <w:autoSpaceDE w:val="0"/>
              <w:autoSpaceDN w:val="0"/>
              <w:adjustRightInd w:val="0"/>
              <w:spacing w:after="0"/>
              <w:rPr>
                <w:rStyle w:val="InstructionsTabelleText"/>
                <w:rFonts w:ascii="Times New Roman" w:hAnsi="Times New Roman"/>
                <w:sz w:val="24"/>
              </w:rPr>
            </w:pPr>
            <w:r>
              <w:rPr>
                <w:rStyle w:val="InstructionsTabelleText"/>
                <w:rFonts w:ascii="Times New Roman" w:hAnsi="Times New Roman"/>
                <w:sz w:val="24"/>
              </w:rPr>
              <w:t xml:space="preserve">La part du montant total d’exposition au risque liée aux frais généraux fixes figurera à la colonne 100 de la deuxième partie de ce modèle. </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070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 xml:space="preserve">MONTANT TOTAL D'EXPOSITION AU RISQUE </w:t>
            </w:r>
          </w:p>
          <w:p w:rsidR="00464F34" w:rsidRPr="00392FFD" w:rsidRDefault="00464F34" w:rsidP="00464F34">
            <w:pPr>
              <w:rPr>
                <w:rStyle w:val="InstructionsTabelleberschrift"/>
                <w:rFonts w:ascii="Times New Roman" w:hAnsi="Times New Roman"/>
                <w:sz w:val="24"/>
              </w:rPr>
            </w:pPr>
            <w:r>
              <w:rPr>
                <w:rStyle w:val="InstructionsTabelleText"/>
                <w:rFonts w:ascii="Times New Roman" w:hAnsi="Times New Roman"/>
                <w:sz w:val="24"/>
              </w:rPr>
              <w:t>Déclarer la somme des colonnes 080 à 110.</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080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RISQUES DE CRÉDIT, DE CRÉDIT DE CONTREPARTIE ET DE DILUTION, POSITIONS DE NÉGOCIATION NON DÉNOUÉES ET RISQUE DE RÈGL</w:t>
            </w:r>
            <w:r>
              <w:rPr>
                <w:rStyle w:val="InstructionsTabelleberschrift"/>
                <w:rFonts w:ascii="Times New Roman" w:hAnsi="Times New Roman"/>
                <w:sz w:val="24"/>
              </w:rPr>
              <w:t>E</w:t>
            </w:r>
            <w:r>
              <w:rPr>
                <w:rStyle w:val="InstructionsTabelleberschrift"/>
                <w:rFonts w:ascii="Times New Roman" w:hAnsi="Times New Roman"/>
                <w:sz w:val="24"/>
              </w:rPr>
              <w:t>MENT/LIVRAISON</w:t>
            </w:r>
          </w:p>
          <w:p w:rsidR="00464F34" w:rsidRPr="00392FFD" w:rsidRDefault="00464F34" w:rsidP="00E871FE">
            <w:pPr>
              <w:rPr>
                <w:rStyle w:val="InstructionsTabelleText"/>
                <w:rFonts w:ascii="Times New Roman" w:hAnsi="Times New Roman"/>
                <w:sz w:val="24"/>
              </w:rPr>
            </w:pPr>
            <w:r>
              <w:rPr>
                <w:rStyle w:val="InstructionsTabelleText"/>
                <w:rFonts w:ascii="Times New Roman" w:hAnsi="Times New Roman"/>
                <w:sz w:val="24"/>
              </w:rPr>
              <w:t>Le montant à déclarer dans cette colonne correspond à la somme des montants d'exp</w:t>
            </w:r>
            <w:r>
              <w:rPr>
                <w:rStyle w:val="InstructionsTabelleText"/>
                <w:rFonts w:ascii="Times New Roman" w:hAnsi="Times New Roman"/>
                <w:sz w:val="24"/>
              </w:rPr>
              <w:t>o</w:t>
            </w:r>
            <w:r>
              <w:rPr>
                <w:rStyle w:val="InstructionsTabelleText"/>
                <w:rFonts w:ascii="Times New Roman" w:hAnsi="Times New Roman"/>
                <w:sz w:val="24"/>
              </w:rPr>
              <w:t>sition au risque égaux ou équivalents aux montants à déclarer à la ligne 040 «</w:t>
            </w:r>
            <w:r>
              <w:rPr>
                <w:rStyle w:val="InstructionsTabelleberschrift"/>
                <w:rFonts w:ascii="Times New Roman" w:hAnsi="Times New Roman"/>
                <w:b w:val="0"/>
                <w:sz w:val="24"/>
                <w:u w:val="none"/>
              </w:rPr>
              <w:t>MO</w:t>
            </w:r>
            <w:r>
              <w:rPr>
                <w:rStyle w:val="InstructionsTabelleberschrift"/>
                <w:rFonts w:ascii="Times New Roman" w:hAnsi="Times New Roman"/>
                <w:b w:val="0"/>
                <w:sz w:val="24"/>
                <w:u w:val="none"/>
              </w:rPr>
              <w:t>N</w:t>
            </w:r>
            <w:r>
              <w:rPr>
                <w:rStyle w:val="InstructionsTabelleberschrift"/>
                <w:rFonts w:ascii="Times New Roman" w:hAnsi="Times New Roman"/>
                <w:b w:val="0"/>
                <w:sz w:val="24"/>
                <w:u w:val="none"/>
              </w:rPr>
              <w:t>TANTS D'EXPOSITION PONDÉRÉS</w:t>
            </w:r>
            <w:r>
              <w:rPr>
                <w:rStyle w:val="InstructionsTabelleText"/>
                <w:rFonts w:ascii="Times New Roman" w:hAnsi="Times New Roman"/>
                <w:sz w:val="24"/>
              </w:rPr>
              <w:t xml:space="preserve"> POUR LES RISQUES DE CRÉDIT, DE CRÉDIT DE CONTREPARTIE ET DE DILUTION ET LES POSITIONS DE N</w:t>
            </w:r>
            <w:r>
              <w:rPr>
                <w:rStyle w:val="InstructionsTabelleText"/>
                <w:rFonts w:ascii="Times New Roman" w:hAnsi="Times New Roman"/>
                <w:sz w:val="24"/>
              </w:rPr>
              <w:t>É</w:t>
            </w:r>
            <w:r>
              <w:rPr>
                <w:rStyle w:val="InstructionsTabelleText"/>
                <w:rFonts w:ascii="Times New Roman" w:hAnsi="Times New Roman"/>
                <w:sz w:val="24"/>
              </w:rPr>
              <w:t>GOCIATION NON DÉNOUÉES», et des montants des exigences de fonds propres égaux ou équivalents aux montants à déclarer à la ligne 490 «MONTANT D'EXPOS</w:t>
            </w:r>
            <w:r>
              <w:rPr>
                <w:rStyle w:val="InstructionsTabelleText"/>
                <w:rFonts w:ascii="Times New Roman" w:hAnsi="Times New Roman"/>
                <w:sz w:val="24"/>
              </w:rPr>
              <w:t>I</w:t>
            </w:r>
            <w:r>
              <w:rPr>
                <w:rStyle w:val="InstructionsTabelleText"/>
                <w:rFonts w:ascii="Times New Roman" w:hAnsi="Times New Roman"/>
                <w:sz w:val="24"/>
              </w:rPr>
              <w:t>TION AU RISQUE DE RÈGLEMENT/LIVRAISON» du modèle CA2.</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090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RISQUE DE POSITION, RISQUE DE CHANGE OU RISQUE SUR MATIÈRES PREMIÈRES</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Le montant à déclarer dans cette colonne correspond au montant des exigences de fonds propres égaux ou équivalents aux montants à déclarer à la ligne 520 «MO</w:t>
            </w:r>
            <w:r>
              <w:rPr>
                <w:rStyle w:val="InstructionsTabelleText"/>
                <w:rFonts w:ascii="Times New Roman" w:hAnsi="Times New Roman"/>
                <w:sz w:val="24"/>
              </w:rPr>
              <w:t>N</w:t>
            </w:r>
            <w:r>
              <w:rPr>
                <w:rStyle w:val="InstructionsTabelleText"/>
                <w:rFonts w:ascii="Times New Roman" w:hAnsi="Times New Roman"/>
                <w:sz w:val="24"/>
              </w:rPr>
              <w:t xml:space="preserve">TANT TOTAL D’EXPOSITION AU RISQUE DE POSITION, AU RISQUE DE </w:t>
            </w:r>
            <w:r>
              <w:rPr>
                <w:rStyle w:val="InstructionsTabelleText"/>
                <w:rFonts w:ascii="Times New Roman" w:hAnsi="Times New Roman"/>
                <w:sz w:val="24"/>
              </w:rPr>
              <w:lastRenderedPageBreak/>
              <w:t>CHANGE ET AU RISQUE SUR MATIÈRES PREMIÈRES» du modèle CA2.</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lastRenderedPageBreak/>
              <w:t>100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RISQUE OPÉRATIONNEL</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Le montant à déclarer dans cette colonne correspond au montant d’exposition au risque égal ou équivalant au montant déclaré à la ligne 590 «MONTANT TOTAL D’EXPOSITION AU RISQUE OPÉRATIONNEL (ROp)» du modèle CA2.</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Les frais généraux fixes sont inclus dans cette colonne, y compris la ligne 630 «MO</w:t>
            </w:r>
            <w:r>
              <w:rPr>
                <w:rStyle w:val="InstructionsTabelleText"/>
                <w:rFonts w:ascii="Times New Roman" w:hAnsi="Times New Roman"/>
                <w:sz w:val="24"/>
              </w:rPr>
              <w:t>N</w:t>
            </w:r>
            <w:r>
              <w:rPr>
                <w:rStyle w:val="InstructionsTabelleText"/>
                <w:rFonts w:ascii="Times New Roman" w:hAnsi="Times New Roman"/>
                <w:sz w:val="24"/>
              </w:rPr>
              <w:t>TANT D’EXPOSITION AU RISQUE SUPPLÉMENTAIRE LIÉ AUX FRAIS FIXES» du modèle CA2.</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110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MONTANTS D'EXPOSITION AUX AUTRES RISQUES</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Le montant à déclarer dans cette colonne correspond au montant d’exposition au risque non spécifiquement repris plus haut. Il s’agit de la somme des montants des lignes 640, 680 et 690 du modèle CA2.</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120-240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INFORMATIONS DÉTAILLÉES SUR LA SOLVABILITÉ DU GROUPE FONDS PROPRES</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Les données déclarées dans les colonnes suivantes le seront conformément aux règles de solvabilité appliquées sur le lieu d’activité de l’entité ou du sous-groupe.</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120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FONDS PROPRES</w:t>
            </w:r>
          </w:p>
          <w:p w:rsidR="00464F34" w:rsidRPr="00392FFD" w:rsidRDefault="00464F34" w:rsidP="00464F34">
            <w:pPr>
              <w:rPr>
                <w:rStyle w:val="InstructionsTabelleberschrift"/>
                <w:rFonts w:ascii="Times New Roman" w:hAnsi="Times New Roman"/>
                <w:sz w:val="24"/>
              </w:rPr>
            </w:pPr>
            <w:r>
              <w:rPr>
                <w:rStyle w:val="InstructionsTabelleText"/>
                <w:rFonts w:ascii="Times New Roman" w:hAnsi="Times New Roman"/>
                <w:sz w:val="24"/>
              </w:rPr>
              <w:t>Le montant à déclarer dans cette colonne correspond au montant des fonds propres égaux ou équivalant aux montants à déclarer à la ligne 010 «FONDS PROPRES» du modèle CA1.</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130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 xml:space="preserve">DONT: FONDS PROPRES RECONNAISSABLES </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 xml:space="preserve">Article 82 du CRR </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 xml:space="preserve">Cette colonne n’est utile que pour les filiales totalement consolidées déclarées sur une base individuelle qui sont des établissements. </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En ce qui concerne les filiales susmentionnées, les participations qualifiées sont des instruments (plus les résultats non distribués, les comptes des primes d’émission et les autres réserves y afférents) détenus par des personnes autres que les entreprises faisant partie du périmètre de consolidation selon le CRR.</w:t>
            </w:r>
          </w:p>
          <w:p w:rsidR="00464F34" w:rsidRPr="00392FFD" w:rsidRDefault="00464F34" w:rsidP="00464F34">
            <w:pPr>
              <w:rPr>
                <w:rStyle w:val="InstructionsTabelleberschrift"/>
                <w:rFonts w:ascii="Times New Roman" w:hAnsi="Times New Roman"/>
                <w:sz w:val="24"/>
              </w:rPr>
            </w:pPr>
            <w:r>
              <w:rPr>
                <w:rStyle w:val="InstructionsTabelleText"/>
                <w:rFonts w:ascii="Times New Roman" w:hAnsi="Times New Roman"/>
                <w:sz w:val="24"/>
              </w:rPr>
              <w:t>Le montant à déclarer intègrera les effets de toute disposition transitoire. Il s’agira du montant éligible à la date de déclaration.</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140</w:t>
            </w:r>
          </w:p>
        </w:tc>
        <w:tc>
          <w:tcPr>
            <w:tcW w:w="8640" w:type="dxa"/>
          </w:tcPr>
          <w:p w:rsidR="00464F34" w:rsidRPr="00392FFD" w:rsidRDefault="000044B7" w:rsidP="00464F34">
            <w:pPr>
              <w:rPr>
                <w:rStyle w:val="InstructionsTabelleberschrift"/>
                <w:rFonts w:ascii="Times New Roman" w:hAnsi="Times New Roman"/>
                <w:b w:val="0"/>
                <w:sz w:val="24"/>
              </w:rPr>
            </w:pPr>
            <w:r>
              <w:rPr>
                <w:rStyle w:val="InstructionsTabelleberschrift"/>
                <w:rFonts w:ascii="Times New Roman" w:hAnsi="Times New Roman"/>
                <w:sz w:val="24"/>
              </w:rPr>
              <w:t>INSTRUMENTS DE FONDS PROPRES AFFÉRENTS, RÉSULTATS NON DISTRIBUÉS ET COMPTES DES PRIMES D’ÉMISSION ET AUTRES R</w:t>
            </w:r>
            <w:r>
              <w:rPr>
                <w:rStyle w:val="InstructionsTabelleberschrift"/>
                <w:rFonts w:ascii="Times New Roman" w:hAnsi="Times New Roman"/>
                <w:sz w:val="24"/>
              </w:rPr>
              <w:t>É</w:t>
            </w:r>
            <w:r>
              <w:rPr>
                <w:rStyle w:val="InstructionsTabelleberschrift"/>
                <w:rFonts w:ascii="Times New Roman" w:hAnsi="Times New Roman"/>
                <w:sz w:val="24"/>
              </w:rPr>
              <w:t>SERVES AFFÉRENTS</w:t>
            </w:r>
          </w:p>
          <w:p w:rsidR="00464F34" w:rsidRPr="00392FFD" w:rsidRDefault="00464F34" w:rsidP="00464F34">
            <w:pPr>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 87, paragraphe 1, point b), du CRR</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150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TOTAL FONDS PROPRES DE CATÉGORIE 1</w:t>
            </w:r>
          </w:p>
          <w:p w:rsidR="00464F34" w:rsidRPr="00392FFD" w:rsidRDefault="00464F34" w:rsidP="00464F34">
            <w:pPr>
              <w:rPr>
                <w:rStyle w:val="InstructionsTabelleberschrift"/>
                <w:rFonts w:ascii="Times New Roman" w:hAnsi="Times New Roman"/>
                <w:sz w:val="24"/>
              </w:rPr>
            </w:pPr>
            <w:r>
              <w:rPr>
                <w:rStyle w:val="InstructionsTabelleText"/>
                <w:rFonts w:ascii="Times New Roman" w:hAnsi="Times New Roman"/>
                <w:sz w:val="24"/>
              </w:rPr>
              <w:t>Article 25 du CRR</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160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DONT: FONDS PROPRES DE CATÉGORIE 1 RECONNAISSABLES</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lastRenderedPageBreak/>
              <w:t>Article 82 du CRR</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Cette colonne n’est utile que pour les filiales totalement consolidées déclarées sur une base individuelle qui sont des établissements.</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En ce qui concerne les filiales susmentionnées, les participations qualifiées sont des instruments (plus les résultats non distribués et les comptes des primes d’émission y a</w:t>
            </w:r>
            <w:r>
              <w:rPr>
                <w:rStyle w:val="InstructionsTabelleText"/>
                <w:rFonts w:ascii="Times New Roman" w:hAnsi="Times New Roman"/>
                <w:sz w:val="24"/>
              </w:rPr>
              <w:t>f</w:t>
            </w:r>
            <w:r>
              <w:rPr>
                <w:rStyle w:val="InstructionsTabelleText"/>
                <w:rFonts w:ascii="Times New Roman" w:hAnsi="Times New Roman"/>
                <w:sz w:val="24"/>
              </w:rPr>
              <w:t>férents) détenus par des personnes autres que les entreprises faisant partie du périmètre de consolidation selon le CRR.</w:t>
            </w:r>
          </w:p>
          <w:p w:rsidR="00464F34" w:rsidRPr="00392FFD" w:rsidRDefault="00464F34" w:rsidP="003C1BB1">
            <w:pPr>
              <w:rPr>
                <w:rStyle w:val="InstructionsTabelleberschrift"/>
                <w:rFonts w:ascii="Times New Roman" w:hAnsi="Times New Roman"/>
                <w:sz w:val="24"/>
              </w:rPr>
            </w:pPr>
            <w:r>
              <w:rPr>
                <w:rStyle w:val="InstructionsTabelleText"/>
                <w:rFonts w:ascii="Times New Roman" w:hAnsi="Times New Roman"/>
                <w:sz w:val="24"/>
              </w:rPr>
              <w:t>Le montant à déclarer intègrera les effets de toute disposition transitoire. Il s’agira du montant éligible à la date de déclaration.</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lastRenderedPageBreak/>
              <w:t>170</w:t>
            </w:r>
          </w:p>
        </w:tc>
        <w:tc>
          <w:tcPr>
            <w:tcW w:w="8640" w:type="dxa"/>
          </w:tcPr>
          <w:p w:rsidR="00144F03" w:rsidRPr="00392FFD" w:rsidRDefault="000044B7" w:rsidP="00144F03">
            <w:pPr>
              <w:rPr>
                <w:rStyle w:val="InstructionsTabelleberschrift"/>
                <w:rFonts w:ascii="Times New Roman" w:hAnsi="Times New Roman"/>
                <w:b w:val="0"/>
                <w:sz w:val="24"/>
              </w:rPr>
            </w:pPr>
            <w:r>
              <w:rPr>
                <w:rStyle w:val="InstructionsTabelleberschrift"/>
                <w:rFonts w:ascii="Times New Roman" w:hAnsi="Times New Roman"/>
                <w:sz w:val="24"/>
              </w:rPr>
              <w:t>INSTRUMENTS DE FONDS PROPRES T1 AFFÉRENTS, RÉSULTATS NON DISTRIBUÉS ET COMPTES DES PRIMES D’ÉMISSION AFFÉRENTS</w:t>
            </w:r>
          </w:p>
          <w:p w:rsidR="00464F34" w:rsidRPr="00392FFD" w:rsidRDefault="00144F03" w:rsidP="003C1BB1">
            <w:pPr>
              <w:rPr>
                <w:rStyle w:val="InstructionsTabelleberschrift"/>
                <w:rFonts w:ascii="Times New Roman" w:hAnsi="Times New Roman"/>
                <w:sz w:val="24"/>
              </w:rPr>
            </w:pPr>
            <w:r>
              <w:rPr>
                <w:rStyle w:val="InstructionsTabelleberschrift"/>
                <w:rFonts w:ascii="Times New Roman" w:hAnsi="Times New Roman"/>
                <w:b w:val="0"/>
                <w:sz w:val="24"/>
                <w:u w:val="none"/>
              </w:rPr>
              <w:t>Article 85, paragraphe 1, point b), du CRR</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180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FONDS PROPRES DE BASE DE CATÉGORIE 1</w:t>
            </w:r>
          </w:p>
          <w:p w:rsidR="00464F34" w:rsidRPr="00392FFD" w:rsidRDefault="00464F34" w:rsidP="003C1BB1">
            <w:pPr>
              <w:rPr>
                <w:rStyle w:val="InstructionsTabelleberschrift"/>
                <w:rFonts w:ascii="Times New Roman" w:hAnsi="Times New Roman"/>
                <w:sz w:val="24"/>
              </w:rPr>
            </w:pPr>
            <w:r>
              <w:rPr>
                <w:rStyle w:val="InstructionsTabelleText"/>
                <w:rFonts w:ascii="Times New Roman" w:hAnsi="Times New Roman"/>
                <w:sz w:val="24"/>
              </w:rPr>
              <w:t>Article 50 du CRR</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190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DONT: INTÉRÊTS MINORITAIRES</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Article 81 du CRR</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Cette colonne ne sera utile que pour les filiales totalement consolidées qui sont des ét</w:t>
            </w:r>
            <w:r>
              <w:rPr>
                <w:rStyle w:val="InstructionsTabelleText"/>
                <w:rFonts w:ascii="Times New Roman" w:hAnsi="Times New Roman"/>
                <w:sz w:val="24"/>
              </w:rPr>
              <w:t>a</w:t>
            </w:r>
            <w:r>
              <w:rPr>
                <w:rStyle w:val="InstructionsTabelleText"/>
                <w:rFonts w:ascii="Times New Roman" w:hAnsi="Times New Roman"/>
                <w:sz w:val="24"/>
              </w:rPr>
              <w:t>blissements, à l’exception des filiales visées à l’article 84, paragraphe 3, du CRR. Chaque filiale sera prise en compte sur une base sous-consolidée aux fins de tous les calculs requis par l’article 84 du CRR, si nécessaire, conformément à l’article 84, par</w:t>
            </w:r>
            <w:r>
              <w:rPr>
                <w:rStyle w:val="InstructionsTabelleText"/>
                <w:rFonts w:ascii="Times New Roman" w:hAnsi="Times New Roman"/>
                <w:sz w:val="24"/>
              </w:rPr>
              <w:t>a</w:t>
            </w:r>
            <w:r>
              <w:rPr>
                <w:rStyle w:val="InstructionsTabelleText"/>
                <w:rFonts w:ascii="Times New Roman" w:hAnsi="Times New Roman"/>
                <w:sz w:val="24"/>
              </w:rPr>
              <w:t>graphe 2. Sinon, elles seront prises en considération sur une base individuelle.</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En ce qui concerne le CRR et ce modèle, les intérêts minoritaires sont, pour les filiales susmentionnées, les instruments de fonds propres de base de catégorie 1 (plus les résu</w:t>
            </w:r>
            <w:r>
              <w:rPr>
                <w:rStyle w:val="InstructionsTabelleText"/>
                <w:rFonts w:ascii="Times New Roman" w:hAnsi="Times New Roman"/>
                <w:sz w:val="24"/>
              </w:rPr>
              <w:t>l</w:t>
            </w:r>
            <w:r>
              <w:rPr>
                <w:rStyle w:val="InstructionsTabelleText"/>
                <w:rFonts w:ascii="Times New Roman" w:hAnsi="Times New Roman"/>
                <w:sz w:val="24"/>
              </w:rPr>
              <w:t>tats non distribués et les comptes des primes d’émission y afférents) détenus par des personnes autres que les entreprises faisant partie du périmètre de consolidation selon le CRR.</w:t>
            </w:r>
          </w:p>
          <w:p w:rsidR="00464F34" w:rsidRPr="00392FFD" w:rsidRDefault="00464F34" w:rsidP="00464F34">
            <w:pPr>
              <w:rPr>
                <w:rStyle w:val="InstructionsTabelleberschrift"/>
                <w:rFonts w:ascii="Times New Roman" w:hAnsi="Times New Roman"/>
                <w:sz w:val="24"/>
              </w:rPr>
            </w:pPr>
            <w:r>
              <w:rPr>
                <w:rStyle w:val="InstructionsTabelleText"/>
                <w:rFonts w:ascii="Times New Roman" w:hAnsi="Times New Roman"/>
                <w:sz w:val="24"/>
              </w:rPr>
              <w:t>Le montant à déclarer intègrera les effets de toute disposition transitoire. Il s’agira du montant éligible à la date de déclaration.</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200</w:t>
            </w:r>
          </w:p>
        </w:tc>
        <w:tc>
          <w:tcPr>
            <w:tcW w:w="8640" w:type="dxa"/>
          </w:tcPr>
          <w:p w:rsidR="00144F03" w:rsidRPr="00392FFD" w:rsidRDefault="000044B7" w:rsidP="00144F03">
            <w:pPr>
              <w:rPr>
                <w:rStyle w:val="InstructionsTabelleberschrift"/>
                <w:rFonts w:ascii="Times New Roman" w:hAnsi="Times New Roman"/>
                <w:b w:val="0"/>
                <w:sz w:val="24"/>
              </w:rPr>
            </w:pPr>
            <w:r>
              <w:rPr>
                <w:rStyle w:val="InstructionsTabelleberschrift"/>
                <w:rFonts w:ascii="Times New Roman" w:hAnsi="Times New Roman"/>
                <w:sz w:val="24"/>
              </w:rPr>
              <w:t>INSTRUMENTS DE FONDS PROPRES AFFÉRENTS, RÉSULTATS NON DISTRIBUÉS ET COMPTES DES PRIMES D’ÉMISSION ET AUTRES R</w:t>
            </w:r>
            <w:r>
              <w:rPr>
                <w:rStyle w:val="InstructionsTabelleberschrift"/>
                <w:rFonts w:ascii="Times New Roman" w:hAnsi="Times New Roman"/>
                <w:sz w:val="24"/>
              </w:rPr>
              <w:t>É</w:t>
            </w:r>
            <w:r>
              <w:rPr>
                <w:rStyle w:val="InstructionsTabelleberschrift"/>
                <w:rFonts w:ascii="Times New Roman" w:hAnsi="Times New Roman"/>
                <w:sz w:val="24"/>
              </w:rPr>
              <w:t>SERVES AFFÉRENTS</w:t>
            </w:r>
          </w:p>
          <w:p w:rsidR="00464F34" w:rsidRPr="00392FFD" w:rsidRDefault="00144F03" w:rsidP="000044B7">
            <w:pPr>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 84, paragraphe 1, point b), du CRR</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210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FONDS PROPRES ADDITIONNELS DE CATÉGORIE 1</w:t>
            </w:r>
          </w:p>
          <w:p w:rsidR="00464F34" w:rsidRPr="00392FFD" w:rsidRDefault="00464F34" w:rsidP="00464F34">
            <w:pPr>
              <w:rPr>
                <w:rStyle w:val="InstructionsTabelleberschrift"/>
                <w:rFonts w:ascii="Times New Roman" w:hAnsi="Times New Roman"/>
                <w:sz w:val="24"/>
              </w:rPr>
            </w:pPr>
            <w:r>
              <w:rPr>
                <w:rStyle w:val="InstructionsTabelleText"/>
                <w:rFonts w:ascii="Times New Roman" w:hAnsi="Times New Roman"/>
                <w:sz w:val="24"/>
              </w:rPr>
              <w:t>Article 61 du CRR</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220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DONT: FONDS PROPRES ADDITIONNELS DE CATÉGORIE 1 RECO</w:t>
            </w:r>
            <w:r>
              <w:rPr>
                <w:rStyle w:val="InstructionsTabelleberschrift"/>
                <w:rFonts w:ascii="Times New Roman" w:hAnsi="Times New Roman"/>
                <w:sz w:val="24"/>
              </w:rPr>
              <w:t>N</w:t>
            </w:r>
            <w:r>
              <w:rPr>
                <w:rStyle w:val="InstructionsTabelleberschrift"/>
                <w:rFonts w:ascii="Times New Roman" w:hAnsi="Times New Roman"/>
                <w:sz w:val="24"/>
              </w:rPr>
              <w:t>NAISSABLES</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Articles 82 et 83 du CRR</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Cette colonne ne sera utile que pour les filiales totalement consolidées déclarées sur une base individuelle qui sont des établissements, à l'exception des filiales visées à l'a</w:t>
            </w:r>
            <w:r>
              <w:rPr>
                <w:rStyle w:val="InstructionsTabelleText"/>
                <w:rFonts w:ascii="Times New Roman" w:hAnsi="Times New Roman"/>
                <w:sz w:val="24"/>
              </w:rPr>
              <w:t>r</w:t>
            </w:r>
            <w:r>
              <w:rPr>
                <w:rStyle w:val="InstructionsTabelleText"/>
                <w:rFonts w:ascii="Times New Roman" w:hAnsi="Times New Roman"/>
                <w:sz w:val="24"/>
              </w:rPr>
              <w:lastRenderedPageBreak/>
              <w:t>ticle 85, paragraphe 2, du CRR. Chaque filiale sera prise en compte sur une base sous-consolidée aux fins de tous les calculs requis par l’article 85 du CRR, si nécessaire, conformément à l’article 85, paragraphe 2. Sinon, elles seront prises en considération sur une base individuelle.</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En ce qui concerne le CRR et ce modèle, les intérêts minoritaires sont, pour les filiales susmentionnées, les instruments de fonds propres additionnels de catégorie 1 (plus les résultats non distribués et les comptes des primes d’émission y afférents) détenus par des personnes autres que les entreprises faisant partie du périmètre de consolidation s</w:t>
            </w:r>
            <w:r>
              <w:rPr>
                <w:rStyle w:val="InstructionsTabelleText"/>
                <w:rFonts w:ascii="Times New Roman" w:hAnsi="Times New Roman"/>
                <w:sz w:val="24"/>
              </w:rPr>
              <w:t>e</w:t>
            </w:r>
            <w:r>
              <w:rPr>
                <w:rStyle w:val="InstructionsTabelleText"/>
                <w:rFonts w:ascii="Times New Roman" w:hAnsi="Times New Roman"/>
                <w:sz w:val="24"/>
              </w:rPr>
              <w:t>lon le CRR.</w:t>
            </w:r>
          </w:p>
          <w:p w:rsidR="00464F34" w:rsidRPr="00392FFD" w:rsidRDefault="00464F34" w:rsidP="00464F34">
            <w:pPr>
              <w:rPr>
                <w:rStyle w:val="InstructionsTabelleberschrift"/>
                <w:rFonts w:ascii="Times New Roman" w:hAnsi="Times New Roman"/>
                <w:sz w:val="24"/>
              </w:rPr>
            </w:pPr>
            <w:r>
              <w:rPr>
                <w:rStyle w:val="InstructionsTabelleText"/>
                <w:rFonts w:ascii="Times New Roman" w:hAnsi="Times New Roman"/>
                <w:sz w:val="24"/>
              </w:rPr>
              <w:t>Le montant à déclarer intègrera les effets de toute disposition transitoire. Il s’agira du montant éligible à la date de déclaration.</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lastRenderedPageBreak/>
              <w:t>230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FONDS PROPRES DE CATÉGORIE 2</w:t>
            </w:r>
          </w:p>
          <w:p w:rsidR="00464F34" w:rsidRPr="00392FFD" w:rsidRDefault="00464F34" w:rsidP="00464F34">
            <w:pPr>
              <w:rPr>
                <w:rStyle w:val="InstructionsTabelleberschrift"/>
                <w:rFonts w:ascii="Times New Roman" w:hAnsi="Times New Roman"/>
                <w:sz w:val="24"/>
              </w:rPr>
            </w:pPr>
            <w:r>
              <w:rPr>
                <w:rStyle w:val="InstructionsTabelleText"/>
                <w:rFonts w:ascii="Times New Roman" w:hAnsi="Times New Roman"/>
                <w:sz w:val="24"/>
              </w:rPr>
              <w:t>Article 71 du CRR</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240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DONT: FONDS PROPRES DE CATÉGORIE 2 RECONNAISSABLES</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Articles 82 et 83 du CRR</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Cette colonne ne sera utile que pour les filiales totalement consolidées déclarées sur une base individuelle qui sont des établissements, à l'exception des filiales visées à l'a</w:t>
            </w:r>
            <w:r>
              <w:rPr>
                <w:rStyle w:val="InstructionsTabelleText"/>
                <w:rFonts w:ascii="Times New Roman" w:hAnsi="Times New Roman"/>
                <w:sz w:val="24"/>
              </w:rPr>
              <w:t>r</w:t>
            </w:r>
            <w:r>
              <w:rPr>
                <w:rStyle w:val="InstructionsTabelleText"/>
                <w:rFonts w:ascii="Times New Roman" w:hAnsi="Times New Roman"/>
                <w:sz w:val="24"/>
              </w:rPr>
              <w:t>ticle 87, paragraphe 2, du CRR. Chaque filiale sera prise en compte sur une base sous-consolidée aux fins de tous les calculs requis par l’article 87 du CRR, si nécessaire, conformément à l’article 87, paragraphe 2, du CRR. Sinon, elles seront prises en cons</w:t>
            </w:r>
            <w:r>
              <w:rPr>
                <w:rStyle w:val="InstructionsTabelleText"/>
                <w:rFonts w:ascii="Times New Roman" w:hAnsi="Times New Roman"/>
                <w:sz w:val="24"/>
              </w:rPr>
              <w:t>i</w:t>
            </w:r>
            <w:r>
              <w:rPr>
                <w:rStyle w:val="InstructionsTabelleText"/>
                <w:rFonts w:ascii="Times New Roman" w:hAnsi="Times New Roman"/>
                <w:sz w:val="24"/>
              </w:rPr>
              <w:t xml:space="preserve">dération sur une base individuelle. </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En ce qui concerne le CRR et ce modèle, les intérêts minoritaires sont, pour les filiales susmentionnées, les instruments de fonds propres de catégorie 2 (plus les résultats non distribués et les comptes des primes d'émission y afférents) détenus par des personnes autres que les entreprises faisant partie du périmètre de consolidation selon le CRR.</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Le montant à déclarer intègrera les effets de toute disposition transitoire, c’est-à-dire qu’il doit s’agir du montant éligible à la date de la déclaration.</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250-400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INFORMATIONS SUR LA CONTRIBUTION DES ENTITÉS À LA SOLVAB</w:t>
            </w:r>
            <w:r>
              <w:rPr>
                <w:rStyle w:val="InstructionsTabelleberschrift"/>
                <w:rFonts w:ascii="Times New Roman" w:hAnsi="Times New Roman"/>
                <w:sz w:val="24"/>
              </w:rPr>
              <w:t>I</w:t>
            </w:r>
            <w:r>
              <w:rPr>
                <w:rStyle w:val="InstructionsTabelleberschrift"/>
                <w:rFonts w:ascii="Times New Roman" w:hAnsi="Times New Roman"/>
                <w:sz w:val="24"/>
              </w:rPr>
              <w:t>LITÉ DU GROUPE</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250-290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CONTRIBUTION AUX RISQUES</w:t>
            </w:r>
          </w:p>
          <w:p w:rsidR="00464F34" w:rsidRPr="00392FFD" w:rsidRDefault="00464F34" w:rsidP="00464F34">
            <w:pPr>
              <w:rPr>
                <w:rStyle w:val="InstructionsTabelleberschrift"/>
                <w:rFonts w:ascii="Times New Roman" w:hAnsi="Times New Roman"/>
                <w:sz w:val="24"/>
              </w:rPr>
            </w:pPr>
            <w:r>
              <w:rPr>
                <w:rFonts w:ascii="Times New Roman" w:hAnsi="Times New Roman"/>
                <w:sz w:val="24"/>
              </w:rPr>
              <w:t>Les données déclarées dans les colonnes suivantes le seront conformément aux règles de solvabilité applicables à l’établissement déclarant.</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250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MONTANT TOTAL D'EXPOSITION AU RISQUE</w:t>
            </w:r>
          </w:p>
          <w:p w:rsidR="00464F34" w:rsidRPr="00392FFD" w:rsidRDefault="00464F34" w:rsidP="00464F34">
            <w:pPr>
              <w:rPr>
                <w:rStyle w:val="InstructionsTabelleberschrift"/>
                <w:rFonts w:ascii="Times New Roman" w:hAnsi="Times New Roman"/>
                <w:sz w:val="24"/>
              </w:rPr>
            </w:pPr>
            <w:r>
              <w:rPr>
                <w:rStyle w:val="InstructionsTabelleText"/>
                <w:rFonts w:ascii="Times New Roman" w:hAnsi="Times New Roman"/>
                <w:sz w:val="24"/>
              </w:rPr>
              <w:t>Déclarer la somme des colonnes 260 à 290.</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260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RISQUES DE CRÉDIT, DE CRÉDIT DE CONTREPARTIE ET DE DILUTION, POSITIONS DE NÉGOCIATION NON DÉNOUÉES ET RISQUE DE RÈGL</w:t>
            </w:r>
            <w:r>
              <w:rPr>
                <w:rStyle w:val="InstructionsTabelleberschrift"/>
                <w:rFonts w:ascii="Times New Roman" w:hAnsi="Times New Roman"/>
                <w:sz w:val="24"/>
              </w:rPr>
              <w:t>E</w:t>
            </w:r>
            <w:r>
              <w:rPr>
                <w:rStyle w:val="InstructionsTabelleberschrift"/>
                <w:rFonts w:ascii="Times New Roman" w:hAnsi="Times New Roman"/>
                <w:sz w:val="24"/>
              </w:rPr>
              <w:t>MENT/LIVRAISON</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 xml:space="preserve">Le montant à déclarer sera le montant d’exposition pondéré pour risque de crédit et pour les exigences de fonds propres du risque de règlement/livraison, en vertu du CRR, à l’exception de tout montant lié aux transactions avec d’autres entités incluses dans le </w:t>
            </w:r>
            <w:r>
              <w:rPr>
                <w:rStyle w:val="InstructionsTabelleText"/>
                <w:rFonts w:ascii="Times New Roman" w:hAnsi="Times New Roman"/>
                <w:sz w:val="24"/>
              </w:rPr>
              <w:lastRenderedPageBreak/>
              <w:t>calcul du ratio de solvabilité consolidé.</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lastRenderedPageBreak/>
              <w:t>270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RISQUE DE POSITION, RISQUE DE CHANGE OU RISQUE SUR MATIÈRES PREMIÈRES</w:t>
            </w:r>
          </w:p>
          <w:p w:rsidR="00464F34" w:rsidRPr="00392FFD" w:rsidRDefault="00464F34" w:rsidP="00464F34">
            <w:pPr>
              <w:pStyle w:val="Texte2"/>
              <w:ind w:left="0"/>
              <w:rPr>
                <w:rStyle w:val="InstructionsTabelleText"/>
                <w:rFonts w:ascii="Times New Roman" w:hAnsi="Times New Roman"/>
                <w:sz w:val="24"/>
                <w:szCs w:val="24"/>
              </w:rPr>
            </w:pPr>
            <w:r>
              <w:rPr>
                <w:rStyle w:val="InstructionsTabelleText"/>
                <w:rFonts w:ascii="Times New Roman" w:hAnsi="Times New Roman"/>
                <w:sz w:val="24"/>
              </w:rPr>
              <w:t>Les montants d’exposition au risque pour risques de marché doivent être calculés au niveau de chaque entité, selon le CRR. Les entités déclareront leur contribution aux montants d’exposition pondérés pour risque de position, risque de change et risque sur matières premières du groupe. La somme des montants déclarés à ce poste correspond au montant figurant à la ligne 520 «MONTANT TOTAL D’EXPOSITION AU RISQUE DE POSITION, AU RISQUE DE CHANGE ET AU RISQUE SUR M</w:t>
            </w:r>
            <w:r>
              <w:rPr>
                <w:rStyle w:val="InstructionsTabelleText"/>
                <w:rFonts w:ascii="Times New Roman" w:hAnsi="Times New Roman"/>
                <w:sz w:val="24"/>
              </w:rPr>
              <w:t>A</w:t>
            </w:r>
            <w:r>
              <w:rPr>
                <w:rStyle w:val="InstructionsTabelleText"/>
                <w:rFonts w:ascii="Times New Roman" w:hAnsi="Times New Roman"/>
                <w:sz w:val="24"/>
              </w:rPr>
              <w:t>TIÈRES PREMIÈRES» du rapport consolidé.</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280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RISQUE OPÉRATIONNEL</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Dans le cas des approches par mesure avancée (AMA), les montants d’exposition au risque déclarés, pour risque opérationnel, intègreront les effets de la diversification.</w:t>
            </w:r>
          </w:p>
          <w:p w:rsidR="00464F34" w:rsidRPr="00392FFD" w:rsidRDefault="00464F34" w:rsidP="00464F34">
            <w:pPr>
              <w:rPr>
                <w:rStyle w:val="InstructionsTabelleText"/>
                <w:rFonts w:ascii="Times New Roman" w:hAnsi="Times New Roman"/>
                <w:sz w:val="24"/>
              </w:rPr>
            </w:pPr>
            <w:r>
              <w:rPr>
                <w:rFonts w:ascii="Times New Roman" w:hAnsi="Times New Roman"/>
                <w:caps/>
                <w:sz w:val="24"/>
              </w:rPr>
              <w:t>L</w:t>
            </w:r>
            <w:r>
              <w:rPr>
                <w:rFonts w:ascii="Times New Roman" w:hAnsi="Times New Roman"/>
                <w:sz w:val="24"/>
              </w:rPr>
              <w:t>es frais généraux fixes seront déclarés dans cette colonne.</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290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MONTANTS D'EXPOSITION AUX AUTRES RISQUES</w:t>
            </w:r>
          </w:p>
          <w:p w:rsidR="00464F34" w:rsidRPr="00392FFD" w:rsidRDefault="00464F34" w:rsidP="00464F34">
            <w:pPr>
              <w:rPr>
                <w:rStyle w:val="InstructionsTabelleberschrift"/>
                <w:rFonts w:ascii="Times New Roman" w:hAnsi="Times New Roman"/>
                <w:sz w:val="24"/>
              </w:rPr>
            </w:pPr>
            <w:r>
              <w:rPr>
                <w:rStyle w:val="InstructionsTabelleText"/>
                <w:rFonts w:ascii="Times New Roman" w:hAnsi="Times New Roman"/>
                <w:sz w:val="24"/>
              </w:rPr>
              <w:t>Le montant à déclarer dans cette colonne correspond au montant d’exposition au risque non spécifiquement repris plus haut.</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300-400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CONTRIBUTION AUX FONDS PROPRES</w:t>
            </w:r>
          </w:p>
          <w:p w:rsidR="00464F34" w:rsidRPr="00392FFD" w:rsidRDefault="00464F34" w:rsidP="00464F34">
            <w:pPr>
              <w:pStyle w:val="Texte2"/>
              <w:ind w:left="0"/>
              <w:rPr>
                <w:rStyle w:val="InstructionsTabelleText"/>
                <w:rFonts w:ascii="Times New Roman" w:hAnsi="Times New Roman"/>
                <w:sz w:val="24"/>
                <w:szCs w:val="24"/>
              </w:rPr>
            </w:pPr>
            <w:r>
              <w:rPr>
                <w:rStyle w:val="InstructionsTabelleText"/>
                <w:rFonts w:ascii="Times New Roman" w:hAnsi="Times New Roman"/>
                <w:sz w:val="24"/>
              </w:rPr>
              <w:t>Cette partie du modèle n’a pas pour objectif d’imposer que les établissements proc</w:t>
            </w:r>
            <w:r>
              <w:rPr>
                <w:rStyle w:val="InstructionsTabelleText"/>
                <w:rFonts w:ascii="Times New Roman" w:hAnsi="Times New Roman"/>
                <w:sz w:val="24"/>
              </w:rPr>
              <w:t>è</w:t>
            </w:r>
            <w:r>
              <w:rPr>
                <w:rStyle w:val="InstructionsTabelleText"/>
                <w:rFonts w:ascii="Times New Roman" w:hAnsi="Times New Roman"/>
                <w:sz w:val="24"/>
              </w:rPr>
              <w:t xml:space="preserve">dent à un calcul complet du ratio de fonds propres total au niveau de chaque entité. </w:t>
            </w:r>
          </w:p>
          <w:p w:rsidR="00144F03" w:rsidRPr="00392FFD" w:rsidRDefault="00144F03" w:rsidP="00144F03">
            <w:pPr>
              <w:pStyle w:val="Texte2"/>
              <w:ind w:left="0"/>
              <w:rPr>
                <w:rStyle w:val="InstructionsTabelleText"/>
                <w:rFonts w:ascii="Times New Roman" w:hAnsi="Times New Roman"/>
                <w:sz w:val="24"/>
                <w:szCs w:val="24"/>
              </w:rPr>
            </w:pPr>
            <w:r>
              <w:rPr>
                <w:rFonts w:ascii="Times New Roman" w:hAnsi="Times New Roman"/>
                <w:sz w:val="24"/>
              </w:rPr>
              <w:t>Les colonnes 300 à 350 seront remplies pour les entités consolidées qui contribuent aux fonds propres par le biais d’intérêts minoritaires, de fonds propres de catégorie 1 r</w:t>
            </w:r>
            <w:r>
              <w:rPr>
                <w:rFonts w:ascii="Times New Roman" w:hAnsi="Times New Roman"/>
                <w:sz w:val="24"/>
              </w:rPr>
              <w:t>e</w:t>
            </w:r>
            <w:r>
              <w:rPr>
                <w:rFonts w:ascii="Times New Roman" w:hAnsi="Times New Roman"/>
                <w:sz w:val="24"/>
              </w:rPr>
              <w:t>connaissables et / ou de fonds propres reconnaissables. Sous réserve du seuil défini dans le dernier paragraphe de la partie II, chapitre 2.3 ci-dessus, les colonnes 360 à 400 seront remplies pour toutes les entités consolidées qui contribuent aux fonds propres consolidés.</w:t>
            </w:r>
          </w:p>
          <w:p w:rsidR="00464F34" w:rsidRPr="00392FFD" w:rsidRDefault="00464F34" w:rsidP="00464F34">
            <w:pPr>
              <w:pStyle w:val="Texte2"/>
              <w:ind w:left="0"/>
              <w:rPr>
                <w:rStyle w:val="InstructionsTabelleText"/>
                <w:rFonts w:ascii="Times New Roman" w:hAnsi="Times New Roman"/>
                <w:sz w:val="24"/>
                <w:szCs w:val="24"/>
              </w:rPr>
            </w:pPr>
            <w:r>
              <w:rPr>
                <w:rStyle w:val="InstructionsTabelleText"/>
                <w:rFonts w:ascii="Times New Roman" w:hAnsi="Times New Roman"/>
                <w:sz w:val="24"/>
              </w:rPr>
              <w:t>Les fonds propres apportés à une entité par le reste des entités faisant partie du pér</w:t>
            </w:r>
            <w:r>
              <w:rPr>
                <w:rStyle w:val="InstructionsTabelleText"/>
                <w:rFonts w:ascii="Times New Roman" w:hAnsi="Times New Roman"/>
                <w:sz w:val="24"/>
              </w:rPr>
              <w:t>i</w:t>
            </w:r>
            <w:r>
              <w:rPr>
                <w:rStyle w:val="InstructionsTabelleText"/>
                <w:rFonts w:ascii="Times New Roman" w:hAnsi="Times New Roman"/>
                <w:sz w:val="24"/>
              </w:rPr>
              <w:t>mètre de consolidation de l’entité déclarante ne seront pas pris en compte; seule la co</w:t>
            </w:r>
            <w:r>
              <w:rPr>
                <w:rStyle w:val="InstructionsTabelleText"/>
                <w:rFonts w:ascii="Times New Roman" w:hAnsi="Times New Roman"/>
                <w:sz w:val="24"/>
              </w:rPr>
              <w:t>n</w:t>
            </w:r>
            <w:r>
              <w:rPr>
                <w:rStyle w:val="InstructionsTabelleText"/>
                <w:rFonts w:ascii="Times New Roman" w:hAnsi="Times New Roman"/>
                <w:sz w:val="24"/>
              </w:rPr>
              <w:t xml:space="preserve">tribution nette aux fonds propres du groupe sera déclarée dans cette colonne, à savoir essentiellement les fonds propres levés auprès de tiers et les réserves accumulées. </w:t>
            </w:r>
          </w:p>
          <w:p w:rsidR="00464F34" w:rsidRPr="00392FFD" w:rsidRDefault="00464F34" w:rsidP="003C1BB1">
            <w:pPr>
              <w:pStyle w:val="Texte2"/>
              <w:spacing w:after="120"/>
              <w:ind w:left="0"/>
              <w:rPr>
                <w:rStyle w:val="InstructionsTabelleberschrift"/>
                <w:rFonts w:ascii="Times New Roman" w:hAnsi="Times New Roman"/>
                <w:b w:val="0"/>
                <w:bCs w:val="0"/>
                <w:sz w:val="24"/>
                <w:szCs w:val="24"/>
              </w:rPr>
            </w:pPr>
            <w:r>
              <w:rPr>
                <w:rStyle w:val="InstructionsTabelleText"/>
                <w:rFonts w:ascii="Times New Roman" w:hAnsi="Times New Roman"/>
                <w:sz w:val="24"/>
              </w:rPr>
              <w:t>Les données déclarées dans les colonnes suivantes le seront conformément aux règles de solvabilité applicables à l’établissement déclarant.</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300-350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FONDS PROPRES RECONNAISSABLES INCLUS DANS LES FONDS PROPRES CONSOLIDÉS</w:t>
            </w:r>
          </w:p>
          <w:p w:rsidR="00464F34" w:rsidRPr="00392FFD" w:rsidRDefault="00464F34" w:rsidP="00464F34">
            <w:pPr>
              <w:rPr>
                <w:rStyle w:val="InstructionsTabelleberschrift"/>
                <w:rFonts w:ascii="Times New Roman" w:hAnsi="Times New Roman"/>
                <w:sz w:val="24"/>
              </w:rPr>
            </w:pPr>
            <w:r>
              <w:rPr>
                <w:rStyle w:val="InstructionsTabelleText"/>
                <w:rFonts w:ascii="Times New Roman" w:hAnsi="Times New Roman"/>
                <w:sz w:val="24"/>
              </w:rPr>
              <w:t>Le montant à déclarer en tant que «FONDS PROPRES RECONNAISSABLES I</w:t>
            </w:r>
            <w:r>
              <w:rPr>
                <w:rStyle w:val="InstructionsTabelleText"/>
                <w:rFonts w:ascii="Times New Roman" w:hAnsi="Times New Roman"/>
                <w:sz w:val="24"/>
              </w:rPr>
              <w:t>N</w:t>
            </w:r>
            <w:r>
              <w:rPr>
                <w:rStyle w:val="InstructionsTabelleText"/>
                <w:rFonts w:ascii="Times New Roman" w:hAnsi="Times New Roman"/>
                <w:sz w:val="24"/>
              </w:rPr>
              <w:t>CLUS DANS LES FONDS PROPRES CONSOLIDÉS» sera le montant dérivé du titre II de la deuxième partie du CRR, à l’exception des fonds propres apportés par les autres entités du groupe.</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Fonts w:ascii="Times New Roman" w:hAnsi="Times New Roman"/>
                <w:sz w:val="24"/>
              </w:rPr>
              <w:t>300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FONDS PROPRES RECONNAISSABLES INCLUS DANS LES FONDS PROPRES CONSOLIDÉS</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lastRenderedPageBreak/>
              <w:t>Article 87 du CRR</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Fonts w:ascii="Times New Roman" w:hAnsi="Times New Roman"/>
                <w:sz w:val="24"/>
              </w:rPr>
              <w:lastRenderedPageBreak/>
              <w:t>310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INSTRUMENTS DE FONDS PROPRES DE CATÉGORIE 1 RECONNAI</w:t>
            </w:r>
            <w:r>
              <w:rPr>
                <w:rStyle w:val="InstructionsTabelleberschrift"/>
                <w:rFonts w:ascii="Times New Roman" w:hAnsi="Times New Roman"/>
                <w:sz w:val="24"/>
              </w:rPr>
              <w:t>S</w:t>
            </w:r>
            <w:r>
              <w:rPr>
                <w:rStyle w:val="InstructionsTabelleberschrift"/>
                <w:rFonts w:ascii="Times New Roman" w:hAnsi="Times New Roman"/>
                <w:sz w:val="24"/>
              </w:rPr>
              <w:t>SABLES INCLUS DANS LES FONDS PROPRES DE CATÉGORIE 1 CONS</w:t>
            </w:r>
            <w:r>
              <w:rPr>
                <w:rStyle w:val="InstructionsTabelleberschrift"/>
                <w:rFonts w:ascii="Times New Roman" w:hAnsi="Times New Roman"/>
                <w:sz w:val="24"/>
              </w:rPr>
              <w:t>O</w:t>
            </w:r>
            <w:r>
              <w:rPr>
                <w:rStyle w:val="InstructionsTabelleberschrift"/>
                <w:rFonts w:ascii="Times New Roman" w:hAnsi="Times New Roman"/>
                <w:sz w:val="24"/>
              </w:rPr>
              <w:t>LIDÉS</w:t>
            </w:r>
          </w:p>
          <w:p w:rsidR="00464F34" w:rsidRPr="00392FFD" w:rsidRDefault="00464F34" w:rsidP="00871877">
            <w:pPr>
              <w:rPr>
                <w:rStyle w:val="InstructionsTabelleText"/>
                <w:rFonts w:ascii="Times New Roman" w:hAnsi="Times New Roman"/>
                <w:sz w:val="24"/>
              </w:rPr>
            </w:pPr>
            <w:r>
              <w:rPr>
                <w:rStyle w:val="InstructionsTabelleText"/>
                <w:rFonts w:ascii="Times New Roman" w:hAnsi="Times New Roman"/>
                <w:sz w:val="24"/>
              </w:rPr>
              <w:t>Article 85 du CRR</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Fonts w:ascii="Times New Roman" w:hAnsi="Times New Roman"/>
                <w:sz w:val="24"/>
              </w:rPr>
              <w:t>320</w:t>
            </w:r>
          </w:p>
        </w:tc>
        <w:tc>
          <w:tcPr>
            <w:tcW w:w="8640" w:type="dxa"/>
          </w:tcPr>
          <w:p w:rsidR="00464F34" w:rsidRPr="00392FFD" w:rsidRDefault="00464F34" w:rsidP="00464F34">
            <w:pPr>
              <w:rPr>
                <w:rStyle w:val="InstructionsTabelleText"/>
                <w:rFonts w:ascii="Times New Roman" w:hAnsi="Times New Roman"/>
                <w:sz w:val="24"/>
              </w:rPr>
            </w:pPr>
            <w:r>
              <w:rPr>
                <w:rStyle w:val="InstructionsTabelleberschrift"/>
                <w:rFonts w:ascii="Times New Roman" w:hAnsi="Times New Roman"/>
                <w:sz w:val="24"/>
              </w:rPr>
              <w:t>INTÉRÊTS MINORITAIRES INCLUS DANS LES FONDS PROPRES DE BASE</w:t>
            </w:r>
            <w:r>
              <w:rPr>
                <w:rStyle w:val="InstructionsTabelleberschrift"/>
                <w:rFonts w:ascii="Times New Roman" w:hAnsi="Times New Roman"/>
                <w:sz w:val="24"/>
              </w:rPr>
              <w:br/>
              <w:t>DE CATÉGORIE 1 CONSOLIDÉS</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Article 84 du CRR</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 xml:space="preserve">Le montant à déclarer est le montant des intérêts minoritaires d’une filiale inclus dans les fonds propres de base de catégorie 1 consolidés, conformément au CRR. </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Fonts w:ascii="Times New Roman" w:hAnsi="Times New Roman"/>
                <w:sz w:val="24"/>
              </w:rPr>
              <w:t>330</w:t>
            </w:r>
          </w:p>
        </w:tc>
        <w:tc>
          <w:tcPr>
            <w:tcW w:w="8640" w:type="dxa"/>
          </w:tcPr>
          <w:p w:rsidR="00464F34" w:rsidRPr="00392FFD" w:rsidRDefault="00464F34" w:rsidP="00464F34">
            <w:pPr>
              <w:rPr>
                <w:rStyle w:val="InstructionsTabelleText"/>
                <w:rFonts w:ascii="Times New Roman" w:hAnsi="Times New Roman"/>
                <w:sz w:val="24"/>
              </w:rPr>
            </w:pPr>
            <w:r>
              <w:rPr>
                <w:rStyle w:val="InstructionsTabelleberschrift"/>
                <w:rFonts w:ascii="Times New Roman" w:hAnsi="Times New Roman"/>
                <w:sz w:val="24"/>
              </w:rPr>
              <w:t>INSTRUMENTS DE FONDS PROPRES DE CATÉGORIE 1 RECONNAI</w:t>
            </w:r>
            <w:r>
              <w:rPr>
                <w:rStyle w:val="InstructionsTabelleberschrift"/>
                <w:rFonts w:ascii="Times New Roman" w:hAnsi="Times New Roman"/>
                <w:sz w:val="24"/>
              </w:rPr>
              <w:t>S</w:t>
            </w:r>
            <w:r>
              <w:rPr>
                <w:rStyle w:val="InstructionsTabelleberschrift"/>
                <w:rFonts w:ascii="Times New Roman" w:hAnsi="Times New Roman"/>
                <w:sz w:val="24"/>
              </w:rPr>
              <w:t>SABLES INCLUS DANS LES FONDS PROPRES ADDITIONNELS DE CAT</w:t>
            </w:r>
            <w:r>
              <w:rPr>
                <w:rStyle w:val="InstructionsTabelleberschrift"/>
                <w:rFonts w:ascii="Times New Roman" w:hAnsi="Times New Roman"/>
                <w:sz w:val="24"/>
              </w:rPr>
              <w:t>É</w:t>
            </w:r>
            <w:r>
              <w:rPr>
                <w:rStyle w:val="InstructionsTabelleberschrift"/>
                <w:rFonts w:ascii="Times New Roman" w:hAnsi="Times New Roman"/>
                <w:sz w:val="24"/>
              </w:rPr>
              <w:t>GORIE 1 CONSOLIDÉS</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Article 86 du CRR</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Le montant à déclarer est le montant des fonds propres de catégorie 1 reconnaissables d’une filiale inclus dans les fonds propres additionnels de catégorie 1 consolidés, co</w:t>
            </w:r>
            <w:r>
              <w:rPr>
                <w:rStyle w:val="InstructionsTabelleText"/>
                <w:rFonts w:ascii="Times New Roman" w:hAnsi="Times New Roman"/>
                <w:sz w:val="24"/>
              </w:rPr>
              <w:t>n</w:t>
            </w:r>
            <w:r>
              <w:rPr>
                <w:rStyle w:val="InstructionsTabelleText"/>
                <w:rFonts w:ascii="Times New Roman" w:hAnsi="Times New Roman"/>
                <w:sz w:val="24"/>
              </w:rPr>
              <w:t xml:space="preserve">formément au CRR. </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Fonts w:ascii="Times New Roman" w:hAnsi="Times New Roman"/>
                <w:sz w:val="24"/>
              </w:rPr>
              <w:t>340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INSTRUMENTS DE FONDS PROPRES RECONNAISSABLES INCLUS DANS</w:t>
            </w:r>
            <w:r>
              <w:rPr>
                <w:rStyle w:val="InstructionsTabelleberschrift"/>
                <w:rFonts w:ascii="Times New Roman" w:hAnsi="Times New Roman"/>
                <w:sz w:val="24"/>
              </w:rPr>
              <w:br/>
              <w:t>LES FONDS PROPRES DE CATÉGORIE 2 CONSOLIDÉS</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Article 88 du CRR</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Le montant à déclarer est le montant des fonds propres reconnaissables d’une filiale i</w:t>
            </w:r>
            <w:r>
              <w:rPr>
                <w:rStyle w:val="InstructionsTabelleText"/>
                <w:rFonts w:ascii="Times New Roman" w:hAnsi="Times New Roman"/>
                <w:sz w:val="24"/>
              </w:rPr>
              <w:t>n</w:t>
            </w:r>
            <w:r>
              <w:rPr>
                <w:rStyle w:val="InstructionsTabelleText"/>
                <w:rFonts w:ascii="Times New Roman" w:hAnsi="Times New Roman"/>
                <w:sz w:val="24"/>
              </w:rPr>
              <w:t xml:space="preserve">clus dans les fonds propres de catégorie 2 consolidés, conformément au CRR. </w:t>
            </w:r>
          </w:p>
        </w:tc>
      </w:tr>
      <w:tr w:rsidR="00464F34" w:rsidRPr="00392FFD" w:rsidTr="00464F34">
        <w:tc>
          <w:tcPr>
            <w:tcW w:w="1188" w:type="dxa"/>
          </w:tcPr>
          <w:p w:rsidR="00464F34" w:rsidRPr="00392FFD" w:rsidRDefault="00464F34" w:rsidP="00464F34">
            <w:pPr>
              <w:rPr>
                <w:rFonts w:ascii="Times New Roman" w:hAnsi="Times New Roman"/>
                <w:sz w:val="24"/>
              </w:rPr>
            </w:pPr>
            <w:r>
              <w:rPr>
                <w:rFonts w:ascii="Times New Roman" w:hAnsi="Times New Roman"/>
                <w:sz w:val="24"/>
              </w:rPr>
              <w:t>350</w:t>
            </w:r>
          </w:p>
        </w:tc>
        <w:tc>
          <w:tcPr>
            <w:tcW w:w="8640" w:type="dxa"/>
          </w:tcPr>
          <w:p w:rsidR="00464F34" w:rsidRPr="00392FFD" w:rsidRDefault="00464F34" w:rsidP="00464F34">
            <w:pPr>
              <w:rPr>
                <w:rStyle w:val="InstructionsTabelleberschrift"/>
                <w:rFonts w:ascii="Times New Roman" w:hAnsi="Times New Roman"/>
                <w:b w:val="0"/>
                <w:sz w:val="24"/>
              </w:rPr>
            </w:pPr>
            <w:r>
              <w:rPr>
                <w:rStyle w:val="InstructionsTabelleberschrift"/>
                <w:rFonts w:ascii="Times New Roman" w:hAnsi="Times New Roman"/>
                <w:sz w:val="24"/>
              </w:rPr>
              <w:t>POUR MÉMOIRE: GOODWILL (-) / (+) GOODWILL NÉGATIF</w:t>
            </w:r>
          </w:p>
        </w:tc>
      </w:tr>
      <w:tr w:rsidR="00464F34" w:rsidRPr="00392FFD" w:rsidTr="00464F34">
        <w:tc>
          <w:tcPr>
            <w:tcW w:w="1188" w:type="dxa"/>
          </w:tcPr>
          <w:p w:rsidR="00464F34" w:rsidRPr="00392FFD" w:rsidRDefault="00464F34" w:rsidP="00464F34">
            <w:pPr>
              <w:rPr>
                <w:rFonts w:ascii="Times New Roman" w:hAnsi="Times New Roman"/>
                <w:sz w:val="24"/>
              </w:rPr>
            </w:pPr>
            <w:r>
              <w:rPr>
                <w:rFonts w:ascii="Times New Roman" w:hAnsi="Times New Roman"/>
                <w:sz w:val="24"/>
              </w:rPr>
              <w:t>360-400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FONDS PROPRES CONSOLIDÉS</w:t>
            </w:r>
          </w:p>
          <w:p w:rsidR="00144F03" w:rsidRPr="00392FFD" w:rsidRDefault="00144F03" w:rsidP="00464F34">
            <w:pPr>
              <w:rPr>
                <w:rStyle w:val="InstructionsTabelleText"/>
                <w:rFonts w:ascii="Times New Roman" w:hAnsi="Times New Roman"/>
                <w:sz w:val="24"/>
              </w:rPr>
            </w:pPr>
            <w:r>
              <w:rPr>
                <w:rStyle w:val="InstructionsTabelleText"/>
                <w:rFonts w:ascii="Times New Roman" w:hAnsi="Times New Roman"/>
                <w:sz w:val="24"/>
              </w:rPr>
              <w:t>Article 18 du CRR</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Le montant à déclarer en tant que «FONDS PROPRES CONSOLIDÉS» sera le mo</w:t>
            </w:r>
            <w:r>
              <w:rPr>
                <w:rStyle w:val="InstructionsTabelleText"/>
                <w:rFonts w:ascii="Times New Roman" w:hAnsi="Times New Roman"/>
                <w:sz w:val="24"/>
              </w:rPr>
              <w:t>n</w:t>
            </w:r>
            <w:r>
              <w:rPr>
                <w:rStyle w:val="InstructionsTabelleText"/>
                <w:rFonts w:ascii="Times New Roman" w:hAnsi="Times New Roman"/>
                <w:sz w:val="24"/>
              </w:rPr>
              <w:t>tant dérivé du bilan, à l’exception des fonds apportés par d’autres entités du groupe.</w:t>
            </w:r>
          </w:p>
        </w:tc>
      </w:tr>
      <w:tr w:rsidR="00464F34" w:rsidRPr="00392FFD" w:rsidTr="00464F34">
        <w:tc>
          <w:tcPr>
            <w:tcW w:w="1188" w:type="dxa"/>
          </w:tcPr>
          <w:p w:rsidR="00464F34" w:rsidRPr="00392FFD" w:rsidRDefault="00464F34" w:rsidP="00464F34">
            <w:pPr>
              <w:rPr>
                <w:rFonts w:ascii="Times New Roman" w:hAnsi="Times New Roman"/>
                <w:sz w:val="24"/>
              </w:rPr>
            </w:pPr>
            <w:r>
              <w:rPr>
                <w:rFonts w:ascii="Times New Roman" w:hAnsi="Times New Roman"/>
                <w:sz w:val="24"/>
              </w:rPr>
              <w:t>360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FONDS PROPRES CONSOLIDÉS</w:t>
            </w:r>
          </w:p>
        </w:tc>
      </w:tr>
      <w:tr w:rsidR="00464F34" w:rsidRPr="00392FFD" w:rsidTr="00464F34">
        <w:tc>
          <w:tcPr>
            <w:tcW w:w="1188" w:type="dxa"/>
          </w:tcPr>
          <w:p w:rsidR="00464F34" w:rsidRPr="00392FFD" w:rsidRDefault="00464F34" w:rsidP="00464F34">
            <w:pPr>
              <w:rPr>
                <w:rFonts w:ascii="Times New Roman" w:hAnsi="Times New Roman"/>
                <w:sz w:val="24"/>
              </w:rPr>
            </w:pPr>
            <w:r>
              <w:rPr>
                <w:rFonts w:ascii="Times New Roman" w:hAnsi="Times New Roman"/>
                <w:sz w:val="24"/>
              </w:rPr>
              <w:t>370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DONT: FONDS PROPRES DE BASE DE CATÉGORIE 1</w:t>
            </w:r>
          </w:p>
        </w:tc>
      </w:tr>
      <w:tr w:rsidR="00464F34" w:rsidRPr="00392FFD" w:rsidTr="00464F34">
        <w:tc>
          <w:tcPr>
            <w:tcW w:w="1188" w:type="dxa"/>
          </w:tcPr>
          <w:p w:rsidR="00464F34" w:rsidRPr="00392FFD" w:rsidDel="0081176B" w:rsidRDefault="00464F34" w:rsidP="00464F34">
            <w:pPr>
              <w:rPr>
                <w:rFonts w:ascii="Times New Roman" w:hAnsi="Times New Roman"/>
                <w:sz w:val="24"/>
              </w:rPr>
            </w:pPr>
            <w:r>
              <w:rPr>
                <w:rFonts w:ascii="Times New Roman" w:hAnsi="Times New Roman"/>
                <w:sz w:val="24"/>
              </w:rPr>
              <w:t>380</w:t>
            </w:r>
          </w:p>
        </w:tc>
        <w:tc>
          <w:tcPr>
            <w:tcW w:w="8640" w:type="dxa"/>
          </w:tcPr>
          <w:p w:rsidR="00464F34" w:rsidRPr="00392FFD" w:rsidDel="0081176B"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DONT: FONDS PROPRES ADDITIONNELS DE CATÉGORIE 1</w:t>
            </w:r>
          </w:p>
        </w:tc>
      </w:tr>
      <w:tr w:rsidR="00464F34" w:rsidRPr="00392FFD" w:rsidTr="00464F34">
        <w:tc>
          <w:tcPr>
            <w:tcW w:w="1188" w:type="dxa"/>
          </w:tcPr>
          <w:p w:rsidR="00464F34" w:rsidRPr="00392FFD" w:rsidRDefault="00464F34" w:rsidP="00464F34">
            <w:pPr>
              <w:rPr>
                <w:rFonts w:ascii="Times New Roman" w:hAnsi="Times New Roman"/>
                <w:sz w:val="24"/>
              </w:rPr>
            </w:pPr>
            <w:r>
              <w:rPr>
                <w:rFonts w:ascii="Times New Roman" w:hAnsi="Times New Roman"/>
                <w:sz w:val="24"/>
              </w:rPr>
              <w:t>390</w:t>
            </w:r>
          </w:p>
        </w:tc>
        <w:tc>
          <w:tcPr>
            <w:tcW w:w="8640" w:type="dxa"/>
          </w:tcPr>
          <w:p w:rsidR="00464F34" w:rsidRPr="00392FFD" w:rsidRDefault="00464F34" w:rsidP="00464F34">
            <w:pPr>
              <w:rPr>
                <w:rStyle w:val="InstructionsTabelleText"/>
                <w:rFonts w:ascii="Times New Roman" w:hAnsi="Times New Roman"/>
                <w:sz w:val="24"/>
              </w:rPr>
            </w:pPr>
            <w:r>
              <w:rPr>
                <w:rStyle w:val="InstructionsTabelleberschrift"/>
                <w:rFonts w:ascii="Times New Roman" w:hAnsi="Times New Roman"/>
                <w:sz w:val="24"/>
              </w:rPr>
              <w:t>DONT: CONTRIBUTIONS AU RÉSULTAT CONSOLIDÉ</w:t>
            </w:r>
          </w:p>
          <w:p w:rsidR="00464F34" w:rsidRPr="00392FFD" w:rsidRDefault="00464F34" w:rsidP="00464F34">
            <w:pPr>
              <w:rPr>
                <w:rStyle w:val="InstructionsTabelleberschrift"/>
                <w:rFonts w:ascii="Times New Roman" w:hAnsi="Times New Roman"/>
                <w:sz w:val="24"/>
              </w:rPr>
            </w:pPr>
            <w:r>
              <w:rPr>
                <w:rStyle w:val="InstructionsTabelleText"/>
                <w:rFonts w:ascii="Times New Roman" w:hAnsi="Times New Roman"/>
                <w:sz w:val="24"/>
              </w:rPr>
              <w:t>La contribution de chaque entité au résultat consolidé (bénéfice ou perte (-)] est décl</w:t>
            </w:r>
            <w:r>
              <w:rPr>
                <w:rStyle w:val="InstructionsTabelleText"/>
                <w:rFonts w:ascii="Times New Roman" w:hAnsi="Times New Roman"/>
                <w:sz w:val="24"/>
              </w:rPr>
              <w:t>a</w:t>
            </w:r>
            <w:r>
              <w:rPr>
                <w:rStyle w:val="InstructionsTabelleText"/>
                <w:rFonts w:ascii="Times New Roman" w:hAnsi="Times New Roman"/>
                <w:sz w:val="24"/>
              </w:rPr>
              <w:t>rée. Elle comprend les résultats attribuables aux intérêts minoritaires.</w:t>
            </w:r>
          </w:p>
        </w:tc>
      </w:tr>
      <w:tr w:rsidR="00464F34" w:rsidRPr="00392FFD" w:rsidTr="00464F34">
        <w:tc>
          <w:tcPr>
            <w:tcW w:w="1188" w:type="dxa"/>
          </w:tcPr>
          <w:p w:rsidR="00464F34" w:rsidRPr="00392FFD" w:rsidRDefault="00464F34" w:rsidP="00464F34">
            <w:pPr>
              <w:rPr>
                <w:rFonts w:ascii="Times New Roman" w:hAnsi="Times New Roman"/>
                <w:sz w:val="24"/>
              </w:rPr>
            </w:pPr>
            <w:r>
              <w:rPr>
                <w:rFonts w:ascii="Times New Roman" w:hAnsi="Times New Roman"/>
                <w:sz w:val="24"/>
              </w:rPr>
              <w:t>400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DONT: (-) GOODWILL / (+) GOODWILL NÉGATIF</w:t>
            </w:r>
          </w:p>
          <w:p w:rsidR="00464F34" w:rsidRPr="00392FFD" w:rsidRDefault="00464F34" w:rsidP="00464F34">
            <w:pPr>
              <w:rPr>
                <w:rStyle w:val="InstructionsTabelleberschrift"/>
                <w:rFonts w:ascii="Times New Roman" w:hAnsi="Times New Roman"/>
                <w:sz w:val="24"/>
              </w:rPr>
            </w:pPr>
            <w:r>
              <w:rPr>
                <w:rStyle w:val="InstructionsTabelleText"/>
                <w:rFonts w:ascii="Times New Roman" w:hAnsi="Times New Roman"/>
                <w:sz w:val="24"/>
              </w:rPr>
              <w:lastRenderedPageBreak/>
              <w:t>Le goodwill ou le goodwill négatif que l’entité déclarante possède sur la filiale est d</w:t>
            </w:r>
            <w:r>
              <w:rPr>
                <w:rStyle w:val="InstructionsTabelleText"/>
                <w:rFonts w:ascii="Times New Roman" w:hAnsi="Times New Roman"/>
                <w:sz w:val="24"/>
              </w:rPr>
              <w:t>é</w:t>
            </w:r>
            <w:r>
              <w:rPr>
                <w:rStyle w:val="InstructionsTabelleText"/>
                <w:rFonts w:ascii="Times New Roman" w:hAnsi="Times New Roman"/>
                <w:sz w:val="24"/>
              </w:rPr>
              <w:t>claré à ce poste.</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lastRenderedPageBreak/>
              <w:t>410-480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COUSSINS DE FONDS PROPRES</w:t>
            </w:r>
          </w:p>
          <w:p w:rsidR="00464F34" w:rsidRPr="00392FFD" w:rsidRDefault="00464F34" w:rsidP="00483FC9">
            <w:pPr>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La déclaration des coussins de fonds propres dans le modèle GS s’effectue selon la même structure générale que celle du modèle CA4 et ce, au moyen des mêmes co</w:t>
            </w:r>
            <w:r>
              <w:rPr>
                <w:rStyle w:val="InstructionsTabelleberschrift"/>
                <w:rFonts w:ascii="Times New Roman" w:hAnsi="Times New Roman"/>
                <w:b w:val="0"/>
                <w:sz w:val="24"/>
                <w:u w:val="none"/>
              </w:rPr>
              <w:t>n</w:t>
            </w:r>
            <w:r>
              <w:rPr>
                <w:rStyle w:val="InstructionsTabelleberschrift"/>
                <w:rFonts w:ascii="Times New Roman" w:hAnsi="Times New Roman"/>
                <w:b w:val="0"/>
                <w:sz w:val="24"/>
                <w:u w:val="none"/>
              </w:rPr>
              <w:t>cepts de reddition des comptes. Aux fins de la déclaration des coussins de fonds propres dans le modèle GS, les montants pertinents seront déclarés conformément aux dispositions applicables pour déterminer l’exigence de coussin pour la situation cons</w:t>
            </w:r>
            <w:r>
              <w:rPr>
                <w:rStyle w:val="InstructionsTabelleberschrift"/>
                <w:rFonts w:ascii="Times New Roman" w:hAnsi="Times New Roman"/>
                <w:b w:val="0"/>
                <w:sz w:val="24"/>
                <w:u w:val="none"/>
              </w:rPr>
              <w:t>o</w:t>
            </w:r>
            <w:r>
              <w:rPr>
                <w:rStyle w:val="InstructionsTabelleberschrift"/>
                <w:rFonts w:ascii="Times New Roman" w:hAnsi="Times New Roman"/>
                <w:b w:val="0"/>
                <w:sz w:val="24"/>
                <w:u w:val="none"/>
              </w:rPr>
              <w:t>lidée d’un groupe. Par conséquent, les montants déclarés de coussins de fonds propres représentent les contributions de chaque entité aux coussins de fonds propres du groupe. Les montants déclarés seront basés sur les mesures de transposition en droit national de la directive 2013/36/UE (CRD) et sur le règlement (UE) nº 575/2013 (CRR), y compris les dispositions transitoires qui y sont prévues.</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410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EXIGENCE GLOBALE DE COUSSIN DE FONDS PROPRES</w:t>
            </w:r>
          </w:p>
          <w:p w:rsidR="00464F34" w:rsidRPr="00392FFD" w:rsidRDefault="00464F34" w:rsidP="00941843">
            <w:pPr>
              <w:tabs>
                <w:tab w:val="left" w:pos="3510"/>
              </w:tabs>
              <w:rPr>
                <w:rStyle w:val="InstructionsTabelleberschrift"/>
                <w:rFonts w:ascii="Times New Roman" w:hAnsi="Times New Roman"/>
                <w:sz w:val="24"/>
              </w:rPr>
            </w:pPr>
            <w:r>
              <w:rPr>
                <w:rStyle w:val="InstructionsTabelleText"/>
                <w:rFonts w:ascii="Times New Roman" w:hAnsi="Times New Roman"/>
                <w:sz w:val="24"/>
              </w:rPr>
              <w:t>Article 128, point 6), de la CRD</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420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COUSSIN DE CONSERVATION DES FONDS PROPRES</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Article 128, point 1, et article 129 de la CRD</w:t>
            </w:r>
          </w:p>
          <w:p w:rsidR="00464F34" w:rsidRPr="00392FFD" w:rsidRDefault="00464F34" w:rsidP="00622B37">
            <w:pPr>
              <w:pStyle w:val="InstructionsText"/>
              <w:rPr>
                <w:rStyle w:val="InstructionsTabelleText"/>
                <w:rFonts w:ascii="Times New Roman" w:hAnsi="Times New Roman"/>
                <w:sz w:val="24"/>
              </w:rPr>
            </w:pPr>
            <w:r>
              <w:t>Aux termes de l’article 129, paragraphe 1, le coussin de conservation des fonds propres est un montant additionnel de fonds propres de base de catégorie 1. Étant donné que le taux de 2,5 % de ce coussin de conservation des fonds propres est stable, un montant figurera dans cette cellule.</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430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COUSSIN DE FONDS PROPRES CONTRACYCLIQUE SPÉCIFIQUE À L’ÉTABLISSEMENT</w:t>
            </w:r>
          </w:p>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Article 128, point 2, article 130 et articles 135 à 140 de la CRD</w:t>
            </w:r>
          </w:p>
          <w:p w:rsidR="00464F34" w:rsidRPr="00392FFD" w:rsidRDefault="00464F34" w:rsidP="00622B37">
            <w:pPr>
              <w:pStyle w:val="InstructionsText"/>
              <w:rPr>
                <w:rStyle w:val="InstructionsTabelleText"/>
                <w:rFonts w:ascii="Times New Roman" w:hAnsi="Times New Roman"/>
                <w:sz w:val="24"/>
              </w:rPr>
            </w:pPr>
            <w:r>
              <w:t>Dans cette cellule figure le montant concret du coussin de fonds propres contrac</w:t>
            </w:r>
            <w:r>
              <w:t>y</w:t>
            </w:r>
            <w:r>
              <w:t>clique.</w:t>
            </w:r>
          </w:p>
        </w:tc>
      </w:tr>
      <w:tr w:rsidR="00464F34" w:rsidRPr="00392FFD" w:rsidTr="00464F34">
        <w:tc>
          <w:tcPr>
            <w:tcW w:w="1188" w:type="dxa"/>
          </w:tcPr>
          <w:p w:rsidR="00464F34" w:rsidRPr="00392FFD" w:rsidDel="00D70027" w:rsidRDefault="00464F34" w:rsidP="00464F34">
            <w:pPr>
              <w:rPr>
                <w:rStyle w:val="InstructionsTabelleText"/>
                <w:rFonts w:ascii="Times New Roman" w:hAnsi="Times New Roman"/>
                <w:sz w:val="24"/>
              </w:rPr>
            </w:pPr>
            <w:r>
              <w:rPr>
                <w:rStyle w:val="InstructionsTabelleText"/>
                <w:rFonts w:ascii="Times New Roman" w:hAnsi="Times New Roman"/>
                <w:sz w:val="24"/>
              </w:rPr>
              <w:t>440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COUSSIN DE CONSERVATION DÉCOULANT DU RISQUE MACRO-PRUDENTIEL OU SYSTÉMIQUE CONSTATÉ AU NIVEAU D’UN ÉTAT MEMBRE</w:t>
            </w:r>
          </w:p>
          <w:p w:rsidR="00464F34" w:rsidRPr="00392FFD" w:rsidRDefault="00464F34" w:rsidP="00464F34">
            <w:pPr>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Article 458, paragraphe 2, point d iv), du CRR</w:t>
            </w:r>
          </w:p>
          <w:p w:rsidR="00464F34" w:rsidRPr="00392FFD" w:rsidRDefault="00464F34" w:rsidP="00622B37">
            <w:pPr>
              <w:pStyle w:val="InstructionsText"/>
              <w:rPr>
                <w:rStyle w:val="InstructionsTabelleberschrift"/>
                <w:rFonts w:ascii="Times New Roman" w:hAnsi="Times New Roman"/>
                <w:sz w:val="24"/>
              </w:rPr>
            </w:pPr>
            <w:r>
              <w:t>Dans cette cellule figure le montant du coussin de conservation en raison du risque m</w:t>
            </w:r>
            <w:r>
              <w:t>a</w:t>
            </w:r>
            <w:r>
              <w:t>croprudentiel ou systémique constaté au niveau d’un État membre, qui peut être exigé en vertu de l’article 458 du CRR, en sus du coussin de conservation des fonds propres.</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450</w:t>
            </w:r>
          </w:p>
        </w:tc>
        <w:tc>
          <w:tcPr>
            <w:tcW w:w="8640" w:type="dxa"/>
          </w:tcPr>
          <w:p w:rsidR="00464F34" w:rsidRPr="00392FFD" w:rsidRDefault="00464F34" w:rsidP="00464F34">
            <w:pPr>
              <w:rPr>
                <w:rStyle w:val="InstructionsTabelleberschrift"/>
                <w:rFonts w:ascii="Times New Roman" w:hAnsi="Times New Roman"/>
                <w:sz w:val="24"/>
              </w:rPr>
            </w:pPr>
            <w:r>
              <w:rPr>
                <w:rStyle w:val="InstructionsTabelleberschrift"/>
                <w:rFonts w:ascii="Times New Roman" w:hAnsi="Times New Roman"/>
                <w:sz w:val="24"/>
              </w:rPr>
              <w:t>COUSSIN POUR LE RISQUE SYSTÉMIQUE</w:t>
            </w:r>
          </w:p>
          <w:p w:rsidR="00464F34" w:rsidRPr="00392FFD" w:rsidRDefault="00464F34" w:rsidP="00622B37">
            <w:pPr>
              <w:pStyle w:val="InstructionsText"/>
            </w:pPr>
            <w:r>
              <w:t xml:space="preserve">Article 128, point 5), et articles 133 et 134 de la CRD </w:t>
            </w:r>
          </w:p>
          <w:p w:rsidR="00464F34" w:rsidRPr="00392FFD" w:rsidRDefault="00464F34" w:rsidP="00464F34">
            <w:pPr>
              <w:rPr>
                <w:rStyle w:val="InstructionsTabelleberschrift"/>
                <w:rFonts w:ascii="Times New Roman" w:hAnsi="Times New Roman"/>
                <w:sz w:val="24"/>
              </w:rPr>
            </w:pPr>
            <w:r>
              <w:rPr>
                <w:rFonts w:ascii="Times New Roman" w:hAnsi="Times New Roman"/>
                <w:sz w:val="24"/>
              </w:rPr>
              <w:t>Dans cette cellule figure le montant du coussin pour le risque systémique.</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t>470</w:t>
            </w:r>
          </w:p>
        </w:tc>
        <w:tc>
          <w:tcPr>
            <w:tcW w:w="8640" w:type="dxa"/>
          </w:tcPr>
          <w:p w:rsidR="00464F34" w:rsidRPr="00392FFD" w:rsidRDefault="00464F34" w:rsidP="00464F34">
            <w:pPr>
              <w:tabs>
                <w:tab w:val="left" w:pos="6660"/>
              </w:tabs>
              <w:rPr>
                <w:rStyle w:val="InstructionsTabelleberschrift"/>
                <w:rFonts w:ascii="Times New Roman" w:hAnsi="Times New Roman"/>
                <w:sz w:val="24"/>
              </w:rPr>
            </w:pPr>
            <w:r>
              <w:rPr>
                <w:rStyle w:val="InstructionsTabelleberschrift"/>
                <w:rFonts w:ascii="Times New Roman" w:hAnsi="Times New Roman"/>
                <w:sz w:val="24"/>
              </w:rPr>
              <w:t>COUSSIN POUR LES ÉTABLISSEMENTS D’IMPORTANCE SYSTÉMIQUE MONDIALE</w:t>
            </w:r>
            <w:r>
              <w:tab/>
            </w:r>
          </w:p>
          <w:p w:rsidR="00464F34" w:rsidRPr="00392FFD" w:rsidRDefault="00464F34" w:rsidP="00622B37">
            <w:pPr>
              <w:pStyle w:val="InstructionsText"/>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lastRenderedPageBreak/>
              <w:t>Article 128, point 3), et article 131 de la CRD</w:t>
            </w:r>
          </w:p>
          <w:p w:rsidR="00483FC9" w:rsidRPr="00392FFD" w:rsidRDefault="00464F34" w:rsidP="00622B37">
            <w:pPr>
              <w:pStyle w:val="InstructionsText"/>
              <w:rPr>
                <w:rStyle w:val="InstructionsTabelleberschrift"/>
                <w:rFonts w:ascii="Times New Roman" w:hAnsi="Times New Roman"/>
                <w:sz w:val="24"/>
              </w:rPr>
            </w:pPr>
            <w:r>
              <w:t>Dans cette cellule figure le montant du coussin pour les établissements d’importance systémique mondiale.</w:t>
            </w:r>
          </w:p>
        </w:tc>
      </w:tr>
      <w:tr w:rsidR="00464F34" w:rsidRPr="00392FFD" w:rsidTr="00464F34">
        <w:tc>
          <w:tcPr>
            <w:tcW w:w="1188" w:type="dxa"/>
          </w:tcPr>
          <w:p w:rsidR="00464F34" w:rsidRPr="00392FFD" w:rsidRDefault="00464F34" w:rsidP="00464F34">
            <w:pPr>
              <w:rPr>
                <w:rStyle w:val="InstructionsTabelleText"/>
                <w:rFonts w:ascii="Times New Roman" w:hAnsi="Times New Roman"/>
                <w:sz w:val="24"/>
              </w:rPr>
            </w:pPr>
            <w:r>
              <w:rPr>
                <w:rStyle w:val="InstructionsTabelleText"/>
                <w:rFonts w:ascii="Times New Roman" w:hAnsi="Times New Roman"/>
                <w:sz w:val="24"/>
              </w:rPr>
              <w:lastRenderedPageBreak/>
              <w:t>480</w:t>
            </w:r>
          </w:p>
        </w:tc>
        <w:tc>
          <w:tcPr>
            <w:tcW w:w="8640" w:type="dxa"/>
          </w:tcPr>
          <w:p w:rsidR="00464F34" w:rsidRPr="00392FFD" w:rsidRDefault="00464F34" w:rsidP="00464F34">
            <w:pPr>
              <w:tabs>
                <w:tab w:val="left" w:pos="6315"/>
              </w:tabs>
              <w:rPr>
                <w:rStyle w:val="InstructionsTabelleberschrift"/>
                <w:rFonts w:ascii="Times New Roman" w:hAnsi="Times New Roman"/>
                <w:sz w:val="24"/>
              </w:rPr>
            </w:pPr>
            <w:r>
              <w:rPr>
                <w:rStyle w:val="InstructionsTabelleberschrift"/>
                <w:rFonts w:ascii="Times New Roman" w:hAnsi="Times New Roman"/>
                <w:sz w:val="24"/>
              </w:rPr>
              <w:t>COUSSIN POUR LES AUTRES ÉTABLISSEMENTS D’IMPORTANCE SY</w:t>
            </w:r>
            <w:r>
              <w:rPr>
                <w:rStyle w:val="InstructionsTabelleberschrift"/>
                <w:rFonts w:ascii="Times New Roman" w:hAnsi="Times New Roman"/>
                <w:sz w:val="24"/>
              </w:rPr>
              <w:t>S</w:t>
            </w:r>
            <w:r>
              <w:rPr>
                <w:rStyle w:val="InstructionsTabelleberschrift"/>
                <w:rFonts w:ascii="Times New Roman" w:hAnsi="Times New Roman"/>
                <w:sz w:val="24"/>
              </w:rPr>
              <w:t>TÉMIQUE</w:t>
            </w:r>
            <w:r>
              <w:tab/>
            </w:r>
          </w:p>
          <w:p w:rsidR="00464F34" w:rsidRPr="00392FFD" w:rsidRDefault="00464F34" w:rsidP="00622B37">
            <w:pPr>
              <w:pStyle w:val="InstructionsText"/>
            </w:pPr>
            <w:r>
              <w:t>Article 128, point 4), et article 131 de la CRD</w:t>
            </w:r>
          </w:p>
          <w:p w:rsidR="00464F34" w:rsidRPr="00392FFD" w:rsidRDefault="00464F34" w:rsidP="00622B37">
            <w:pPr>
              <w:pStyle w:val="InstructionsText"/>
              <w:rPr>
                <w:rStyle w:val="InstructionsTabelleberschrift"/>
                <w:rFonts w:ascii="Times New Roman" w:hAnsi="Times New Roman"/>
                <w:sz w:val="24"/>
              </w:rPr>
            </w:pPr>
            <w:r>
              <w:t>Dans cette cellule figure le montant du coussin pour les autres établissements d’importance systémique.</w:t>
            </w:r>
          </w:p>
        </w:tc>
      </w:tr>
    </w:tbl>
    <w:p w:rsidR="00FC1030" w:rsidRPr="00392FFD" w:rsidRDefault="00FC1030" w:rsidP="00622B37">
      <w:pPr>
        <w:pStyle w:val="InstructionsText"/>
      </w:pPr>
    </w:p>
    <w:p w:rsidR="00464F34" w:rsidRPr="00392FFD" w:rsidRDefault="00B43C2A" w:rsidP="0023700C">
      <w:pPr>
        <w:pStyle w:val="Instructionsberschrift2"/>
        <w:numPr>
          <w:ilvl w:val="0"/>
          <w:numId w:val="0"/>
        </w:numPr>
        <w:ind w:left="357" w:hanging="357"/>
        <w:rPr>
          <w:rFonts w:ascii="Times New Roman" w:hAnsi="Times New Roman" w:cs="Times New Roman"/>
          <w:sz w:val="24"/>
        </w:rPr>
      </w:pPr>
      <w:bookmarkStart w:id="115" w:name="_Toc310415013"/>
      <w:bookmarkStart w:id="116" w:name="_Toc360188344"/>
      <w:bookmarkStart w:id="117" w:name="_Toc473560893"/>
      <w:bookmarkStart w:id="118" w:name="_Toc496022288"/>
      <w:r>
        <w:rPr>
          <w:rFonts w:ascii="Times New Roman" w:hAnsi="Times New Roman"/>
          <w:sz w:val="24"/>
          <w:u w:val="none"/>
        </w:rPr>
        <w:t>3.</w:t>
      </w:r>
      <w:r>
        <w:tab/>
      </w:r>
      <w:r>
        <w:rPr>
          <w:rFonts w:ascii="Times New Roman" w:hAnsi="Times New Roman"/>
          <w:sz w:val="24"/>
        </w:rPr>
        <w:t>Modèles consacrés au risque de crédit</w:t>
      </w:r>
      <w:bookmarkEnd w:id="115"/>
      <w:bookmarkEnd w:id="116"/>
      <w:bookmarkEnd w:id="117"/>
      <w:bookmarkEnd w:id="118"/>
    </w:p>
    <w:p w:rsidR="00464F34" w:rsidRPr="00392FFD" w:rsidRDefault="00125707" w:rsidP="0023700C">
      <w:pPr>
        <w:pStyle w:val="Instructionsberschrift2"/>
        <w:numPr>
          <w:ilvl w:val="0"/>
          <w:numId w:val="0"/>
        </w:numPr>
        <w:ind w:left="357" w:hanging="357"/>
        <w:rPr>
          <w:rFonts w:ascii="Times New Roman" w:hAnsi="Times New Roman" w:cs="Times New Roman"/>
          <w:sz w:val="24"/>
        </w:rPr>
      </w:pPr>
      <w:bookmarkStart w:id="119" w:name="_Toc360188345"/>
      <w:bookmarkStart w:id="120" w:name="_Toc473560894"/>
      <w:bookmarkStart w:id="121" w:name="_Toc262568022"/>
      <w:bookmarkStart w:id="122" w:name="_Toc295829848"/>
      <w:bookmarkStart w:id="123" w:name="_Toc310415014"/>
      <w:bookmarkStart w:id="124" w:name="_Toc496022289"/>
      <w:r>
        <w:rPr>
          <w:rFonts w:ascii="Times New Roman" w:hAnsi="Times New Roman"/>
          <w:sz w:val="24"/>
          <w:u w:val="none"/>
        </w:rPr>
        <w:t>3.1.</w:t>
      </w:r>
      <w:r>
        <w:tab/>
      </w:r>
      <w:r>
        <w:rPr>
          <w:rFonts w:ascii="Times New Roman" w:hAnsi="Times New Roman"/>
          <w:sz w:val="24"/>
        </w:rPr>
        <w:t>Remarques générales</w:t>
      </w:r>
      <w:bookmarkEnd w:id="119"/>
      <w:bookmarkEnd w:id="120"/>
      <w:bookmarkEnd w:id="124"/>
      <w:r>
        <w:rPr>
          <w:rFonts w:ascii="Times New Roman" w:hAnsi="Times New Roman"/>
          <w:sz w:val="24"/>
        </w:rPr>
        <w:t xml:space="preserve"> </w:t>
      </w:r>
      <w:bookmarkEnd w:id="121"/>
      <w:bookmarkEnd w:id="122"/>
      <w:bookmarkEnd w:id="123"/>
    </w:p>
    <w:p w:rsidR="00464F34" w:rsidRPr="00392FFD" w:rsidRDefault="00125707" w:rsidP="0023700C">
      <w:pPr>
        <w:pStyle w:val="InstructionsText2"/>
        <w:numPr>
          <w:ilvl w:val="0"/>
          <w:numId w:val="0"/>
        </w:numPr>
        <w:ind w:left="1353" w:hanging="360"/>
      </w:pPr>
      <w:r>
        <w:t>38.</w:t>
      </w:r>
      <w:r>
        <w:tab/>
        <w:t>Il existe plusieurs groupes de modèles pour l’approche standard et l’approche NI du risque de crédit. De plus, d’autres modèles concernant la répartition gé</w:t>
      </w:r>
      <w:r>
        <w:t>o</w:t>
      </w:r>
      <w:r>
        <w:t>graphique des positions sujettes au risque de crédit sont utilisés en cas de dépa</w:t>
      </w:r>
      <w:r>
        <w:t>s</w:t>
      </w:r>
      <w:r>
        <w:t xml:space="preserve">sement du seuil pertinent visé à l’article 5, point a), paragraphe 4. </w:t>
      </w:r>
    </w:p>
    <w:p w:rsidR="00464F34" w:rsidRPr="00392FFD" w:rsidRDefault="00125707" w:rsidP="0023700C">
      <w:pPr>
        <w:pStyle w:val="Instructionsberschrift2"/>
        <w:numPr>
          <w:ilvl w:val="0"/>
          <w:numId w:val="0"/>
        </w:numPr>
        <w:ind w:left="357" w:hanging="357"/>
        <w:rPr>
          <w:rFonts w:ascii="Times New Roman" w:hAnsi="Times New Roman" w:cs="Times New Roman"/>
          <w:sz w:val="24"/>
        </w:rPr>
      </w:pPr>
      <w:bookmarkStart w:id="125" w:name="_Toc262568023"/>
      <w:bookmarkStart w:id="126" w:name="_Toc295829849"/>
      <w:bookmarkStart w:id="127" w:name="_Toc310415015"/>
      <w:bookmarkStart w:id="128" w:name="_Toc360188346"/>
      <w:bookmarkStart w:id="129" w:name="_Toc473560895"/>
      <w:bookmarkStart w:id="130" w:name="_Toc496022290"/>
      <w:r>
        <w:rPr>
          <w:rFonts w:ascii="Times New Roman" w:hAnsi="Times New Roman"/>
          <w:sz w:val="24"/>
          <w:u w:val="none"/>
        </w:rPr>
        <w:t>3.1.1.</w:t>
      </w:r>
      <w:r>
        <w:tab/>
      </w:r>
      <w:r>
        <w:rPr>
          <w:rFonts w:ascii="Times New Roman" w:hAnsi="Times New Roman"/>
          <w:sz w:val="24"/>
        </w:rPr>
        <w:t>Déclaration des techniques d’atténuation du risque de crédit avec effet de substitution</w:t>
      </w:r>
      <w:bookmarkEnd w:id="125"/>
      <w:bookmarkEnd w:id="126"/>
      <w:bookmarkEnd w:id="127"/>
      <w:bookmarkEnd w:id="128"/>
      <w:bookmarkEnd w:id="129"/>
      <w:bookmarkEnd w:id="130"/>
    </w:p>
    <w:p w:rsidR="00464F34" w:rsidRPr="00392FFD" w:rsidRDefault="00125707" w:rsidP="0023700C">
      <w:pPr>
        <w:pStyle w:val="InstructionsText2"/>
        <w:numPr>
          <w:ilvl w:val="0"/>
          <w:numId w:val="0"/>
        </w:numPr>
        <w:ind w:left="1353" w:hanging="360"/>
      </w:pPr>
      <w:r>
        <w:t>39.</w:t>
      </w:r>
      <w:r>
        <w:tab/>
        <w:t>L’article 235 du CRR décrit la procédure de calcul d’une exposition totalement couverte par une protection de crédit non financée.</w:t>
      </w:r>
    </w:p>
    <w:p w:rsidR="00464F34" w:rsidRPr="00392FFD" w:rsidRDefault="00125707" w:rsidP="0023700C">
      <w:pPr>
        <w:pStyle w:val="InstructionsText2"/>
        <w:numPr>
          <w:ilvl w:val="0"/>
          <w:numId w:val="0"/>
        </w:numPr>
        <w:ind w:left="1353" w:hanging="360"/>
      </w:pPr>
      <w:r>
        <w:t>40.</w:t>
      </w:r>
      <w:r>
        <w:tab/>
        <w:t>L'article 236 du CRR décrit la méthode de calcul d'une exposition totalement couverte par une protection de crédit non financée, en cas de protection totale / protection partielle — même rang.</w:t>
      </w:r>
    </w:p>
    <w:p w:rsidR="00464F34" w:rsidRPr="00392FFD" w:rsidRDefault="00125707" w:rsidP="0023700C">
      <w:pPr>
        <w:pStyle w:val="InstructionsText2"/>
        <w:numPr>
          <w:ilvl w:val="0"/>
          <w:numId w:val="0"/>
        </w:numPr>
        <w:ind w:left="1353" w:hanging="360"/>
      </w:pPr>
      <w:r>
        <w:t>41.</w:t>
      </w:r>
      <w:r>
        <w:tab/>
        <w:t>Les articles 196, 197 et 200 du CRR régissent la protection de crédit financée.</w:t>
      </w:r>
    </w:p>
    <w:p w:rsidR="00464F34" w:rsidRPr="00392FFD" w:rsidRDefault="00125707" w:rsidP="0023700C">
      <w:pPr>
        <w:pStyle w:val="InstructionsText2"/>
        <w:numPr>
          <w:ilvl w:val="0"/>
          <w:numId w:val="0"/>
        </w:numPr>
        <w:ind w:left="1353" w:hanging="360"/>
      </w:pPr>
      <w:r>
        <w:t>42.</w:t>
      </w:r>
      <w:r>
        <w:tab/>
        <w:t>Les expositions vis-à-vis de débiteurs (contreparties immédiates) et de fourni</w:t>
      </w:r>
      <w:r>
        <w:t>s</w:t>
      </w:r>
      <w:r>
        <w:t>seurs de protection de même catégorie d’exposition seront déclarées comme une entrée ainsi que comme une sortie dans la même catégorie d’exposition.</w:t>
      </w:r>
    </w:p>
    <w:p w:rsidR="00464F34" w:rsidRPr="00392FFD" w:rsidRDefault="00125707" w:rsidP="0023700C">
      <w:pPr>
        <w:pStyle w:val="InstructionsText2"/>
        <w:numPr>
          <w:ilvl w:val="0"/>
          <w:numId w:val="0"/>
        </w:numPr>
        <w:ind w:left="1353" w:hanging="360"/>
      </w:pPr>
      <w:r>
        <w:t>43.</w:t>
      </w:r>
      <w:r>
        <w:tab/>
        <w:t>Le type d’exposition ne change pas en raison de l’existence d’une protection de crédit non financée.</w:t>
      </w:r>
    </w:p>
    <w:p w:rsidR="00464F34" w:rsidRPr="00392FFD" w:rsidRDefault="00125707" w:rsidP="0023700C">
      <w:pPr>
        <w:pStyle w:val="InstructionsText2"/>
        <w:numPr>
          <w:ilvl w:val="0"/>
          <w:numId w:val="0"/>
        </w:numPr>
        <w:ind w:left="1353" w:hanging="360"/>
      </w:pPr>
      <w:r>
        <w:t>44.</w:t>
      </w:r>
      <w:r>
        <w:tab/>
        <w:t>Lorsqu’une exposition est couverte par une protection de crédit non financée, la partie couverte est considérée comme une sortie, par exemple dans la même c</w:t>
      </w:r>
      <w:r>
        <w:t>a</w:t>
      </w:r>
      <w:r>
        <w:t>tégorie d’exposition que celle du débiteur, et comme une entrée dans la catég</w:t>
      </w:r>
      <w:r>
        <w:t>o</w:t>
      </w:r>
      <w:r>
        <w:t>rie d’exposition du fournisseur de protection. Cependant, le type d’exposition ne change pas en raison de la modification de la catégorie d’exposition.</w:t>
      </w:r>
    </w:p>
    <w:p w:rsidR="00464F34" w:rsidRPr="00392FFD" w:rsidRDefault="00125707" w:rsidP="0023700C">
      <w:pPr>
        <w:pStyle w:val="InstructionsText2"/>
        <w:numPr>
          <w:ilvl w:val="0"/>
          <w:numId w:val="0"/>
        </w:numPr>
        <w:ind w:left="1353" w:hanging="360"/>
      </w:pPr>
      <w:r>
        <w:t>45.</w:t>
      </w:r>
      <w:r>
        <w:tab/>
        <w:t xml:space="preserve">L’effet de substitution dans le cadre de reporting COREP reflètera le traitement de la pondération de risque effectivement applicable à la partie couverte de l’exposition. À cet égard, la partie couverte de l’exposition est pondérée selon l’approche standard, et sera déclarée dans le modèle CR SA. </w:t>
      </w:r>
    </w:p>
    <w:p w:rsidR="00464F34" w:rsidRPr="00392FFD" w:rsidRDefault="00125707" w:rsidP="0023700C">
      <w:pPr>
        <w:pStyle w:val="Instructionsberschrift2"/>
        <w:numPr>
          <w:ilvl w:val="0"/>
          <w:numId w:val="0"/>
        </w:numPr>
        <w:ind w:left="357" w:hanging="357"/>
        <w:rPr>
          <w:rFonts w:ascii="Times New Roman" w:hAnsi="Times New Roman" w:cs="Times New Roman"/>
          <w:sz w:val="24"/>
        </w:rPr>
      </w:pPr>
      <w:bookmarkStart w:id="131" w:name="_Toc262568024"/>
      <w:bookmarkStart w:id="132" w:name="_Toc295829850"/>
      <w:bookmarkStart w:id="133" w:name="_Toc310415016"/>
      <w:bookmarkStart w:id="134" w:name="_Toc360188347"/>
      <w:bookmarkStart w:id="135" w:name="_Toc473560896"/>
      <w:bookmarkStart w:id="136" w:name="_Toc496022291"/>
      <w:r>
        <w:rPr>
          <w:rFonts w:ascii="Times New Roman" w:hAnsi="Times New Roman"/>
          <w:sz w:val="24"/>
          <w:u w:val="none"/>
        </w:rPr>
        <w:lastRenderedPageBreak/>
        <w:t>3.1.2.</w:t>
      </w:r>
      <w:r>
        <w:tab/>
      </w:r>
      <w:r>
        <w:rPr>
          <w:rFonts w:ascii="Times New Roman" w:hAnsi="Times New Roman"/>
          <w:sz w:val="24"/>
        </w:rPr>
        <w:t>Déclaration du risque de crédit de contrepartie</w:t>
      </w:r>
      <w:bookmarkEnd w:id="131"/>
      <w:bookmarkEnd w:id="132"/>
      <w:bookmarkEnd w:id="133"/>
      <w:bookmarkEnd w:id="134"/>
      <w:bookmarkEnd w:id="135"/>
      <w:bookmarkEnd w:id="136"/>
    </w:p>
    <w:p w:rsidR="00464F34" w:rsidRPr="00392FFD" w:rsidRDefault="00125707" w:rsidP="0023700C">
      <w:pPr>
        <w:pStyle w:val="InstructionsText2"/>
        <w:numPr>
          <w:ilvl w:val="0"/>
          <w:numId w:val="0"/>
        </w:numPr>
        <w:ind w:left="1353" w:hanging="360"/>
      </w:pPr>
      <w:r>
        <w:t>46.</w:t>
      </w:r>
      <w:r>
        <w:tab/>
        <w:t>Les expositions provenant de positions soumises au risque de crédit de contr</w:t>
      </w:r>
      <w:r>
        <w:t>e</w:t>
      </w:r>
      <w:r>
        <w:t xml:space="preserve">partie seront déclarées dans les modèles CR SA ou CR IRB, qu’il s’agisse d’éléments faisant partie du portefeuille d’intermédiation bancaire ou faisant partie du portefeuille de négociation. </w:t>
      </w:r>
    </w:p>
    <w:p w:rsidR="00464F34" w:rsidRPr="00392FFD" w:rsidRDefault="00125707" w:rsidP="0023700C">
      <w:pPr>
        <w:pStyle w:val="Instructionsberschrift2"/>
        <w:numPr>
          <w:ilvl w:val="0"/>
          <w:numId w:val="0"/>
        </w:numPr>
        <w:ind w:left="357" w:hanging="357"/>
        <w:rPr>
          <w:rFonts w:ascii="Times New Roman" w:hAnsi="Times New Roman" w:cs="Times New Roman"/>
          <w:sz w:val="24"/>
        </w:rPr>
      </w:pPr>
      <w:bookmarkStart w:id="137" w:name="_Toc292456202"/>
      <w:bookmarkStart w:id="138" w:name="_Toc295829851"/>
      <w:bookmarkStart w:id="139" w:name="_Toc310415017"/>
      <w:bookmarkStart w:id="140" w:name="_Toc360188348"/>
      <w:bookmarkStart w:id="141" w:name="_Toc473560897"/>
      <w:bookmarkStart w:id="142" w:name="_Toc496022292"/>
      <w:r>
        <w:rPr>
          <w:rFonts w:ascii="Times New Roman" w:hAnsi="Times New Roman"/>
          <w:sz w:val="24"/>
          <w:u w:val="none"/>
        </w:rPr>
        <w:t>3.2.</w:t>
      </w:r>
      <w:r>
        <w:tab/>
      </w:r>
      <w:r>
        <w:rPr>
          <w:rFonts w:ascii="Times New Roman" w:hAnsi="Times New Roman"/>
          <w:sz w:val="24"/>
        </w:rPr>
        <w:t>C 07.00 – Risques de crédit et de crédit de contrepartie et positions de négociation non dénouées: approche standard des exigences de fonds propres</w:t>
      </w:r>
      <w:bookmarkEnd w:id="137"/>
      <w:bookmarkEnd w:id="138"/>
      <w:bookmarkEnd w:id="139"/>
      <w:bookmarkEnd w:id="140"/>
      <w:r>
        <w:rPr>
          <w:rFonts w:ascii="Times New Roman" w:hAnsi="Times New Roman"/>
          <w:sz w:val="24"/>
        </w:rPr>
        <w:t xml:space="preserve"> (CR SA)</w:t>
      </w:r>
      <w:bookmarkEnd w:id="141"/>
      <w:bookmarkEnd w:id="142"/>
    </w:p>
    <w:p w:rsidR="00464F34" w:rsidRPr="00392FFD" w:rsidRDefault="00125707" w:rsidP="0023700C">
      <w:pPr>
        <w:pStyle w:val="Instructionsberschrift2"/>
        <w:numPr>
          <w:ilvl w:val="0"/>
          <w:numId w:val="0"/>
        </w:numPr>
        <w:ind w:left="357" w:hanging="357"/>
        <w:rPr>
          <w:rFonts w:ascii="Times New Roman" w:hAnsi="Times New Roman" w:cs="Times New Roman"/>
          <w:sz w:val="24"/>
        </w:rPr>
      </w:pPr>
      <w:bookmarkStart w:id="143" w:name="_Toc262568026"/>
      <w:bookmarkStart w:id="144" w:name="_Toc264038424"/>
      <w:bookmarkStart w:id="145" w:name="_Toc292456203"/>
      <w:bookmarkStart w:id="146" w:name="_Toc295829852"/>
      <w:bookmarkStart w:id="147" w:name="_Toc310415018"/>
      <w:bookmarkStart w:id="148" w:name="_Toc360188349"/>
      <w:bookmarkStart w:id="149" w:name="_Toc473560898"/>
      <w:bookmarkStart w:id="150" w:name="_Toc496022293"/>
      <w:r>
        <w:rPr>
          <w:rFonts w:ascii="Times New Roman" w:hAnsi="Times New Roman"/>
          <w:sz w:val="24"/>
          <w:u w:val="none"/>
        </w:rPr>
        <w:t>3.2.1.</w:t>
      </w:r>
      <w:r>
        <w:tab/>
      </w:r>
      <w:r>
        <w:rPr>
          <w:rFonts w:ascii="Times New Roman" w:hAnsi="Times New Roman"/>
          <w:sz w:val="24"/>
        </w:rPr>
        <w:t>Remarques générales</w:t>
      </w:r>
      <w:bookmarkEnd w:id="143"/>
      <w:bookmarkEnd w:id="144"/>
      <w:bookmarkEnd w:id="145"/>
      <w:bookmarkEnd w:id="146"/>
      <w:bookmarkEnd w:id="147"/>
      <w:bookmarkEnd w:id="148"/>
      <w:bookmarkEnd w:id="149"/>
      <w:bookmarkEnd w:id="150"/>
    </w:p>
    <w:p w:rsidR="00464F34" w:rsidRPr="00392FFD" w:rsidRDefault="00125707" w:rsidP="0023700C">
      <w:pPr>
        <w:pStyle w:val="InstructionsText2"/>
        <w:numPr>
          <w:ilvl w:val="0"/>
          <w:numId w:val="0"/>
        </w:numPr>
        <w:ind w:left="1353" w:hanging="360"/>
      </w:pPr>
      <w:r>
        <w:t>47.</w:t>
      </w:r>
      <w:r>
        <w:tab/>
        <w:t>Les modèles CR SA fournissent les informations nécessaires sur le calcul des exigences de fonds propres pour risque de crédit selon l’approche standard. En particulier, ils fournissent des informations sur:</w:t>
      </w:r>
    </w:p>
    <w:p w:rsidR="00464F34" w:rsidRPr="00392FFD" w:rsidRDefault="00125707" w:rsidP="0023700C">
      <w:pPr>
        <w:pStyle w:val="InstructionsText"/>
        <w:ind w:left="1080" w:hanging="360"/>
      </w:pPr>
      <w:r>
        <w:t>a)</w:t>
      </w:r>
      <w:r>
        <w:tab/>
        <w:t>la répartition des valeurs exposées au risque en fonction des différents types d'e</w:t>
      </w:r>
      <w:r>
        <w:t>x</w:t>
      </w:r>
      <w:r>
        <w:t>positions, pondérations de risque et catégories d'expositions;</w:t>
      </w:r>
    </w:p>
    <w:p w:rsidR="00464F34" w:rsidRPr="00392FFD" w:rsidRDefault="00125707" w:rsidP="0023700C">
      <w:pPr>
        <w:pStyle w:val="InstructionsText"/>
        <w:ind w:left="1080" w:hanging="360"/>
      </w:pPr>
      <w:r>
        <w:t>b)</w:t>
      </w:r>
      <w:r>
        <w:tab/>
        <w:t xml:space="preserve">le nombre et le type de techniques d’atténuation du risque de crédit utilisées pour atténuer les risques. </w:t>
      </w:r>
    </w:p>
    <w:p w:rsidR="00464F34" w:rsidRPr="00392FFD" w:rsidRDefault="00125707" w:rsidP="0023700C">
      <w:pPr>
        <w:pStyle w:val="Instructionsberschrift2"/>
        <w:numPr>
          <w:ilvl w:val="0"/>
          <w:numId w:val="0"/>
        </w:numPr>
        <w:ind w:left="357" w:hanging="357"/>
        <w:rPr>
          <w:rFonts w:ascii="Times New Roman" w:hAnsi="Times New Roman" w:cs="Times New Roman"/>
          <w:sz w:val="24"/>
        </w:rPr>
      </w:pPr>
      <w:bookmarkStart w:id="151" w:name="_Toc262568027"/>
      <w:bookmarkStart w:id="152" w:name="_Toc264038425"/>
      <w:bookmarkStart w:id="153" w:name="_Toc292456204"/>
      <w:bookmarkStart w:id="154" w:name="_Toc295829853"/>
      <w:bookmarkStart w:id="155" w:name="_Toc310415019"/>
      <w:bookmarkStart w:id="156" w:name="_Toc360188350"/>
      <w:bookmarkStart w:id="157" w:name="_Toc473560899"/>
      <w:bookmarkStart w:id="158" w:name="_Toc496022294"/>
      <w:r>
        <w:rPr>
          <w:rFonts w:ascii="Times New Roman" w:hAnsi="Times New Roman"/>
          <w:sz w:val="24"/>
          <w:u w:val="none"/>
        </w:rPr>
        <w:t>3.2.2.</w:t>
      </w:r>
      <w:r>
        <w:tab/>
      </w:r>
      <w:r>
        <w:rPr>
          <w:rFonts w:ascii="Times New Roman" w:hAnsi="Times New Roman"/>
          <w:sz w:val="24"/>
        </w:rPr>
        <w:t>Champ d’application du modèle CR SA</w:t>
      </w:r>
      <w:bookmarkEnd w:id="151"/>
      <w:bookmarkEnd w:id="152"/>
      <w:bookmarkEnd w:id="153"/>
      <w:bookmarkEnd w:id="154"/>
      <w:bookmarkEnd w:id="155"/>
      <w:bookmarkEnd w:id="156"/>
      <w:bookmarkEnd w:id="157"/>
      <w:bookmarkEnd w:id="158"/>
    </w:p>
    <w:p w:rsidR="00464F34" w:rsidRPr="00392FFD" w:rsidRDefault="00125707" w:rsidP="0023700C">
      <w:pPr>
        <w:pStyle w:val="InstructionsText2"/>
        <w:numPr>
          <w:ilvl w:val="0"/>
          <w:numId w:val="0"/>
        </w:numPr>
        <w:ind w:left="1353" w:hanging="360"/>
      </w:pPr>
      <w:r>
        <w:t>48.</w:t>
      </w:r>
      <w:r>
        <w:tab/>
        <w:t>Conformément à l’article 112 du CRR, chaque exposition selon l’approche standard sera affectée à l’une des 16 catégories d’expositions selon l’approche standard, en vue de calculer les exigences de fonds propres.</w:t>
      </w:r>
    </w:p>
    <w:p w:rsidR="00464F34" w:rsidRPr="00392FFD" w:rsidRDefault="00125707" w:rsidP="0023700C">
      <w:pPr>
        <w:pStyle w:val="InstructionsText2"/>
        <w:numPr>
          <w:ilvl w:val="0"/>
          <w:numId w:val="0"/>
        </w:numPr>
        <w:ind w:left="1353" w:hanging="360"/>
      </w:pPr>
      <w:r>
        <w:t>49.</w:t>
      </w:r>
      <w:r>
        <w:tab/>
        <w:t>Dans le modèle CR SA, les informations sont requises pour l’ensemble des c</w:t>
      </w:r>
      <w:r>
        <w:t>a</w:t>
      </w:r>
      <w:r>
        <w:t xml:space="preserve">tégories d’expositions ainsi qu’individuellement pour chacune des catégories d’expositions telles que définies pour l’approche standard. Les chiffres totaux ainsi que les informations sur chaque catégorie d’expositions sont déclarés dans une dimension distincte. </w:t>
      </w:r>
    </w:p>
    <w:p w:rsidR="00464F34" w:rsidRPr="00392FFD" w:rsidRDefault="00125707" w:rsidP="0023700C">
      <w:pPr>
        <w:pStyle w:val="InstructionsText2"/>
        <w:numPr>
          <w:ilvl w:val="0"/>
          <w:numId w:val="0"/>
        </w:numPr>
        <w:ind w:left="1353" w:hanging="360"/>
      </w:pPr>
      <w:r>
        <w:t>50.</w:t>
      </w:r>
      <w:r>
        <w:tab/>
        <w:t>Néanmoins, les positions suivantes n’entrent pas dans le champ d’application du modèle CR SA:</w:t>
      </w:r>
    </w:p>
    <w:p w:rsidR="00464F34" w:rsidRPr="00392FFD" w:rsidRDefault="00125707" w:rsidP="0023700C">
      <w:pPr>
        <w:pStyle w:val="InstructionsText2"/>
        <w:numPr>
          <w:ilvl w:val="0"/>
          <w:numId w:val="0"/>
        </w:numPr>
        <w:ind w:left="1440" w:hanging="360"/>
      </w:pPr>
      <w:r>
        <w:t>a)</w:t>
      </w:r>
      <w:r>
        <w:tab/>
        <w:t>Expositions affectées à la catégorie d’exposition «éléments représentatifs de positions de titrisation» conformément à l’article 112, point m), du CRR, qui seront déclarées dans les modèles CR SEC.</w:t>
      </w:r>
    </w:p>
    <w:p w:rsidR="00464F34" w:rsidRPr="00392FFD" w:rsidRDefault="00125707" w:rsidP="0023700C">
      <w:pPr>
        <w:pStyle w:val="InstructionsText2"/>
        <w:numPr>
          <w:ilvl w:val="0"/>
          <w:numId w:val="0"/>
        </w:numPr>
        <w:ind w:left="1440" w:hanging="360"/>
      </w:pPr>
      <w:r>
        <w:t>b)</w:t>
      </w:r>
      <w:r>
        <w:tab/>
        <w:t>Expositions déduites des fonds propres.</w:t>
      </w:r>
    </w:p>
    <w:p w:rsidR="00464F34" w:rsidRPr="00392FFD" w:rsidRDefault="00125707" w:rsidP="0023700C">
      <w:pPr>
        <w:pStyle w:val="InstructionsText2"/>
        <w:numPr>
          <w:ilvl w:val="0"/>
          <w:numId w:val="0"/>
        </w:numPr>
        <w:ind w:left="1353" w:hanging="360"/>
      </w:pPr>
      <w:r>
        <w:t>51.</w:t>
      </w:r>
      <w:r>
        <w:tab/>
        <w:t>Le champ d’application du modèle CR SA couvre les exigences de fonds propres suivantes:</w:t>
      </w:r>
    </w:p>
    <w:p w:rsidR="00464F34" w:rsidRPr="00392FFD" w:rsidRDefault="00125707" w:rsidP="0023700C">
      <w:pPr>
        <w:pStyle w:val="InstructionsText2"/>
        <w:numPr>
          <w:ilvl w:val="0"/>
          <w:numId w:val="0"/>
        </w:numPr>
        <w:ind w:left="1440" w:hanging="360"/>
      </w:pPr>
      <w:r>
        <w:t>a)</w:t>
      </w:r>
      <w:r>
        <w:tab/>
        <w:t>Risque de crédit conformément au chapitre 2 (approche standard) du titre II de la troisième partie du CRR dans le portefeuille d’intermédiation bancaire, n</w:t>
      </w:r>
      <w:r>
        <w:t>o</w:t>
      </w:r>
      <w:r>
        <w:t>tamment le risque de crédit de contrepartie conformément au chapitre 6 (risque de crédit de contrepartie) du titre II de la troisième partie du CRR dans le po</w:t>
      </w:r>
      <w:r>
        <w:t>r</w:t>
      </w:r>
      <w:r>
        <w:t>tefeuille d’intermédiation bancaire;</w:t>
      </w:r>
    </w:p>
    <w:p w:rsidR="00464F34" w:rsidRPr="00392FFD" w:rsidRDefault="00125707" w:rsidP="0023700C">
      <w:pPr>
        <w:pStyle w:val="InstructionsText2"/>
        <w:numPr>
          <w:ilvl w:val="0"/>
          <w:numId w:val="0"/>
        </w:numPr>
        <w:ind w:left="1440" w:hanging="360"/>
      </w:pPr>
      <w:r>
        <w:lastRenderedPageBreak/>
        <w:t>b)</w:t>
      </w:r>
      <w:r>
        <w:tab/>
        <w:t>Risque de crédit de contrepartie conformément au chapitre 6 (risque de crédit de contrepartie) du titre II de la troisième partie du CRR dans le portefeuille de négociation;</w:t>
      </w:r>
    </w:p>
    <w:p w:rsidR="00464F34" w:rsidRPr="00392FFD" w:rsidRDefault="00125707" w:rsidP="0023700C">
      <w:pPr>
        <w:pStyle w:val="InstructionsText2"/>
        <w:numPr>
          <w:ilvl w:val="0"/>
          <w:numId w:val="0"/>
        </w:numPr>
        <w:ind w:left="1440" w:hanging="360"/>
      </w:pPr>
      <w:r>
        <w:t>c)</w:t>
      </w:r>
      <w:r>
        <w:tab/>
        <w:t>Risque de règlement provenant des positions de négociation non dénouées, conformément à l’article 379 du CRR, pour toutes les activités de l’établissement.</w:t>
      </w:r>
    </w:p>
    <w:p w:rsidR="00464F34" w:rsidRPr="00392FFD" w:rsidRDefault="00125707" w:rsidP="0023700C">
      <w:pPr>
        <w:pStyle w:val="InstructionsText2"/>
        <w:numPr>
          <w:ilvl w:val="0"/>
          <w:numId w:val="0"/>
        </w:numPr>
        <w:ind w:left="1353" w:hanging="360"/>
      </w:pPr>
      <w:r>
        <w:t>52.</w:t>
      </w:r>
      <w:r>
        <w:tab/>
        <w:t>Le champ d’application du modèle couvre l’ensemble des expositions pour le</w:t>
      </w:r>
      <w:r>
        <w:t>s</w:t>
      </w:r>
      <w:r>
        <w:t>quelles les exigences de fonds propres sont calculées conformément à la tro</w:t>
      </w:r>
      <w:r>
        <w:t>i</w:t>
      </w:r>
      <w:r>
        <w:t>sième partie, titre II, chapitre 2 du CRR, en combinaison avec la troisième pa</w:t>
      </w:r>
      <w:r>
        <w:t>r</w:t>
      </w:r>
      <w:r>
        <w:t>tie, titre II, chapitres 4 et 6 du CRR. Les établissements qui appliquent les di</w:t>
      </w:r>
      <w:r>
        <w:t>s</w:t>
      </w:r>
      <w:r>
        <w:t>positions de l’article 94, paragraphe 1, du CRR doivent également déclarer leurs positions dans le portefeuille de négociation dans ce modèle, lorsqu’ils appl</w:t>
      </w:r>
      <w:r>
        <w:t>i</w:t>
      </w:r>
      <w:r>
        <w:t>quent les dispositions de la troisième partie, titre II, chapitre 2 du CRR pour le calcul des exigences de fonds propres de celles-ci (troisième partie, titre II, ch</w:t>
      </w:r>
      <w:r>
        <w:t>a</w:t>
      </w:r>
      <w:r>
        <w:t>pitres 2 et 6, et titre V du CRR). Dès lors, le modèle ne fournit pas seulement des informations détaillées sur le type d’exposition (éléments au bilan/hors b</w:t>
      </w:r>
      <w:r>
        <w:t>i</w:t>
      </w:r>
      <w:r>
        <w:t>lan, par exemple), mais également des informations sur l’affectation des pond</w:t>
      </w:r>
      <w:r>
        <w:t>é</w:t>
      </w:r>
      <w:r>
        <w:t>rations de risque au sein des catégories d’expositions respectives.</w:t>
      </w:r>
    </w:p>
    <w:p w:rsidR="00464F34" w:rsidRPr="00392FFD" w:rsidRDefault="00125707" w:rsidP="0023700C">
      <w:pPr>
        <w:pStyle w:val="InstructionsText2"/>
        <w:numPr>
          <w:ilvl w:val="0"/>
          <w:numId w:val="0"/>
        </w:numPr>
        <w:ind w:left="1353" w:hanging="360"/>
      </w:pPr>
      <w:bookmarkStart w:id="159" w:name="_Toc264033212"/>
      <w:bookmarkStart w:id="160" w:name="_Toc294166813"/>
      <w:bookmarkStart w:id="161" w:name="_Toc294256386"/>
      <w:bookmarkStart w:id="162" w:name="_Toc294256487"/>
      <w:bookmarkStart w:id="163" w:name="_Toc294267371"/>
      <w:bookmarkStart w:id="164" w:name="_Toc294267476"/>
      <w:bookmarkStart w:id="165" w:name="_Toc294267607"/>
      <w:bookmarkStart w:id="166" w:name="_Toc294267709"/>
      <w:bookmarkStart w:id="167" w:name="_Toc294274817"/>
      <w:bookmarkStart w:id="168" w:name="_Toc294280261"/>
      <w:bookmarkStart w:id="169" w:name="_Toc294281586"/>
      <w:bookmarkStart w:id="170" w:name="_Toc294281806"/>
      <w:bookmarkStart w:id="171" w:name="_Toc294282020"/>
      <w:bookmarkStart w:id="172" w:name="_Toc294282223"/>
      <w:bookmarkStart w:id="173" w:name="_Toc294714158"/>
      <w:bookmarkStart w:id="174" w:name="_Toc295314184"/>
      <w:bookmarkStart w:id="175" w:name="_Toc295829573"/>
      <w:bookmarkStart w:id="176" w:name="_Toc295829856"/>
      <w:bookmarkStart w:id="177" w:name="_Toc301772744"/>
      <w:bookmarkStart w:id="178" w:name="_Toc301772822"/>
      <w:bookmarkStart w:id="179" w:name="_Toc302657761"/>
      <w:bookmarkStart w:id="180" w:name="_Toc302657880"/>
      <w:bookmarkStart w:id="181" w:name="_Toc307582992"/>
      <w:bookmarkStart w:id="182" w:name="_Toc307583014"/>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r>
        <w:t>53.</w:t>
      </w:r>
      <w:r>
        <w:tab/>
        <w:t>De plus, le modèle CR SA contient des postes pour mémoire aux lignes 290 à 320, afin de collecter des informations supplémentaires sur les expositions g</w:t>
      </w:r>
      <w:r>
        <w:t>a</w:t>
      </w:r>
      <w:r>
        <w:t xml:space="preserve">ranties par des hypothèques sur des biens immobiliers et sur les expositions en défaut. </w:t>
      </w:r>
    </w:p>
    <w:p w:rsidR="00464F34" w:rsidRPr="00392FFD" w:rsidRDefault="00125707" w:rsidP="0023700C">
      <w:pPr>
        <w:pStyle w:val="InstructionsText2"/>
        <w:numPr>
          <w:ilvl w:val="0"/>
          <w:numId w:val="0"/>
        </w:numPr>
        <w:ind w:left="1353" w:hanging="360"/>
      </w:pPr>
      <w:r>
        <w:t>54.</w:t>
      </w:r>
      <w:r>
        <w:tab/>
        <w:t xml:space="preserve">Ces postes pour mémoire ne seront utilisés que pour les catégories d’expositions suivantes: </w:t>
      </w:r>
    </w:p>
    <w:p w:rsidR="00464F34" w:rsidRPr="00392FFD" w:rsidRDefault="00125707" w:rsidP="0023700C">
      <w:pPr>
        <w:pStyle w:val="InstructionsText2"/>
        <w:numPr>
          <w:ilvl w:val="0"/>
          <w:numId w:val="0"/>
        </w:numPr>
        <w:ind w:left="1440" w:hanging="360"/>
      </w:pPr>
      <w:r>
        <w:t>a)</w:t>
      </w:r>
      <w:r>
        <w:tab/>
        <w:t>Administrations centrales ou banques centrales (article 112, point a), du CRR)</w:t>
      </w:r>
    </w:p>
    <w:p w:rsidR="00464F34" w:rsidRPr="00392FFD" w:rsidRDefault="00125707" w:rsidP="0023700C">
      <w:pPr>
        <w:pStyle w:val="InstructionsText2"/>
        <w:numPr>
          <w:ilvl w:val="0"/>
          <w:numId w:val="0"/>
        </w:numPr>
        <w:ind w:left="1440" w:hanging="360"/>
      </w:pPr>
      <w:r>
        <w:t>b)</w:t>
      </w:r>
      <w:r>
        <w:tab/>
        <w:t>Administrations régionales ou locales (article 112, point b), du CRR)</w:t>
      </w:r>
    </w:p>
    <w:p w:rsidR="00464F34" w:rsidRPr="00392FFD" w:rsidRDefault="00125707" w:rsidP="0023700C">
      <w:pPr>
        <w:pStyle w:val="InstructionsText2"/>
        <w:numPr>
          <w:ilvl w:val="0"/>
          <w:numId w:val="0"/>
        </w:numPr>
        <w:ind w:left="1440" w:hanging="360"/>
      </w:pPr>
      <w:r>
        <w:t>c)</w:t>
      </w:r>
      <w:r>
        <w:tab/>
        <w:t>Entités du secteur public (article 112, point c), du CRR)</w:t>
      </w:r>
    </w:p>
    <w:p w:rsidR="00464F34" w:rsidRPr="00392FFD" w:rsidRDefault="00125707" w:rsidP="0023700C">
      <w:pPr>
        <w:pStyle w:val="InstructionsText2"/>
        <w:numPr>
          <w:ilvl w:val="0"/>
          <w:numId w:val="0"/>
        </w:numPr>
        <w:ind w:left="1440" w:hanging="360"/>
      </w:pPr>
      <w:r>
        <w:t>d)</w:t>
      </w:r>
      <w:r>
        <w:tab/>
        <w:t>Établissements (article 112, point f), du CRR)</w:t>
      </w:r>
    </w:p>
    <w:p w:rsidR="00464F34" w:rsidRPr="00392FFD" w:rsidRDefault="00125707" w:rsidP="0023700C">
      <w:pPr>
        <w:pStyle w:val="InstructionsText2"/>
        <w:numPr>
          <w:ilvl w:val="0"/>
          <w:numId w:val="0"/>
        </w:numPr>
        <w:ind w:left="1440" w:hanging="360"/>
      </w:pPr>
      <w:r>
        <w:t>e)</w:t>
      </w:r>
      <w:r>
        <w:tab/>
        <w:t>Entreprises (article 112, point g), du CRR)</w:t>
      </w:r>
    </w:p>
    <w:p w:rsidR="00464F34" w:rsidRPr="00392FFD" w:rsidRDefault="00125707" w:rsidP="0023700C">
      <w:pPr>
        <w:pStyle w:val="InstructionsText2"/>
        <w:numPr>
          <w:ilvl w:val="0"/>
          <w:numId w:val="0"/>
        </w:numPr>
        <w:ind w:left="1440" w:hanging="360"/>
      </w:pPr>
      <w:r>
        <w:t>f)</w:t>
      </w:r>
      <w:r>
        <w:tab/>
        <w:t>Clientèle de détail (article 112, point h), du CRR)</w:t>
      </w:r>
    </w:p>
    <w:p w:rsidR="00464F34" w:rsidRPr="00392FFD" w:rsidRDefault="00125707" w:rsidP="0023700C">
      <w:pPr>
        <w:pStyle w:val="InstructionsText2"/>
        <w:numPr>
          <w:ilvl w:val="0"/>
          <w:numId w:val="0"/>
        </w:numPr>
        <w:ind w:left="1353" w:hanging="360"/>
      </w:pPr>
      <w:r>
        <w:t>55.</w:t>
      </w:r>
      <w:r>
        <w:tab/>
        <w:t xml:space="preserve">La déclaration des postes pour mémoire n’affecte ni le calcul des montants d’exposition pondérés des catégories d’expositions visées à l’article 112, points a) à c) et f) à h) du CRR, ni les catégories d’expositions visées à l’article 112, points i) et j) du CRR, déclarées dans le modèle CR SA. </w:t>
      </w:r>
    </w:p>
    <w:p w:rsidR="00464F34" w:rsidRPr="00392FFD" w:rsidRDefault="00125707" w:rsidP="0023700C">
      <w:pPr>
        <w:pStyle w:val="InstructionsText2"/>
        <w:numPr>
          <w:ilvl w:val="0"/>
          <w:numId w:val="0"/>
        </w:numPr>
        <w:ind w:left="1353" w:hanging="360"/>
      </w:pPr>
      <w:r>
        <w:t>56.</w:t>
      </w:r>
      <w:r>
        <w:tab/>
        <w:t>Les lignes pour mémoire fournissent des informations complémentaires sur la structure des débiteurs dans les catégories d’expositions «en défaut» ou «gara</w:t>
      </w:r>
      <w:r>
        <w:t>n</w:t>
      </w:r>
      <w:r>
        <w:t>ties par des hypothèques sur des biens immobiliers». Les expositions sont décl</w:t>
      </w:r>
      <w:r>
        <w:t>a</w:t>
      </w:r>
      <w:r>
        <w:t>rées dans ces lignes lorsque les débiteurs auraient dû figurer dans les catégories d’expositions «Administrations centrales ou banques centrales», «Administr</w:t>
      </w:r>
      <w:r>
        <w:t>a</w:t>
      </w:r>
      <w:r>
        <w:t xml:space="preserve">tions régionales ou locales», «Entités du secteur public», «Établissements», </w:t>
      </w:r>
      <w:r>
        <w:lastRenderedPageBreak/>
        <w:t>«Entreprises» et «Clientèle de détail» du modèle CR SA, si ces expositions n’avaient pas été affectées aux catégories d’expositions «en défaut» ou «gara</w:t>
      </w:r>
      <w:r>
        <w:t>n</w:t>
      </w:r>
      <w:r>
        <w:t>ties par des hypothèques sur des biens immobiliers». Cependant, les chiffres d</w:t>
      </w:r>
      <w:r>
        <w:t>é</w:t>
      </w:r>
      <w:r>
        <w:t>clarés dans ces lignes sont les mêmes que ceux utilisés pour calculer les mo</w:t>
      </w:r>
      <w:r>
        <w:t>n</w:t>
      </w:r>
      <w:r>
        <w:t>tants d’exposition pondérés dans les catégories d’expositions «en défaut» ou «garanties par des hypothèques sur des biens immobiliers».</w:t>
      </w:r>
    </w:p>
    <w:p w:rsidR="00464F34" w:rsidRPr="00392FFD" w:rsidRDefault="00125707" w:rsidP="0023700C">
      <w:pPr>
        <w:pStyle w:val="InstructionsText2"/>
        <w:numPr>
          <w:ilvl w:val="0"/>
          <w:numId w:val="0"/>
        </w:numPr>
        <w:ind w:left="1353" w:hanging="360"/>
      </w:pPr>
      <w:r>
        <w:t>57.</w:t>
      </w:r>
      <w:r>
        <w:tab/>
        <w:t>Par exemple, en cas d’exposition dont les montants d’exposition au risque sont calculés conformément à l’article 127 du CRR et dont les corrections de valeurs sont inférieures à 20 %, cette donnée doit être déclarée dans le modèle CR SA, à la ligne 320 au niveau du total et dans la catégorie d’exposition «en défaut». Si cette exposition, avant d’être en défaut, était une exposition sur un établiss</w:t>
      </w:r>
      <w:r>
        <w:t>e</w:t>
      </w:r>
      <w:r>
        <w:t>ment, cette donnée doit également figurer à la ligne 320 de la catégorie d’exposition «établissements».</w:t>
      </w:r>
    </w:p>
    <w:p w:rsidR="00464F34" w:rsidRPr="00392FFD" w:rsidRDefault="00125707" w:rsidP="0023700C">
      <w:pPr>
        <w:pStyle w:val="Instructionsberschrift2"/>
        <w:numPr>
          <w:ilvl w:val="0"/>
          <w:numId w:val="0"/>
        </w:numPr>
        <w:ind w:left="357" w:hanging="357"/>
        <w:rPr>
          <w:rFonts w:ascii="Times New Roman" w:hAnsi="Times New Roman" w:cs="Times New Roman"/>
          <w:sz w:val="24"/>
        </w:rPr>
      </w:pPr>
      <w:bookmarkStart w:id="183" w:name="_Toc262568030"/>
      <w:bookmarkStart w:id="184" w:name="_Toc264038428"/>
      <w:bookmarkStart w:id="185" w:name="_Toc292456207"/>
      <w:bookmarkStart w:id="186" w:name="_Toc295829858"/>
      <w:bookmarkStart w:id="187" w:name="_Toc496022295"/>
      <w:r>
        <w:rPr>
          <w:rFonts w:ascii="Times New Roman" w:hAnsi="Times New Roman"/>
          <w:sz w:val="24"/>
          <w:u w:val="none"/>
        </w:rPr>
        <w:t>3.2.3.</w:t>
      </w:r>
      <w:r>
        <w:tab/>
      </w:r>
      <w:r>
        <w:rPr>
          <w:rFonts w:ascii="Times New Roman" w:hAnsi="Times New Roman"/>
          <w:sz w:val="24"/>
        </w:rPr>
        <w:t xml:space="preserve"> </w:t>
      </w:r>
      <w:bookmarkStart w:id="188" w:name="_Toc310415022"/>
      <w:bookmarkStart w:id="189" w:name="_Toc360188351"/>
      <w:bookmarkStart w:id="190" w:name="_Toc473560900"/>
      <w:r>
        <w:rPr>
          <w:rFonts w:ascii="Times New Roman" w:hAnsi="Times New Roman"/>
          <w:sz w:val="24"/>
        </w:rPr>
        <w:t>Affectation des expositions aux catégories d’expositions, selon l’approche standard</w:t>
      </w:r>
      <w:bookmarkEnd w:id="183"/>
      <w:bookmarkEnd w:id="184"/>
      <w:bookmarkEnd w:id="185"/>
      <w:bookmarkEnd w:id="186"/>
      <w:bookmarkEnd w:id="188"/>
      <w:bookmarkEnd w:id="189"/>
      <w:bookmarkEnd w:id="190"/>
      <w:bookmarkEnd w:id="187"/>
    </w:p>
    <w:p w:rsidR="00464F34" w:rsidRPr="00392FFD" w:rsidRDefault="00125707" w:rsidP="0023700C">
      <w:pPr>
        <w:pStyle w:val="InstructionsText2"/>
        <w:numPr>
          <w:ilvl w:val="0"/>
          <w:numId w:val="0"/>
        </w:numPr>
        <w:ind w:left="1353" w:hanging="360"/>
      </w:pPr>
      <w:r>
        <w:t>58.</w:t>
      </w:r>
      <w:r>
        <w:tab/>
        <w:t xml:space="preserve">Afin de garantir une répartition cohérente des expositions selon les différentes catégories d’expositions telles que définies à l’article 112 du CRR, on utilisera l’approche séquentielle suivante: </w:t>
      </w:r>
    </w:p>
    <w:p w:rsidR="00464F34" w:rsidRPr="00392FFD" w:rsidRDefault="00125707" w:rsidP="0023700C">
      <w:pPr>
        <w:pStyle w:val="InstructionsText2"/>
        <w:numPr>
          <w:ilvl w:val="0"/>
          <w:numId w:val="0"/>
        </w:numPr>
        <w:ind w:left="1440" w:hanging="360"/>
      </w:pPr>
      <w:r>
        <w:t>a)</w:t>
      </w:r>
      <w:r>
        <w:tab/>
        <w:t>Dans un premier temps, l’exposition initiale avant application des facteurs de conversion est classée dans la catégorie d’exposition (initiale) correspondante, telle que visée à l’article 112 du CRR, sans préjudice du traitement spécifique (pondération de risque) que chaque exposition spécifique reçoit au sein de sa catégorie d’exposition.</w:t>
      </w:r>
    </w:p>
    <w:p w:rsidR="00464F34" w:rsidRPr="00392FFD" w:rsidRDefault="00125707" w:rsidP="0023700C">
      <w:pPr>
        <w:pStyle w:val="InstructionsText2"/>
        <w:numPr>
          <w:ilvl w:val="0"/>
          <w:numId w:val="0"/>
        </w:numPr>
        <w:ind w:left="1440" w:hanging="360"/>
      </w:pPr>
      <w:r>
        <w:t>b)</w:t>
      </w:r>
      <w:r>
        <w:tab/>
        <w:t>Ensuite, les expositions peuvent être redistribuées parmi d’autres catégories d’expositions en raison de l’application de techniques d’atténuation du risque de crédit (ARC) avec effets de substitution sur l’exposition (par ex. garanties, dérivés de crédit, méthode simple fondée sur les sûretés financières) par le biais d’entrées et de sorties.</w:t>
      </w:r>
    </w:p>
    <w:p w:rsidR="00464F34" w:rsidRPr="00392FFD" w:rsidRDefault="00125707" w:rsidP="0023700C">
      <w:pPr>
        <w:pStyle w:val="InstructionsText2"/>
        <w:numPr>
          <w:ilvl w:val="0"/>
          <w:numId w:val="0"/>
        </w:numPr>
        <w:ind w:left="1353" w:hanging="360"/>
      </w:pPr>
      <w:r>
        <w:t>59.</w:t>
      </w:r>
      <w:r>
        <w:tab/>
        <w:t>Les critères suivants s’appliquent dans le cadre de la classification de l’exposition initiale avant application des facteurs de conversion parmi les diff</w:t>
      </w:r>
      <w:r>
        <w:t>é</w:t>
      </w:r>
      <w:r>
        <w:t>rentes catégories d’expositions (première étape), sans préjudice de la redistrib</w:t>
      </w:r>
      <w:r>
        <w:t>u</w:t>
      </w:r>
      <w:r>
        <w:t>tion ultérieure découlant du recours à des techniques d’ARC avec effets de substitution sur l’exposition ou du traitement (pondération de risque) auquel s</w:t>
      </w:r>
      <w:r>
        <w:t>e</w:t>
      </w:r>
      <w:r>
        <w:t>ra soumise chaque exposition dans la catégorie d’expositions assignée.</w:t>
      </w:r>
    </w:p>
    <w:p w:rsidR="00464F34" w:rsidRPr="00392FFD" w:rsidRDefault="00125707" w:rsidP="0023700C">
      <w:pPr>
        <w:pStyle w:val="InstructionsText2"/>
        <w:numPr>
          <w:ilvl w:val="0"/>
          <w:numId w:val="0"/>
        </w:numPr>
        <w:ind w:left="1353" w:hanging="360"/>
      </w:pPr>
      <w:r>
        <w:t>60.</w:t>
      </w:r>
      <w:r>
        <w:tab/>
        <w:t>Aux fins de la classification de l’exposition initiale avant application des fa</w:t>
      </w:r>
      <w:r>
        <w:t>c</w:t>
      </w:r>
      <w:r>
        <w:t>teurs de conversion à la première étape, les techniques d’ARC associées à l’exposition ne seront pas prises en compte (mais elles le seront explicitement dans la deuxième phase), à moins qu’un effet de protection fasse intrinsèqu</w:t>
      </w:r>
      <w:r>
        <w:t>e</w:t>
      </w:r>
      <w:r>
        <w:t>ment partie de la définition d’une catégorie d’exposition, comme cela est le cas dans la catégorie d’exposition visée à l’article 112, point i), du CRR (expos</w:t>
      </w:r>
      <w:r>
        <w:t>i</w:t>
      </w:r>
      <w:r>
        <w:t>tions garanties par des hypothèques sur des biens immobiliers).</w:t>
      </w:r>
    </w:p>
    <w:p w:rsidR="00464F34" w:rsidRPr="00392FFD" w:rsidRDefault="00125707" w:rsidP="0023700C">
      <w:pPr>
        <w:pStyle w:val="InstructionsText2"/>
        <w:numPr>
          <w:ilvl w:val="0"/>
          <w:numId w:val="0"/>
        </w:numPr>
        <w:ind w:left="1353" w:hanging="360"/>
      </w:pPr>
      <w:r>
        <w:t>61.</w:t>
      </w:r>
      <w:r>
        <w:tab/>
        <w:t xml:space="preserve">L’article 112 du CRR ne fournit pas de critères pour dissocier les catégories d’expositions. Il se pourrait donc qu’une exposition puisse être classée dans plusieurs catégories en l’absence de hiérarchisation des critères d’évaluation </w:t>
      </w:r>
      <w:r>
        <w:lastRenderedPageBreak/>
        <w:t>servant au classement. Le cas le plus flagrant est celui de la distinction entre les expositions sur des établissements et des entreprises faisant l’objet d’une év</w:t>
      </w:r>
      <w:r>
        <w:t>a</w:t>
      </w:r>
      <w:r>
        <w:t>luation du crédit à court terme (article 112, point n), du CRR) d’une part, et les expositions sur les établissements (article 112, point f), du CRR)/expositions sur les entreprises (article 112, point g), du CRR) d’autre part. Dans ce cas, il est clair que le CRR fixe implicitement un ordre de priorité, dans la mesure où il faudra d’abord évaluer si une exposition donnée peut être considérée comme une exposition à court terme sur des établissements et des entreprises, et seul</w:t>
      </w:r>
      <w:r>
        <w:t>e</w:t>
      </w:r>
      <w:r>
        <w:t>ment ensuite appliquer la même procédure pour les expositions sur les établi</w:t>
      </w:r>
      <w:r>
        <w:t>s</w:t>
      </w:r>
      <w:r>
        <w:t>sements et les expositions sur les entreprises. Sinon, il est évident qu’une exp</w:t>
      </w:r>
      <w:r>
        <w:t>o</w:t>
      </w:r>
      <w:r>
        <w:t>sition ne pourra jamais faire partie de la catégorie d’exposition visée à l’article 112, point n), du CRR. Cet exemple est l’un des plus flagrants, mais il y en a d’autres. Il faut remarquer que les critères utilisés pour déterminer la catégorie d’exposition selon l’approche standard sont différents (catégorisation instit</w:t>
      </w:r>
      <w:r>
        <w:t>u</w:t>
      </w:r>
      <w:r>
        <w:t>tionnelle, échéance de l’exposition, statut en souffrance, etc.). Il s’agit de la ra</w:t>
      </w:r>
      <w:r>
        <w:t>i</w:t>
      </w:r>
      <w:r>
        <w:t>son sous-jacente invoquée pour ne pas dissocier les catégories.</w:t>
      </w:r>
    </w:p>
    <w:p w:rsidR="00464F34" w:rsidRPr="00392FFD" w:rsidRDefault="00125707" w:rsidP="0023700C">
      <w:pPr>
        <w:pStyle w:val="InstructionsText2"/>
        <w:numPr>
          <w:ilvl w:val="0"/>
          <w:numId w:val="0"/>
        </w:numPr>
        <w:ind w:left="1353" w:hanging="360"/>
      </w:pPr>
      <w:r>
        <w:t>62.</w:t>
      </w:r>
      <w:r>
        <w:tab/>
        <w:t>En vue d’une déclaration homogène et comparable, il est nécessaire de préciser l’ordre de priorité des critères d’évaluation pour classer l’exposition initiale avant application des facteurs de conversion parmi les différentes catégories d’expositions, sans préjudice du traitement spécifique (pondération de risque) auquel sera soumise chaque exposition spécifique dans la catégorie d’exposition qui lui aura été assignée. Les critères de priorité présentés ci-dessous, sous la forme d’un schéma de décision, sont basés sur l’évaluation des conditions e</w:t>
      </w:r>
      <w:r>
        <w:t>x</w:t>
      </w:r>
      <w:r>
        <w:t>plicitement énoncées dans le CRR pour qu’une exposition soit affectée à une catégorie d’exposition donnée et, le cas échéant, sur toute décision de la part des établissements déclarants ou de l’autorité de surveillance sur l’applicabilité de certaines catégories d’expositions. Ainsi, l’issue de la procédure d’attribution de l’exposition aux fins de déclaration satisferait aux dispositions du CRR. Cela n’empêche pas les établissements de recourir à d’autres procédures d’attribution internes susceptibles d’être également conformes à toutes les dispositions pert</w:t>
      </w:r>
      <w:r>
        <w:t>i</w:t>
      </w:r>
      <w:r>
        <w:t>nentes du CRR et à ses interprétations émises dans les enceintes appropriées.</w:t>
      </w:r>
    </w:p>
    <w:p w:rsidR="00464F34" w:rsidRPr="00392FFD" w:rsidRDefault="00125707" w:rsidP="0023700C">
      <w:pPr>
        <w:pStyle w:val="InstructionsText2"/>
        <w:numPr>
          <w:ilvl w:val="0"/>
          <w:numId w:val="0"/>
        </w:numPr>
        <w:ind w:left="1353" w:hanging="360"/>
      </w:pPr>
      <w:r>
        <w:t>63.</w:t>
      </w:r>
      <w:r>
        <w:tab/>
        <w:t>Une catégorie d’exposition devient prioritaire sur les autres dans la hiérarchie d’évaluation du schéma de décision (c’est-à-dire qu’il convient d’abord de d</w:t>
      </w:r>
      <w:r>
        <w:t>é</w:t>
      </w:r>
      <w:r>
        <w:t>terminer si l’on peut affecter une exposition à cette catégorie, sans préjudice de l’issue de cette évaluation) lorsqu’autrement, aucune exposition ne lui serait p</w:t>
      </w:r>
      <w:r>
        <w:t>o</w:t>
      </w:r>
      <w:r>
        <w:t>tentiellement attribuée. Cela peut survenir lorsque, en l’absence de critères de priorité, une catégorie d’exposition serait un sous-ensemble d’autres catégories. Ainsi, les critères présentés graphiquement dans le schéma de décision ci-dessous suivraient un processus séquentiel.</w:t>
      </w:r>
    </w:p>
    <w:p w:rsidR="00464F34" w:rsidRPr="00392FFD" w:rsidRDefault="00125707" w:rsidP="0023700C">
      <w:pPr>
        <w:pStyle w:val="InstructionsText2"/>
        <w:numPr>
          <w:ilvl w:val="0"/>
          <w:numId w:val="0"/>
        </w:numPr>
        <w:ind w:left="1353" w:hanging="360"/>
      </w:pPr>
      <w:r>
        <w:t>64.</w:t>
      </w:r>
      <w:r>
        <w:tab/>
        <w:t>Dès lors, la hiérarchie d’évaluation dans le schéma de décision figurant ci-dessous suivrait l’ordre suivant:</w:t>
      </w:r>
    </w:p>
    <w:p w:rsidR="00464F34" w:rsidRPr="00392FFD" w:rsidRDefault="00464F34" w:rsidP="00622B37">
      <w:pPr>
        <w:pStyle w:val="InstructionsText"/>
      </w:pPr>
      <w:r>
        <w:t>1. Positions de titrisation;</w:t>
      </w:r>
    </w:p>
    <w:p w:rsidR="00464F34" w:rsidRPr="00392FFD" w:rsidRDefault="00464F34" w:rsidP="00622B37">
      <w:pPr>
        <w:pStyle w:val="InstructionsText"/>
      </w:pPr>
      <w:r>
        <w:t>2. Éléments présentant un risque particulièrement élevé;</w:t>
      </w:r>
    </w:p>
    <w:p w:rsidR="00464F34" w:rsidRPr="00392FFD" w:rsidRDefault="00464F34" w:rsidP="00622B37">
      <w:pPr>
        <w:pStyle w:val="InstructionsText"/>
      </w:pPr>
      <w:r>
        <w:t>3. Expositions sous forme d’actions;</w:t>
      </w:r>
    </w:p>
    <w:p w:rsidR="00464F34" w:rsidRPr="00392FFD" w:rsidRDefault="00464F34" w:rsidP="00622B37">
      <w:pPr>
        <w:pStyle w:val="InstructionsText"/>
      </w:pPr>
      <w:r>
        <w:t>4. Expositions en défaut;</w:t>
      </w:r>
    </w:p>
    <w:p w:rsidR="00464F34" w:rsidRPr="00392FFD" w:rsidRDefault="00464F34" w:rsidP="00622B37">
      <w:pPr>
        <w:pStyle w:val="InstructionsText"/>
      </w:pPr>
      <w:r>
        <w:lastRenderedPageBreak/>
        <w:t>5. Expositions sous la forme de parts ou d’actions d’OPC/Expositions sous forme d’obligations garanties (catégories d’expositions disjointes);</w:t>
      </w:r>
    </w:p>
    <w:p w:rsidR="00464F34" w:rsidRPr="00392FFD" w:rsidRDefault="00464F34" w:rsidP="00622B37">
      <w:pPr>
        <w:pStyle w:val="InstructionsText"/>
      </w:pPr>
      <w:r>
        <w:t>6. Expositions garanties par une hypothèque sur un bien immobilier;</w:t>
      </w:r>
    </w:p>
    <w:p w:rsidR="00464F34" w:rsidRPr="00392FFD" w:rsidRDefault="00464F34" w:rsidP="00622B37">
      <w:pPr>
        <w:pStyle w:val="InstructionsText"/>
      </w:pPr>
      <w:r>
        <w:t>7. Autres éléments;</w:t>
      </w:r>
    </w:p>
    <w:p w:rsidR="00464F34" w:rsidRPr="00392FFD" w:rsidRDefault="00464F34" w:rsidP="00622B37">
      <w:pPr>
        <w:pStyle w:val="InstructionsText"/>
      </w:pPr>
      <w:r>
        <w:t>8. Expositions sur des établissements et des entreprises faisant l’objet d’une évaluation du crédit à court terme;</w:t>
      </w:r>
    </w:p>
    <w:p w:rsidR="00464F34" w:rsidRPr="00392FFD" w:rsidRDefault="00464F34" w:rsidP="00622B37">
      <w:pPr>
        <w:pStyle w:val="InstructionsText"/>
      </w:pPr>
      <w:r>
        <w:t>9. Toutes les autres catégories d'expositions (disjointes), comprenant des expositions sur les administrations centrales ou les banques centrales; expositions sur les administrations régi</w:t>
      </w:r>
      <w:r>
        <w:t>o</w:t>
      </w:r>
      <w:r>
        <w:t>nales ou locales; expositions sur les entités du secteur public; expositions sur les banques mu</w:t>
      </w:r>
      <w:r>
        <w:t>l</w:t>
      </w:r>
      <w:r>
        <w:t>tilatérales de développement; expositions sur les organisations internationales; expositions sur les établissements; expositions sur les entreprises et expositions sur la clientèle de détail.</w:t>
      </w:r>
    </w:p>
    <w:p w:rsidR="00464F34" w:rsidRPr="00392FFD" w:rsidRDefault="00125707" w:rsidP="0023700C">
      <w:pPr>
        <w:pStyle w:val="InstructionsText2"/>
        <w:numPr>
          <w:ilvl w:val="0"/>
          <w:numId w:val="0"/>
        </w:numPr>
        <w:ind w:left="1353" w:hanging="360"/>
      </w:pPr>
      <w:r>
        <w:t>65.</w:t>
      </w:r>
      <w:r>
        <w:tab/>
        <w:t>Dans le cas d'expositions sous la forme de parts ou d'actions d'OPC pour le</w:t>
      </w:r>
      <w:r>
        <w:t>s</w:t>
      </w:r>
      <w:r>
        <w:t>quelles l'approche par transparence (article 132, paragraphes 3 à 5, du CRR) est utilisée, si les expositions individuelles sous-jacentes seront prises en compte et classées dans la ligne de pondération au risque correspondante, en fonction de leur traitement, toutes les expositions individuelles seront quoi qu'il en soit cla</w:t>
      </w:r>
      <w:r>
        <w:t>s</w:t>
      </w:r>
      <w:r>
        <w:t>sées dans la catégorie des expositions sous la forme de parts ou d'actions d'OPC.</w:t>
      </w:r>
    </w:p>
    <w:p w:rsidR="00464F34" w:rsidRPr="00392FFD" w:rsidRDefault="00125707" w:rsidP="0023700C">
      <w:pPr>
        <w:pStyle w:val="InstructionsText2"/>
        <w:numPr>
          <w:ilvl w:val="0"/>
          <w:numId w:val="0"/>
        </w:numPr>
        <w:ind w:left="1353" w:hanging="360"/>
      </w:pPr>
      <w:r>
        <w:t>66.</w:t>
      </w:r>
      <w:r>
        <w:tab/>
        <w:t>Dans le cas du nième défaut pour les dérivés de crédit visés à l'article 134, p</w:t>
      </w:r>
      <w:r>
        <w:t>a</w:t>
      </w:r>
      <w:r>
        <w:t>ragraphe 6, du CRR, lorsque ceux-ci font l'objet d'une évaluation externe de crédit, ils seront directement classés comme positions de titrisation. S’ils ne font pas l’objet d’une évaluation externe de crédit, ils seront classés dans la catég</w:t>
      </w:r>
      <w:r>
        <w:t>o</w:t>
      </w:r>
      <w:r>
        <w:t>rie des «Autres éléments». Dans ce dernier cas, le montant nominal du contrat sera déclaré comme l'exposition initiale avant application des facteurs de co</w:t>
      </w:r>
      <w:r>
        <w:t>n</w:t>
      </w:r>
      <w:r>
        <w:t xml:space="preserve">version, dans la ligne «Autres pondérations de risque» (la pondération de risque retenue sera celle indiquée par la somme visée à l'article 134, paragraphe 6, du CRR). </w:t>
      </w:r>
    </w:p>
    <w:p w:rsidR="00464F34" w:rsidRPr="00392FFD" w:rsidRDefault="00125707" w:rsidP="0023700C">
      <w:pPr>
        <w:pStyle w:val="InstructionsText2"/>
        <w:numPr>
          <w:ilvl w:val="0"/>
          <w:numId w:val="0"/>
        </w:numPr>
        <w:ind w:left="1353" w:hanging="360"/>
      </w:pPr>
      <w:r>
        <w:t>67.</w:t>
      </w:r>
      <w:r>
        <w:tab/>
        <w:t>Dans une seconde étape, du fait des techniques d’atténuation du risque de crédit avec effets de substitution, les expositions seront réaffectées à la catégorie d’exposition du fournisseur de protection.</w:t>
      </w:r>
    </w:p>
    <w:p w:rsidR="00464F34" w:rsidRPr="00392FFD" w:rsidRDefault="00464F34" w:rsidP="00622B37">
      <w:pPr>
        <w:pStyle w:val="InstructionsText"/>
      </w:pPr>
      <w:r>
        <w:br w:type="page"/>
      </w:r>
      <w:r>
        <w:lastRenderedPageBreak/>
        <w:t>SCHÉMA DE DÉCISION SUR LA MANIÈRE DE DÉCLARER L’EXPOSITION IN</w:t>
      </w:r>
      <w:r>
        <w:t>I</w:t>
      </w:r>
      <w:r>
        <w:t>TIALE AVANT APPLICATION DES FACTEURS DE CONVERSION DANS LES C</w:t>
      </w:r>
      <w:r>
        <w:t>A</w:t>
      </w:r>
      <w:r>
        <w:t xml:space="preserve">TÉGORIES D’EXPOSITIONS DE L’APPROCHE STANDARD, SELON LE CRR </w:t>
      </w:r>
    </w:p>
    <w:p w:rsidR="00464F34" w:rsidRPr="00392FFD" w:rsidRDefault="00464F34" w:rsidP="00622B37">
      <w:pPr>
        <w:pStyle w:val="InstructionsText"/>
      </w:pPr>
    </w:p>
    <w:tbl>
      <w:tblPr>
        <w:tblW w:w="0" w:type="auto"/>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1"/>
        <w:gridCol w:w="1417"/>
        <w:gridCol w:w="4077"/>
      </w:tblGrid>
      <w:tr w:rsidR="003A1B96" w:rsidRPr="0023700C" w:rsidTr="00334093">
        <w:tc>
          <w:tcPr>
            <w:tcW w:w="3761" w:type="dxa"/>
            <w:shd w:val="clear" w:color="auto" w:fill="auto"/>
          </w:tcPr>
          <w:p w:rsidR="003A1B96" w:rsidRPr="0023700C" w:rsidRDefault="003A1B96" w:rsidP="00334093">
            <w:pPr>
              <w:spacing w:before="0" w:after="0"/>
              <w:jc w:val="left"/>
              <w:rPr>
                <w:sz w:val="24"/>
              </w:rPr>
            </w:pPr>
            <w:r>
              <w:rPr>
                <w:rFonts w:ascii="Times New Roman" w:hAnsi="Times New Roman"/>
                <w:sz w:val="24"/>
              </w:rPr>
              <w:t>Exposition initiale avant application des facteurs de conversion</w:t>
            </w:r>
          </w:p>
        </w:tc>
        <w:tc>
          <w:tcPr>
            <w:tcW w:w="1417" w:type="dxa"/>
            <w:shd w:val="clear" w:color="auto" w:fill="auto"/>
          </w:tcPr>
          <w:p w:rsidR="003A1B96" w:rsidRPr="0023700C" w:rsidRDefault="003A1B96" w:rsidP="00622B37">
            <w:pPr>
              <w:pStyle w:val="InstructionsText"/>
            </w:pPr>
          </w:p>
        </w:tc>
        <w:tc>
          <w:tcPr>
            <w:tcW w:w="4077" w:type="dxa"/>
            <w:shd w:val="clear" w:color="auto" w:fill="auto"/>
          </w:tcPr>
          <w:p w:rsidR="003A1B96" w:rsidRPr="0023700C" w:rsidRDefault="003A1B96" w:rsidP="00622B37">
            <w:pPr>
              <w:pStyle w:val="InstructionsText"/>
            </w:pPr>
          </w:p>
        </w:tc>
      </w:tr>
      <w:tr w:rsidR="00581FA5" w:rsidRPr="00392FFD" w:rsidTr="00334093">
        <w:tc>
          <w:tcPr>
            <w:tcW w:w="3761" w:type="dxa"/>
            <w:shd w:val="clear" w:color="auto" w:fill="auto"/>
          </w:tcPr>
          <w:p w:rsidR="00581FA5" w:rsidRPr="00392FFD" w:rsidRDefault="00581FA5" w:rsidP="00622B37">
            <w:pPr>
              <w:pStyle w:val="InstructionsText"/>
            </w:pPr>
            <w:r>
              <w:t>Peut-il être affecté à la catégorie d’exposition visée à l’article 112, point m)?</w:t>
            </w:r>
          </w:p>
        </w:tc>
        <w:tc>
          <w:tcPr>
            <w:tcW w:w="1417" w:type="dxa"/>
            <w:shd w:val="clear" w:color="auto" w:fill="auto"/>
          </w:tcPr>
          <w:p w:rsidR="00BD52C3" w:rsidRPr="00392FFD" w:rsidRDefault="00BD52C3" w:rsidP="00622B37">
            <w:pPr>
              <w:pStyle w:val="InstructionsText"/>
            </w:pPr>
            <w:r>
              <w:t xml:space="preserve">OUI </w:t>
            </w:r>
            <w:r>
              <w:rPr>
                <w:noProof/>
                <w:lang w:val="fr-BE" w:eastAsia="fr-BE" w:bidi="ar-SA"/>
              </w:rPr>
              <w:drawing>
                <wp:inline distT="0" distB="0" distL="0" distR="0" wp14:anchorId="7894CDBB" wp14:editId="7FA5868D">
                  <wp:extent cx="371475" cy="276225"/>
                  <wp:effectExtent l="0" t="0" r="9525" b="9525"/>
                  <wp:docPr id="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475" cy="276225"/>
                          </a:xfrm>
                          <a:prstGeom prst="rect">
                            <a:avLst/>
                          </a:prstGeom>
                          <a:noFill/>
                          <a:ln>
                            <a:noFill/>
                          </a:ln>
                        </pic:spPr>
                      </pic:pic>
                    </a:graphicData>
                  </a:graphic>
                </wp:inline>
              </w:drawing>
            </w:r>
          </w:p>
          <w:p w:rsidR="00581FA5" w:rsidRPr="00392FFD" w:rsidRDefault="00581FA5" w:rsidP="00622B37">
            <w:pPr>
              <w:pStyle w:val="InstructionsText"/>
            </w:pPr>
          </w:p>
        </w:tc>
        <w:tc>
          <w:tcPr>
            <w:tcW w:w="4077" w:type="dxa"/>
            <w:shd w:val="clear" w:color="auto" w:fill="auto"/>
          </w:tcPr>
          <w:p w:rsidR="00581FA5" w:rsidRPr="00392FFD" w:rsidRDefault="00581FA5" w:rsidP="00622B37">
            <w:pPr>
              <w:pStyle w:val="InstructionsText"/>
            </w:pPr>
            <w:r>
              <w:t>Positions de titrisation</w:t>
            </w:r>
          </w:p>
        </w:tc>
      </w:tr>
      <w:tr w:rsidR="005B3B7C" w:rsidRPr="00392FFD" w:rsidTr="00334093">
        <w:tc>
          <w:tcPr>
            <w:tcW w:w="3761" w:type="dxa"/>
            <w:shd w:val="clear" w:color="auto" w:fill="auto"/>
          </w:tcPr>
          <w:p w:rsidR="00581FA5" w:rsidRPr="00392FFD" w:rsidRDefault="00581FA5" w:rsidP="00622B37">
            <w:pPr>
              <w:pStyle w:val="InstructionsText"/>
            </w:pPr>
            <w:r>
              <w:t xml:space="preserve">NON </w:t>
            </w:r>
            <w:r>
              <w:rPr>
                <w:noProof/>
                <w:lang w:val="fr-BE" w:eastAsia="fr-BE" w:bidi="ar-SA"/>
              </w:rPr>
              <w:drawing>
                <wp:inline distT="0" distB="0" distL="0" distR="0" wp14:anchorId="0C27C696" wp14:editId="6CFA299A">
                  <wp:extent cx="819150" cy="352425"/>
                  <wp:effectExtent l="0" t="0" r="0" b="9525"/>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19150" cy="352425"/>
                          </a:xfrm>
                          <a:prstGeom prst="rect">
                            <a:avLst/>
                          </a:prstGeom>
                          <a:noFill/>
                          <a:ln>
                            <a:noFill/>
                          </a:ln>
                        </pic:spPr>
                      </pic:pic>
                    </a:graphicData>
                  </a:graphic>
                </wp:inline>
              </w:drawing>
            </w:r>
          </w:p>
          <w:p w:rsidR="005B3B7C" w:rsidRPr="00392FFD" w:rsidRDefault="005B3B7C" w:rsidP="00622B37">
            <w:pPr>
              <w:pStyle w:val="InstructionsText"/>
            </w:pPr>
          </w:p>
        </w:tc>
        <w:tc>
          <w:tcPr>
            <w:tcW w:w="1417" w:type="dxa"/>
            <w:shd w:val="clear" w:color="auto" w:fill="auto"/>
          </w:tcPr>
          <w:p w:rsidR="005B3B7C" w:rsidRPr="00392FFD" w:rsidRDefault="005B3B7C" w:rsidP="00622B37">
            <w:pPr>
              <w:pStyle w:val="InstructionsText"/>
            </w:pPr>
          </w:p>
        </w:tc>
        <w:tc>
          <w:tcPr>
            <w:tcW w:w="4077" w:type="dxa"/>
            <w:shd w:val="clear" w:color="auto" w:fill="auto"/>
          </w:tcPr>
          <w:p w:rsidR="005B3B7C" w:rsidRPr="00392FFD" w:rsidRDefault="005B3B7C" w:rsidP="00622B37">
            <w:pPr>
              <w:pStyle w:val="InstructionsText"/>
            </w:pPr>
          </w:p>
        </w:tc>
      </w:tr>
      <w:tr w:rsidR="003A1B96" w:rsidRPr="00392FFD" w:rsidTr="00334093">
        <w:tc>
          <w:tcPr>
            <w:tcW w:w="3761" w:type="dxa"/>
            <w:shd w:val="clear" w:color="auto" w:fill="auto"/>
          </w:tcPr>
          <w:p w:rsidR="003A1B96" w:rsidRPr="00392FFD" w:rsidRDefault="003A1B96" w:rsidP="00622B37">
            <w:pPr>
              <w:pStyle w:val="InstructionsText"/>
            </w:pPr>
            <w:r>
              <w:t>Peut-il être affecté à la catégorie d’exposition visée à l’article 112, point k)?</w:t>
            </w:r>
          </w:p>
        </w:tc>
        <w:tc>
          <w:tcPr>
            <w:tcW w:w="1417" w:type="dxa"/>
            <w:shd w:val="clear" w:color="auto" w:fill="auto"/>
          </w:tcPr>
          <w:p w:rsidR="00AC3054" w:rsidRPr="00392FFD" w:rsidRDefault="00974E3F" w:rsidP="00622B37">
            <w:pPr>
              <w:pStyle w:val="InstructionsText"/>
            </w:pPr>
            <w:r>
              <w:t xml:space="preserve">OUI </w:t>
            </w:r>
            <w:r>
              <w:rPr>
                <w:noProof/>
                <w:lang w:val="fr-BE" w:eastAsia="fr-BE" w:bidi="ar-SA"/>
              </w:rPr>
              <w:drawing>
                <wp:inline distT="0" distB="0" distL="0" distR="0" wp14:anchorId="541AF33A" wp14:editId="28F1E2B2">
                  <wp:extent cx="371475" cy="276225"/>
                  <wp:effectExtent l="0" t="0" r="9525" b="9525"/>
                  <wp:docPr id="3"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475" cy="276225"/>
                          </a:xfrm>
                          <a:prstGeom prst="rect">
                            <a:avLst/>
                          </a:prstGeom>
                          <a:noFill/>
                          <a:ln>
                            <a:noFill/>
                          </a:ln>
                        </pic:spPr>
                      </pic:pic>
                    </a:graphicData>
                  </a:graphic>
                </wp:inline>
              </w:drawing>
            </w:r>
          </w:p>
          <w:p w:rsidR="00BD52C3" w:rsidRPr="00392FFD" w:rsidRDefault="00BD52C3" w:rsidP="00622B37">
            <w:pPr>
              <w:pStyle w:val="InstructionsText"/>
            </w:pPr>
          </w:p>
          <w:p w:rsidR="003A1B96" w:rsidRPr="00392FFD" w:rsidRDefault="003A1B96" w:rsidP="00622B37">
            <w:pPr>
              <w:pStyle w:val="InstructionsText"/>
            </w:pPr>
          </w:p>
        </w:tc>
        <w:tc>
          <w:tcPr>
            <w:tcW w:w="4077" w:type="dxa"/>
            <w:shd w:val="clear" w:color="auto" w:fill="auto"/>
          </w:tcPr>
          <w:p w:rsidR="003A1B96" w:rsidRPr="00392FFD" w:rsidRDefault="003A1B96" w:rsidP="00622B37">
            <w:pPr>
              <w:pStyle w:val="InstructionsText"/>
            </w:pPr>
            <w:r>
              <w:t>Éléments présentant un risque partic</w:t>
            </w:r>
            <w:r>
              <w:t>u</w:t>
            </w:r>
            <w:r>
              <w:t>lièrement élevé (voir également l’art. 128)</w:t>
            </w:r>
          </w:p>
        </w:tc>
      </w:tr>
      <w:tr w:rsidR="003A1B96" w:rsidRPr="00392FFD" w:rsidTr="00334093">
        <w:tc>
          <w:tcPr>
            <w:tcW w:w="3761" w:type="dxa"/>
            <w:shd w:val="clear" w:color="auto" w:fill="auto"/>
          </w:tcPr>
          <w:p w:rsidR="007241D3" w:rsidRPr="00392FFD" w:rsidRDefault="007241D3" w:rsidP="00622B37">
            <w:pPr>
              <w:pStyle w:val="InstructionsText"/>
            </w:pPr>
            <w:r>
              <w:t xml:space="preserve">NON </w:t>
            </w:r>
            <w:r>
              <w:rPr>
                <w:noProof/>
                <w:lang w:val="fr-BE" w:eastAsia="fr-BE" w:bidi="ar-SA"/>
              </w:rPr>
              <w:drawing>
                <wp:inline distT="0" distB="0" distL="0" distR="0" wp14:anchorId="62928C58" wp14:editId="2B1F0953">
                  <wp:extent cx="819150" cy="352425"/>
                  <wp:effectExtent l="0" t="0" r="0" b="9525"/>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19150" cy="352425"/>
                          </a:xfrm>
                          <a:prstGeom prst="rect">
                            <a:avLst/>
                          </a:prstGeom>
                          <a:noFill/>
                          <a:ln>
                            <a:noFill/>
                          </a:ln>
                        </pic:spPr>
                      </pic:pic>
                    </a:graphicData>
                  </a:graphic>
                </wp:inline>
              </w:drawing>
            </w:r>
          </w:p>
          <w:p w:rsidR="003A1B96" w:rsidRPr="00392FFD" w:rsidRDefault="003A1B96" w:rsidP="00622B37">
            <w:pPr>
              <w:pStyle w:val="InstructionsText"/>
            </w:pPr>
          </w:p>
        </w:tc>
        <w:tc>
          <w:tcPr>
            <w:tcW w:w="1417" w:type="dxa"/>
            <w:shd w:val="clear" w:color="auto" w:fill="auto"/>
          </w:tcPr>
          <w:p w:rsidR="003A1B96" w:rsidRPr="00392FFD" w:rsidRDefault="003A1B96" w:rsidP="00622B37">
            <w:pPr>
              <w:pStyle w:val="InstructionsText"/>
            </w:pPr>
          </w:p>
        </w:tc>
        <w:tc>
          <w:tcPr>
            <w:tcW w:w="4077" w:type="dxa"/>
            <w:shd w:val="clear" w:color="auto" w:fill="auto"/>
          </w:tcPr>
          <w:p w:rsidR="003A1B96" w:rsidRPr="00392FFD" w:rsidRDefault="003A1B96" w:rsidP="00622B37">
            <w:pPr>
              <w:pStyle w:val="InstructionsText"/>
            </w:pPr>
          </w:p>
        </w:tc>
      </w:tr>
      <w:tr w:rsidR="003A1B96" w:rsidRPr="00392FFD" w:rsidTr="00334093">
        <w:tc>
          <w:tcPr>
            <w:tcW w:w="3761" w:type="dxa"/>
            <w:shd w:val="clear" w:color="auto" w:fill="auto"/>
          </w:tcPr>
          <w:p w:rsidR="003A1B96" w:rsidRPr="00392FFD" w:rsidRDefault="003A1B96" w:rsidP="00622B37">
            <w:pPr>
              <w:pStyle w:val="InstructionsText"/>
            </w:pPr>
            <w:r>
              <w:t>Peut-il être affecté à la catégorie d’exposition visée à l’article 112, point p)?</w:t>
            </w:r>
          </w:p>
        </w:tc>
        <w:tc>
          <w:tcPr>
            <w:tcW w:w="1417" w:type="dxa"/>
            <w:shd w:val="clear" w:color="auto" w:fill="auto"/>
          </w:tcPr>
          <w:p w:rsidR="00BD52C3" w:rsidRPr="00392FFD" w:rsidRDefault="00BD52C3" w:rsidP="00622B37">
            <w:pPr>
              <w:pStyle w:val="InstructionsText"/>
            </w:pPr>
            <w:r>
              <w:t xml:space="preserve">OUI </w:t>
            </w:r>
            <w:r>
              <w:rPr>
                <w:noProof/>
                <w:lang w:val="fr-BE" w:eastAsia="fr-BE" w:bidi="ar-SA"/>
              </w:rPr>
              <w:drawing>
                <wp:inline distT="0" distB="0" distL="0" distR="0" wp14:anchorId="60B58A92" wp14:editId="2F91DF94">
                  <wp:extent cx="371475" cy="276225"/>
                  <wp:effectExtent l="0" t="0" r="9525" b="9525"/>
                  <wp:docPr id="5"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475" cy="276225"/>
                          </a:xfrm>
                          <a:prstGeom prst="rect">
                            <a:avLst/>
                          </a:prstGeom>
                          <a:noFill/>
                          <a:ln>
                            <a:noFill/>
                          </a:ln>
                        </pic:spPr>
                      </pic:pic>
                    </a:graphicData>
                  </a:graphic>
                </wp:inline>
              </w:drawing>
            </w:r>
          </w:p>
          <w:p w:rsidR="003A1B96" w:rsidRPr="00392FFD" w:rsidRDefault="003A1B96" w:rsidP="00622B37">
            <w:pPr>
              <w:pStyle w:val="InstructionsText"/>
            </w:pPr>
          </w:p>
        </w:tc>
        <w:tc>
          <w:tcPr>
            <w:tcW w:w="4077" w:type="dxa"/>
            <w:shd w:val="clear" w:color="auto" w:fill="auto"/>
          </w:tcPr>
          <w:p w:rsidR="003A1B96" w:rsidRPr="00392FFD" w:rsidRDefault="003A1B96" w:rsidP="00622B37">
            <w:pPr>
              <w:pStyle w:val="InstructionsText"/>
            </w:pPr>
            <w:r>
              <w:t>Expositions sous forme d’actions (voir également l’art. 133)</w:t>
            </w:r>
          </w:p>
        </w:tc>
      </w:tr>
      <w:tr w:rsidR="003A1B96" w:rsidRPr="00392FFD" w:rsidTr="00334093">
        <w:tc>
          <w:tcPr>
            <w:tcW w:w="3761" w:type="dxa"/>
            <w:shd w:val="clear" w:color="auto" w:fill="auto"/>
          </w:tcPr>
          <w:p w:rsidR="007241D3" w:rsidRPr="00392FFD" w:rsidRDefault="007241D3" w:rsidP="00622B37">
            <w:pPr>
              <w:pStyle w:val="InstructionsText"/>
            </w:pPr>
            <w:r>
              <w:t xml:space="preserve">NON </w:t>
            </w:r>
            <w:r>
              <w:rPr>
                <w:noProof/>
                <w:lang w:val="fr-BE" w:eastAsia="fr-BE" w:bidi="ar-SA"/>
              </w:rPr>
              <w:drawing>
                <wp:inline distT="0" distB="0" distL="0" distR="0" wp14:anchorId="0A3AF0C2" wp14:editId="1232FA9A">
                  <wp:extent cx="819150" cy="352425"/>
                  <wp:effectExtent l="0" t="0" r="0" b="9525"/>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19150" cy="352425"/>
                          </a:xfrm>
                          <a:prstGeom prst="rect">
                            <a:avLst/>
                          </a:prstGeom>
                          <a:noFill/>
                          <a:ln>
                            <a:noFill/>
                          </a:ln>
                        </pic:spPr>
                      </pic:pic>
                    </a:graphicData>
                  </a:graphic>
                </wp:inline>
              </w:drawing>
            </w:r>
          </w:p>
          <w:p w:rsidR="003A1B96" w:rsidRPr="00392FFD" w:rsidRDefault="003A1B96" w:rsidP="00622B37">
            <w:pPr>
              <w:pStyle w:val="InstructionsText"/>
            </w:pPr>
          </w:p>
        </w:tc>
        <w:tc>
          <w:tcPr>
            <w:tcW w:w="1417" w:type="dxa"/>
            <w:shd w:val="clear" w:color="auto" w:fill="auto"/>
          </w:tcPr>
          <w:p w:rsidR="003A1B96" w:rsidRPr="00392FFD" w:rsidRDefault="003A1B96" w:rsidP="00622B37">
            <w:pPr>
              <w:pStyle w:val="InstructionsText"/>
            </w:pPr>
          </w:p>
        </w:tc>
        <w:tc>
          <w:tcPr>
            <w:tcW w:w="4077" w:type="dxa"/>
            <w:shd w:val="clear" w:color="auto" w:fill="auto"/>
          </w:tcPr>
          <w:p w:rsidR="003A1B96" w:rsidRPr="00392FFD" w:rsidRDefault="003A1B96" w:rsidP="00622B37">
            <w:pPr>
              <w:pStyle w:val="InstructionsText"/>
            </w:pPr>
          </w:p>
        </w:tc>
      </w:tr>
      <w:tr w:rsidR="00581FA5" w:rsidRPr="00392FFD" w:rsidTr="00334093">
        <w:tc>
          <w:tcPr>
            <w:tcW w:w="3761" w:type="dxa"/>
            <w:shd w:val="clear" w:color="auto" w:fill="auto"/>
          </w:tcPr>
          <w:p w:rsidR="00581FA5" w:rsidRPr="00392FFD" w:rsidRDefault="00581FA5" w:rsidP="00622B37">
            <w:pPr>
              <w:pStyle w:val="InstructionsText"/>
            </w:pPr>
            <w:r>
              <w:t>Peut-il être affecté à la catégorie d’exposition visée à l’article 112, point j)?</w:t>
            </w:r>
          </w:p>
        </w:tc>
        <w:tc>
          <w:tcPr>
            <w:tcW w:w="1417" w:type="dxa"/>
            <w:shd w:val="clear" w:color="auto" w:fill="auto"/>
          </w:tcPr>
          <w:p w:rsidR="00BD52C3" w:rsidRPr="00392FFD" w:rsidRDefault="00BD52C3" w:rsidP="00622B37">
            <w:pPr>
              <w:pStyle w:val="InstructionsText"/>
            </w:pPr>
            <w:r>
              <w:t xml:space="preserve">OUI </w:t>
            </w:r>
            <w:r>
              <w:rPr>
                <w:noProof/>
                <w:lang w:val="fr-BE" w:eastAsia="fr-BE" w:bidi="ar-SA"/>
              </w:rPr>
              <w:drawing>
                <wp:inline distT="0" distB="0" distL="0" distR="0" wp14:anchorId="48C49B4B" wp14:editId="398672AC">
                  <wp:extent cx="371475" cy="276225"/>
                  <wp:effectExtent l="0" t="0" r="9525" b="9525"/>
                  <wp:docPr id="7"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475" cy="276225"/>
                          </a:xfrm>
                          <a:prstGeom prst="rect">
                            <a:avLst/>
                          </a:prstGeom>
                          <a:noFill/>
                          <a:ln>
                            <a:noFill/>
                          </a:ln>
                        </pic:spPr>
                      </pic:pic>
                    </a:graphicData>
                  </a:graphic>
                </wp:inline>
              </w:drawing>
            </w:r>
          </w:p>
          <w:p w:rsidR="00581FA5" w:rsidRPr="00392FFD" w:rsidRDefault="00581FA5" w:rsidP="00622B37">
            <w:pPr>
              <w:pStyle w:val="InstructionsText"/>
            </w:pPr>
          </w:p>
        </w:tc>
        <w:tc>
          <w:tcPr>
            <w:tcW w:w="4077" w:type="dxa"/>
            <w:shd w:val="clear" w:color="auto" w:fill="auto"/>
          </w:tcPr>
          <w:p w:rsidR="00581FA5" w:rsidRPr="00392FFD" w:rsidRDefault="00581FA5" w:rsidP="00622B37">
            <w:pPr>
              <w:pStyle w:val="InstructionsText"/>
            </w:pPr>
            <w:r>
              <w:t>Expositions en défaut</w:t>
            </w:r>
          </w:p>
        </w:tc>
      </w:tr>
      <w:tr w:rsidR="00581FA5" w:rsidRPr="00392FFD" w:rsidTr="00334093">
        <w:tc>
          <w:tcPr>
            <w:tcW w:w="3761" w:type="dxa"/>
            <w:shd w:val="clear" w:color="auto" w:fill="auto"/>
          </w:tcPr>
          <w:p w:rsidR="007241D3" w:rsidRPr="00392FFD" w:rsidRDefault="007241D3" w:rsidP="00622B37">
            <w:pPr>
              <w:pStyle w:val="InstructionsText"/>
            </w:pPr>
            <w:r>
              <w:t xml:space="preserve">NON </w:t>
            </w:r>
            <w:r>
              <w:rPr>
                <w:noProof/>
                <w:lang w:val="fr-BE" w:eastAsia="fr-BE" w:bidi="ar-SA"/>
              </w:rPr>
              <w:drawing>
                <wp:inline distT="0" distB="0" distL="0" distR="0" wp14:anchorId="75EA15EF" wp14:editId="30586FC8">
                  <wp:extent cx="819150" cy="352425"/>
                  <wp:effectExtent l="0" t="0" r="0" b="9525"/>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19150" cy="352425"/>
                          </a:xfrm>
                          <a:prstGeom prst="rect">
                            <a:avLst/>
                          </a:prstGeom>
                          <a:noFill/>
                          <a:ln>
                            <a:noFill/>
                          </a:ln>
                        </pic:spPr>
                      </pic:pic>
                    </a:graphicData>
                  </a:graphic>
                </wp:inline>
              </w:drawing>
            </w:r>
          </w:p>
          <w:p w:rsidR="00581FA5" w:rsidRPr="00392FFD" w:rsidRDefault="00581FA5" w:rsidP="00622B37">
            <w:pPr>
              <w:pStyle w:val="InstructionsText"/>
            </w:pPr>
          </w:p>
        </w:tc>
        <w:tc>
          <w:tcPr>
            <w:tcW w:w="1417" w:type="dxa"/>
            <w:shd w:val="clear" w:color="auto" w:fill="auto"/>
          </w:tcPr>
          <w:p w:rsidR="00581FA5" w:rsidRPr="00392FFD" w:rsidRDefault="00581FA5" w:rsidP="00622B37">
            <w:pPr>
              <w:pStyle w:val="InstructionsText"/>
            </w:pPr>
          </w:p>
        </w:tc>
        <w:tc>
          <w:tcPr>
            <w:tcW w:w="4077" w:type="dxa"/>
            <w:shd w:val="clear" w:color="auto" w:fill="auto"/>
          </w:tcPr>
          <w:p w:rsidR="00581FA5" w:rsidRPr="00392FFD" w:rsidRDefault="00581FA5" w:rsidP="00622B37">
            <w:pPr>
              <w:pStyle w:val="InstructionsText"/>
            </w:pPr>
          </w:p>
        </w:tc>
      </w:tr>
      <w:tr w:rsidR="00581FA5" w:rsidRPr="00392FFD" w:rsidTr="00334093">
        <w:tc>
          <w:tcPr>
            <w:tcW w:w="3761" w:type="dxa"/>
            <w:shd w:val="clear" w:color="auto" w:fill="auto"/>
          </w:tcPr>
          <w:p w:rsidR="00581FA5" w:rsidRPr="00392FFD" w:rsidRDefault="00581FA5" w:rsidP="00622B37">
            <w:pPr>
              <w:pStyle w:val="InstructionsText"/>
            </w:pPr>
            <w:r>
              <w:t>Peut-il être affecté à la catégorie d’exposition visée à l’article 112, points l et o)?</w:t>
            </w:r>
          </w:p>
        </w:tc>
        <w:tc>
          <w:tcPr>
            <w:tcW w:w="1417" w:type="dxa"/>
            <w:shd w:val="clear" w:color="auto" w:fill="auto"/>
          </w:tcPr>
          <w:p w:rsidR="00BD52C3" w:rsidRPr="00392FFD" w:rsidRDefault="00BD52C3" w:rsidP="00622B37">
            <w:pPr>
              <w:pStyle w:val="InstructionsText"/>
            </w:pPr>
            <w:r>
              <w:t xml:space="preserve">OUI </w:t>
            </w:r>
            <w:r>
              <w:rPr>
                <w:noProof/>
                <w:lang w:val="fr-BE" w:eastAsia="fr-BE" w:bidi="ar-SA"/>
              </w:rPr>
              <w:drawing>
                <wp:inline distT="0" distB="0" distL="0" distR="0" wp14:anchorId="4BC50C2B" wp14:editId="6170B685">
                  <wp:extent cx="371475" cy="276225"/>
                  <wp:effectExtent l="0" t="0" r="9525" b="9525"/>
                  <wp:docPr id="9"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475" cy="276225"/>
                          </a:xfrm>
                          <a:prstGeom prst="rect">
                            <a:avLst/>
                          </a:prstGeom>
                          <a:noFill/>
                          <a:ln>
                            <a:noFill/>
                          </a:ln>
                        </pic:spPr>
                      </pic:pic>
                    </a:graphicData>
                  </a:graphic>
                </wp:inline>
              </w:drawing>
            </w:r>
          </w:p>
          <w:p w:rsidR="00581FA5" w:rsidRPr="00392FFD" w:rsidRDefault="00581FA5" w:rsidP="00622B37">
            <w:pPr>
              <w:pStyle w:val="InstructionsText"/>
            </w:pPr>
          </w:p>
        </w:tc>
        <w:tc>
          <w:tcPr>
            <w:tcW w:w="4077" w:type="dxa"/>
            <w:shd w:val="clear" w:color="auto" w:fill="auto"/>
          </w:tcPr>
          <w:p w:rsidR="00581FA5" w:rsidRPr="00392FFD" w:rsidRDefault="00581FA5" w:rsidP="00622B37">
            <w:pPr>
              <w:pStyle w:val="InstructionsText"/>
            </w:pPr>
            <w:r>
              <w:t>Expositions sous la forme de parts ou d’actions d’OPC</w:t>
            </w:r>
          </w:p>
          <w:p w:rsidR="00581FA5" w:rsidRPr="00392FFD" w:rsidRDefault="00581FA5" w:rsidP="00622B37">
            <w:pPr>
              <w:pStyle w:val="InstructionsText"/>
            </w:pPr>
            <w:r>
              <w:t>Expositions sous forme d’obligations garanties (voir également l’art. 129)</w:t>
            </w:r>
          </w:p>
          <w:p w:rsidR="00581FA5" w:rsidRPr="00392FFD" w:rsidRDefault="00581FA5" w:rsidP="00622B37">
            <w:pPr>
              <w:pStyle w:val="InstructionsText"/>
            </w:pPr>
            <w:r>
              <w:t>Ces deux catégories d’expositions sont distinctes (voir les commentaires sur l’approche par transparence dans la r</w:t>
            </w:r>
            <w:r>
              <w:t>é</w:t>
            </w:r>
            <w:r>
              <w:t>ponse ci-dessus). Dès lors, l’attribution à une de ces catégories est immédiate.</w:t>
            </w:r>
          </w:p>
        </w:tc>
      </w:tr>
      <w:tr w:rsidR="00581FA5" w:rsidRPr="00392FFD" w:rsidTr="00334093">
        <w:tc>
          <w:tcPr>
            <w:tcW w:w="3761" w:type="dxa"/>
            <w:shd w:val="clear" w:color="auto" w:fill="auto"/>
          </w:tcPr>
          <w:p w:rsidR="007241D3" w:rsidRPr="00392FFD" w:rsidRDefault="007241D3" w:rsidP="00622B37">
            <w:pPr>
              <w:pStyle w:val="InstructionsText"/>
            </w:pPr>
            <w:r>
              <w:lastRenderedPageBreak/>
              <w:t xml:space="preserve">NON </w:t>
            </w:r>
            <w:r>
              <w:rPr>
                <w:noProof/>
                <w:lang w:val="fr-BE" w:eastAsia="fr-BE" w:bidi="ar-SA"/>
              </w:rPr>
              <w:drawing>
                <wp:inline distT="0" distB="0" distL="0" distR="0" wp14:anchorId="3C16F18C" wp14:editId="573D4A8B">
                  <wp:extent cx="819150" cy="352425"/>
                  <wp:effectExtent l="0" t="0" r="0" b="9525"/>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19150" cy="352425"/>
                          </a:xfrm>
                          <a:prstGeom prst="rect">
                            <a:avLst/>
                          </a:prstGeom>
                          <a:noFill/>
                          <a:ln>
                            <a:noFill/>
                          </a:ln>
                        </pic:spPr>
                      </pic:pic>
                    </a:graphicData>
                  </a:graphic>
                </wp:inline>
              </w:drawing>
            </w:r>
          </w:p>
          <w:p w:rsidR="00581FA5" w:rsidRPr="00392FFD" w:rsidRDefault="00581FA5" w:rsidP="00622B37">
            <w:pPr>
              <w:pStyle w:val="InstructionsText"/>
            </w:pPr>
          </w:p>
        </w:tc>
        <w:tc>
          <w:tcPr>
            <w:tcW w:w="1417" w:type="dxa"/>
            <w:shd w:val="clear" w:color="auto" w:fill="auto"/>
          </w:tcPr>
          <w:p w:rsidR="00581FA5" w:rsidRPr="00392FFD" w:rsidRDefault="00581FA5" w:rsidP="00622B37">
            <w:pPr>
              <w:pStyle w:val="InstructionsText"/>
            </w:pPr>
          </w:p>
        </w:tc>
        <w:tc>
          <w:tcPr>
            <w:tcW w:w="4077" w:type="dxa"/>
            <w:shd w:val="clear" w:color="auto" w:fill="auto"/>
          </w:tcPr>
          <w:p w:rsidR="00581FA5" w:rsidRPr="00392FFD" w:rsidRDefault="00581FA5" w:rsidP="00622B37">
            <w:pPr>
              <w:pStyle w:val="InstructionsText"/>
            </w:pPr>
          </w:p>
        </w:tc>
      </w:tr>
      <w:tr w:rsidR="00581FA5" w:rsidRPr="00392FFD" w:rsidTr="00334093">
        <w:tc>
          <w:tcPr>
            <w:tcW w:w="3761" w:type="dxa"/>
            <w:shd w:val="clear" w:color="auto" w:fill="auto"/>
          </w:tcPr>
          <w:p w:rsidR="00581FA5" w:rsidRPr="00392FFD" w:rsidRDefault="00581FA5" w:rsidP="00622B37">
            <w:pPr>
              <w:pStyle w:val="InstructionsText"/>
            </w:pPr>
            <w:r>
              <w:t>Peut-il être affecté à la catégorie d’exposition visée à l’article 112, point i)?</w:t>
            </w:r>
          </w:p>
        </w:tc>
        <w:tc>
          <w:tcPr>
            <w:tcW w:w="1417" w:type="dxa"/>
            <w:shd w:val="clear" w:color="auto" w:fill="auto"/>
          </w:tcPr>
          <w:p w:rsidR="00BD52C3" w:rsidRPr="00392FFD" w:rsidRDefault="00BD52C3" w:rsidP="00622B37">
            <w:pPr>
              <w:pStyle w:val="InstructionsText"/>
            </w:pPr>
            <w:r>
              <w:t xml:space="preserve">OUI </w:t>
            </w:r>
            <w:r>
              <w:rPr>
                <w:noProof/>
                <w:lang w:val="fr-BE" w:eastAsia="fr-BE" w:bidi="ar-SA"/>
              </w:rPr>
              <w:drawing>
                <wp:inline distT="0" distB="0" distL="0" distR="0" wp14:anchorId="6561A9A9" wp14:editId="6EB69933">
                  <wp:extent cx="371475" cy="276225"/>
                  <wp:effectExtent l="0" t="0" r="9525" b="9525"/>
                  <wp:docPr id="11"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475" cy="276225"/>
                          </a:xfrm>
                          <a:prstGeom prst="rect">
                            <a:avLst/>
                          </a:prstGeom>
                          <a:noFill/>
                          <a:ln>
                            <a:noFill/>
                          </a:ln>
                        </pic:spPr>
                      </pic:pic>
                    </a:graphicData>
                  </a:graphic>
                </wp:inline>
              </w:drawing>
            </w:r>
          </w:p>
          <w:p w:rsidR="00581FA5" w:rsidRPr="00392FFD" w:rsidRDefault="00581FA5" w:rsidP="00622B37">
            <w:pPr>
              <w:pStyle w:val="InstructionsText"/>
            </w:pPr>
          </w:p>
        </w:tc>
        <w:tc>
          <w:tcPr>
            <w:tcW w:w="4077" w:type="dxa"/>
            <w:shd w:val="clear" w:color="auto" w:fill="auto"/>
          </w:tcPr>
          <w:p w:rsidR="00581FA5" w:rsidRPr="00392FFD" w:rsidRDefault="00581FA5" w:rsidP="00622B37">
            <w:pPr>
              <w:pStyle w:val="InstructionsText"/>
            </w:pPr>
            <w:r>
              <w:t>Expositions garanties par une hyp</w:t>
            </w:r>
            <w:r>
              <w:t>o</w:t>
            </w:r>
            <w:r>
              <w:t>thèque sur un bien immobilier (voir également l’art. 124)</w:t>
            </w:r>
          </w:p>
        </w:tc>
      </w:tr>
      <w:tr w:rsidR="00581FA5" w:rsidRPr="00392FFD" w:rsidTr="00334093">
        <w:tc>
          <w:tcPr>
            <w:tcW w:w="3761" w:type="dxa"/>
            <w:shd w:val="clear" w:color="auto" w:fill="auto"/>
          </w:tcPr>
          <w:p w:rsidR="007241D3" w:rsidRPr="00392FFD" w:rsidRDefault="007241D3" w:rsidP="00622B37">
            <w:pPr>
              <w:pStyle w:val="InstructionsText"/>
            </w:pPr>
            <w:r>
              <w:t xml:space="preserve">NON </w:t>
            </w:r>
            <w:r>
              <w:rPr>
                <w:noProof/>
                <w:lang w:val="fr-BE" w:eastAsia="fr-BE" w:bidi="ar-SA"/>
              </w:rPr>
              <w:drawing>
                <wp:inline distT="0" distB="0" distL="0" distR="0" wp14:anchorId="6E202D70" wp14:editId="637C21E3">
                  <wp:extent cx="819150" cy="352425"/>
                  <wp:effectExtent l="0" t="0" r="0" b="9525"/>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19150" cy="352425"/>
                          </a:xfrm>
                          <a:prstGeom prst="rect">
                            <a:avLst/>
                          </a:prstGeom>
                          <a:noFill/>
                          <a:ln>
                            <a:noFill/>
                          </a:ln>
                        </pic:spPr>
                      </pic:pic>
                    </a:graphicData>
                  </a:graphic>
                </wp:inline>
              </w:drawing>
            </w:r>
          </w:p>
          <w:p w:rsidR="00581FA5" w:rsidRPr="00392FFD" w:rsidRDefault="00581FA5" w:rsidP="00622B37">
            <w:pPr>
              <w:pStyle w:val="InstructionsText"/>
            </w:pPr>
          </w:p>
        </w:tc>
        <w:tc>
          <w:tcPr>
            <w:tcW w:w="1417" w:type="dxa"/>
            <w:shd w:val="clear" w:color="auto" w:fill="auto"/>
          </w:tcPr>
          <w:p w:rsidR="00581FA5" w:rsidRPr="00392FFD" w:rsidRDefault="00581FA5" w:rsidP="00622B37">
            <w:pPr>
              <w:pStyle w:val="InstructionsText"/>
            </w:pPr>
          </w:p>
        </w:tc>
        <w:tc>
          <w:tcPr>
            <w:tcW w:w="4077" w:type="dxa"/>
            <w:shd w:val="clear" w:color="auto" w:fill="auto"/>
          </w:tcPr>
          <w:p w:rsidR="00581FA5" w:rsidRPr="00392FFD" w:rsidRDefault="00581FA5" w:rsidP="00622B37">
            <w:pPr>
              <w:pStyle w:val="InstructionsText"/>
            </w:pPr>
          </w:p>
        </w:tc>
      </w:tr>
      <w:tr w:rsidR="00581FA5" w:rsidRPr="00392FFD" w:rsidTr="00334093">
        <w:tc>
          <w:tcPr>
            <w:tcW w:w="3761" w:type="dxa"/>
            <w:shd w:val="clear" w:color="auto" w:fill="auto"/>
          </w:tcPr>
          <w:p w:rsidR="00581FA5" w:rsidRPr="00392FFD" w:rsidRDefault="00581FA5" w:rsidP="00622B37">
            <w:pPr>
              <w:pStyle w:val="InstructionsText"/>
            </w:pPr>
            <w:r>
              <w:t>Peut-il être affecté à la catégorie d’exposition visée à l’article 112, point q)?</w:t>
            </w:r>
          </w:p>
        </w:tc>
        <w:tc>
          <w:tcPr>
            <w:tcW w:w="1417" w:type="dxa"/>
            <w:shd w:val="clear" w:color="auto" w:fill="auto"/>
          </w:tcPr>
          <w:p w:rsidR="00BD52C3" w:rsidRPr="00392FFD" w:rsidRDefault="00BD52C3" w:rsidP="00622B37">
            <w:pPr>
              <w:pStyle w:val="InstructionsText"/>
            </w:pPr>
            <w:r>
              <w:t xml:space="preserve">OUI </w:t>
            </w:r>
            <w:r>
              <w:rPr>
                <w:noProof/>
                <w:lang w:val="fr-BE" w:eastAsia="fr-BE" w:bidi="ar-SA"/>
              </w:rPr>
              <w:drawing>
                <wp:inline distT="0" distB="0" distL="0" distR="0" wp14:anchorId="2C2CF994" wp14:editId="546F5CC2">
                  <wp:extent cx="371475" cy="276225"/>
                  <wp:effectExtent l="0" t="0" r="9525" b="9525"/>
                  <wp:docPr id="13"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475" cy="276225"/>
                          </a:xfrm>
                          <a:prstGeom prst="rect">
                            <a:avLst/>
                          </a:prstGeom>
                          <a:noFill/>
                          <a:ln>
                            <a:noFill/>
                          </a:ln>
                        </pic:spPr>
                      </pic:pic>
                    </a:graphicData>
                  </a:graphic>
                </wp:inline>
              </w:drawing>
            </w:r>
          </w:p>
          <w:p w:rsidR="00581FA5" w:rsidRPr="00392FFD" w:rsidRDefault="00581FA5" w:rsidP="00622B37">
            <w:pPr>
              <w:pStyle w:val="InstructionsText"/>
            </w:pPr>
          </w:p>
        </w:tc>
        <w:tc>
          <w:tcPr>
            <w:tcW w:w="4077" w:type="dxa"/>
            <w:shd w:val="clear" w:color="auto" w:fill="auto"/>
          </w:tcPr>
          <w:p w:rsidR="00581FA5" w:rsidRPr="00392FFD" w:rsidRDefault="00581FA5" w:rsidP="00622B37">
            <w:pPr>
              <w:pStyle w:val="InstructionsText"/>
            </w:pPr>
            <w:r>
              <w:t>Autres éléments</w:t>
            </w:r>
          </w:p>
        </w:tc>
      </w:tr>
      <w:tr w:rsidR="00581FA5" w:rsidRPr="00392FFD" w:rsidTr="00334093">
        <w:tc>
          <w:tcPr>
            <w:tcW w:w="3761" w:type="dxa"/>
            <w:shd w:val="clear" w:color="auto" w:fill="auto"/>
          </w:tcPr>
          <w:p w:rsidR="007241D3" w:rsidRPr="00392FFD" w:rsidRDefault="007241D3" w:rsidP="00622B37">
            <w:pPr>
              <w:pStyle w:val="InstructionsText"/>
            </w:pPr>
            <w:r>
              <w:t xml:space="preserve">NON </w:t>
            </w:r>
            <w:r>
              <w:rPr>
                <w:noProof/>
                <w:lang w:val="fr-BE" w:eastAsia="fr-BE" w:bidi="ar-SA"/>
              </w:rPr>
              <w:drawing>
                <wp:inline distT="0" distB="0" distL="0" distR="0" wp14:anchorId="4F466EF1" wp14:editId="5C1B060A">
                  <wp:extent cx="819150" cy="352425"/>
                  <wp:effectExtent l="0" t="0" r="0" b="9525"/>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19150" cy="352425"/>
                          </a:xfrm>
                          <a:prstGeom prst="rect">
                            <a:avLst/>
                          </a:prstGeom>
                          <a:noFill/>
                          <a:ln>
                            <a:noFill/>
                          </a:ln>
                        </pic:spPr>
                      </pic:pic>
                    </a:graphicData>
                  </a:graphic>
                </wp:inline>
              </w:drawing>
            </w:r>
          </w:p>
          <w:p w:rsidR="00581FA5" w:rsidRPr="00392FFD" w:rsidRDefault="00581FA5" w:rsidP="00622B37">
            <w:pPr>
              <w:pStyle w:val="InstructionsText"/>
            </w:pPr>
          </w:p>
        </w:tc>
        <w:tc>
          <w:tcPr>
            <w:tcW w:w="1417" w:type="dxa"/>
            <w:shd w:val="clear" w:color="auto" w:fill="auto"/>
          </w:tcPr>
          <w:p w:rsidR="00581FA5" w:rsidRPr="00392FFD" w:rsidRDefault="00581FA5" w:rsidP="00622B37">
            <w:pPr>
              <w:pStyle w:val="InstructionsText"/>
            </w:pPr>
          </w:p>
        </w:tc>
        <w:tc>
          <w:tcPr>
            <w:tcW w:w="4077" w:type="dxa"/>
            <w:shd w:val="clear" w:color="auto" w:fill="auto"/>
          </w:tcPr>
          <w:p w:rsidR="00581FA5" w:rsidRPr="00392FFD" w:rsidRDefault="00581FA5" w:rsidP="00622B37">
            <w:pPr>
              <w:pStyle w:val="InstructionsText"/>
            </w:pPr>
          </w:p>
        </w:tc>
      </w:tr>
      <w:tr w:rsidR="00581FA5" w:rsidRPr="00392FFD" w:rsidTr="00334093">
        <w:tc>
          <w:tcPr>
            <w:tcW w:w="3761" w:type="dxa"/>
            <w:shd w:val="clear" w:color="auto" w:fill="auto"/>
          </w:tcPr>
          <w:p w:rsidR="00581FA5" w:rsidRPr="00392FFD" w:rsidRDefault="00581FA5" w:rsidP="00622B37">
            <w:pPr>
              <w:pStyle w:val="InstructionsText"/>
            </w:pPr>
            <w:r>
              <w:t>Peut-il être affecté à la catégorie d’exposition visée à l’article 112, point n)?</w:t>
            </w:r>
          </w:p>
        </w:tc>
        <w:tc>
          <w:tcPr>
            <w:tcW w:w="1417" w:type="dxa"/>
            <w:shd w:val="clear" w:color="auto" w:fill="auto"/>
          </w:tcPr>
          <w:p w:rsidR="0063493E" w:rsidRPr="00392FFD" w:rsidRDefault="0063493E" w:rsidP="00622B37">
            <w:pPr>
              <w:pStyle w:val="InstructionsText"/>
            </w:pPr>
            <w:r>
              <w:t xml:space="preserve">OUI </w:t>
            </w:r>
            <w:r>
              <w:rPr>
                <w:noProof/>
                <w:lang w:val="fr-BE" w:eastAsia="fr-BE" w:bidi="ar-SA"/>
              </w:rPr>
              <w:drawing>
                <wp:inline distT="0" distB="0" distL="0" distR="0" wp14:anchorId="13C39C74" wp14:editId="5255DA6B">
                  <wp:extent cx="371475" cy="276225"/>
                  <wp:effectExtent l="0" t="0" r="9525" b="9525"/>
                  <wp:docPr id="15"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475" cy="276225"/>
                          </a:xfrm>
                          <a:prstGeom prst="rect">
                            <a:avLst/>
                          </a:prstGeom>
                          <a:noFill/>
                          <a:ln>
                            <a:noFill/>
                          </a:ln>
                        </pic:spPr>
                      </pic:pic>
                    </a:graphicData>
                  </a:graphic>
                </wp:inline>
              </w:drawing>
            </w:r>
          </w:p>
          <w:p w:rsidR="00581FA5" w:rsidRPr="00392FFD" w:rsidRDefault="00581FA5" w:rsidP="00622B37">
            <w:pPr>
              <w:pStyle w:val="InstructionsText"/>
            </w:pPr>
          </w:p>
        </w:tc>
        <w:tc>
          <w:tcPr>
            <w:tcW w:w="4077" w:type="dxa"/>
            <w:shd w:val="clear" w:color="auto" w:fill="auto"/>
          </w:tcPr>
          <w:p w:rsidR="00581FA5" w:rsidRPr="00392FFD" w:rsidRDefault="00581FA5" w:rsidP="00622B37">
            <w:pPr>
              <w:pStyle w:val="InstructionsText"/>
            </w:pPr>
            <w:r>
              <w:t>Expositions sur des établissements et des entreprises faisant l’objet d’une évaluation du crédit à court terme;</w:t>
            </w:r>
          </w:p>
        </w:tc>
      </w:tr>
      <w:tr w:rsidR="00581FA5" w:rsidRPr="00392FFD" w:rsidTr="00334093">
        <w:tc>
          <w:tcPr>
            <w:tcW w:w="3761" w:type="dxa"/>
            <w:shd w:val="clear" w:color="auto" w:fill="auto"/>
          </w:tcPr>
          <w:p w:rsidR="007241D3" w:rsidRPr="00392FFD" w:rsidRDefault="007241D3" w:rsidP="00622B37">
            <w:pPr>
              <w:pStyle w:val="InstructionsText"/>
            </w:pPr>
            <w:r>
              <w:t xml:space="preserve">NON </w:t>
            </w:r>
            <w:r>
              <w:rPr>
                <w:noProof/>
                <w:lang w:val="fr-BE" w:eastAsia="fr-BE" w:bidi="ar-SA"/>
              </w:rPr>
              <w:drawing>
                <wp:inline distT="0" distB="0" distL="0" distR="0" wp14:anchorId="42A91143" wp14:editId="6B0821BC">
                  <wp:extent cx="819150" cy="3524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19150" cy="352425"/>
                          </a:xfrm>
                          <a:prstGeom prst="rect">
                            <a:avLst/>
                          </a:prstGeom>
                          <a:noFill/>
                          <a:ln>
                            <a:noFill/>
                          </a:ln>
                        </pic:spPr>
                      </pic:pic>
                    </a:graphicData>
                  </a:graphic>
                </wp:inline>
              </w:drawing>
            </w:r>
          </w:p>
          <w:p w:rsidR="00581FA5" w:rsidRPr="00392FFD" w:rsidRDefault="00581FA5" w:rsidP="00622B37">
            <w:pPr>
              <w:pStyle w:val="InstructionsText"/>
            </w:pPr>
          </w:p>
        </w:tc>
        <w:tc>
          <w:tcPr>
            <w:tcW w:w="1417" w:type="dxa"/>
            <w:shd w:val="clear" w:color="auto" w:fill="auto"/>
          </w:tcPr>
          <w:p w:rsidR="00581FA5" w:rsidRPr="00392FFD" w:rsidRDefault="00581FA5" w:rsidP="00622B37">
            <w:pPr>
              <w:pStyle w:val="InstructionsText"/>
            </w:pPr>
          </w:p>
        </w:tc>
        <w:tc>
          <w:tcPr>
            <w:tcW w:w="4077" w:type="dxa"/>
            <w:shd w:val="clear" w:color="auto" w:fill="auto"/>
          </w:tcPr>
          <w:p w:rsidR="00581FA5" w:rsidRPr="00392FFD" w:rsidRDefault="00581FA5" w:rsidP="00622B37">
            <w:pPr>
              <w:pStyle w:val="InstructionsText"/>
            </w:pPr>
          </w:p>
        </w:tc>
      </w:tr>
      <w:tr w:rsidR="00581FA5" w:rsidRPr="00392FFD" w:rsidTr="00334093">
        <w:tc>
          <w:tcPr>
            <w:tcW w:w="9255" w:type="dxa"/>
            <w:gridSpan w:val="3"/>
            <w:shd w:val="clear" w:color="auto" w:fill="auto"/>
          </w:tcPr>
          <w:p w:rsidR="00581FA5" w:rsidRPr="00392FFD" w:rsidRDefault="00581FA5" w:rsidP="00622B37">
            <w:pPr>
              <w:pStyle w:val="InstructionsText"/>
            </w:pPr>
            <w:r>
              <w:t>Les catégories d’expositions ci-dessous sont distinctes. Dès lors, l’attribution à l’une de ces catégories est immédiate.</w:t>
            </w:r>
          </w:p>
          <w:p w:rsidR="00581FA5" w:rsidRPr="00392FFD" w:rsidRDefault="00581FA5" w:rsidP="00622B37">
            <w:pPr>
              <w:pStyle w:val="InstructionsText"/>
            </w:pPr>
            <w:r>
              <w:t>Expositions sur les administrations centrales ou les banques centrales</w:t>
            </w:r>
          </w:p>
          <w:p w:rsidR="00581FA5" w:rsidRPr="00392FFD" w:rsidRDefault="00581FA5" w:rsidP="00622B37">
            <w:pPr>
              <w:pStyle w:val="InstructionsText"/>
            </w:pPr>
            <w:r>
              <w:t>Expositions sur les administrations régionales ou locales;</w:t>
            </w:r>
          </w:p>
          <w:p w:rsidR="00581FA5" w:rsidRPr="00392FFD" w:rsidRDefault="00581FA5" w:rsidP="00622B37">
            <w:pPr>
              <w:pStyle w:val="InstructionsText"/>
            </w:pPr>
            <w:r>
              <w:t>Expositions sur les entités du secteur public;</w:t>
            </w:r>
          </w:p>
          <w:p w:rsidR="00581FA5" w:rsidRPr="00392FFD" w:rsidRDefault="00581FA5" w:rsidP="00622B37">
            <w:pPr>
              <w:pStyle w:val="InstructionsText"/>
            </w:pPr>
            <w:r>
              <w:t>Expositions sur les banques multilatérales de développement;</w:t>
            </w:r>
          </w:p>
          <w:p w:rsidR="00581FA5" w:rsidRPr="00392FFD" w:rsidRDefault="00581FA5" w:rsidP="00622B37">
            <w:pPr>
              <w:pStyle w:val="InstructionsText"/>
            </w:pPr>
            <w:r>
              <w:t>Expositions sur les organisations internationales</w:t>
            </w:r>
          </w:p>
          <w:p w:rsidR="00581FA5" w:rsidRPr="00392FFD" w:rsidRDefault="00581FA5" w:rsidP="00622B37">
            <w:pPr>
              <w:pStyle w:val="InstructionsText"/>
            </w:pPr>
            <w:r>
              <w:t>Expositions sur les établissements</w:t>
            </w:r>
          </w:p>
          <w:p w:rsidR="00581FA5" w:rsidRPr="00392FFD" w:rsidRDefault="00581FA5" w:rsidP="00622B37">
            <w:pPr>
              <w:pStyle w:val="InstructionsText"/>
            </w:pPr>
            <w:r>
              <w:t>Expositions sur les entreprises</w:t>
            </w:r>
          </w:p>
          <w:p w:rsidR="00581FA5" w:rsidRPr="00392FFD" w:rsidRDefault="00581FA5" w:rsidP="00622B37">
            <w:pPr>
              <w:pStyle w:val="InstructionsText"/>
            </w:pPr>
            <w:r>
              <w:t>Expositions sur la clientèle de détail</w:t>
            </w:r>
          </w:p>
        </w:tc>
      </w:tr>
    </w:tbl>
    <w:p w:rsidR="00464F34" w:rsidRPr="00392FFD" w:rsidRDefault="00464F34" w:rsidP="00622B37">
      <w:pPr>
        <w:pStyle w:val="InstructionsText"/>
      </w:pPr>
    </w:p>
    <w:p w:rsidR="00464F34" w:rsidRPr="00392FFD" w:rsidRDefault="00464F34" w:rsidP="00622B37">
      <w:pPr>
        <w:pStyle w:val="InstructionsText"/>
      </w:pPr>
    </w:p>
    <w:p w:rsidR="0073242B" w:rsidRPr="00392FFD" w:rsidRDefault="0073242B">
      <w:pPr>
        <w:spacing w:before="0" w:after="0"/>
        <w:jc w:val="left"/>
        <w:rPr>
          <w:rFonts w:ascii="Times New Roman" w:hAnsi="Times New Roman"/>
          <w:bCs/>
          <w:sz w:val="24"/>
        </w:rPr>
      </w:pPr>
      <w:r>
        <w:br w:type="page"/>
      </w:r>
    </w:p>
    <w:p w:rsidR="00464F34" w:rsidRPr="00392FFD" w:rsidRDefault="00464F34" w:rsidP="00622B37">
      <w:pPr>
        <w:pStyle w:val="InstructionsText"/>
      </w:pPr>
    </w:p>
    <w:p w:rsidR="00464F34" w:rsidRPr="00392FFD" w:rsidRDefault="00125707" w:rsidP="0023700C">
      <w:pPr>
        <w:pStyle w:val="Instructionsberschrift2"/>
        <w:numPr>
          <w:ilvl w:val="0"/>
          <w:numId w:val="0"/>
        </w:numPr>
        <w:ind w:left="357" w:hanging="357"/>
        <w:rPr>
          <w:rFonts w:ascii="Times New Roman" w:hAnsi="Times New Roman" w:cs="Times New Roman"/>
          <w:sz w:val="24"/>
        </w:rPr>
      </w:pPr>
      <w:bookmarkStart w:id="191" w:name="_Toc262568031"/>
      <w:bookmarkStart w:id="192" w:name="_Toc264038429"/>
      <w:bookmarkStart w:id="193" w:name="_Toc292456208"/>
      <w:bookmarkStart w:id="194" w:name="_Toc295829859"/>
      <w:bookmarkStart w:id="195" w:name="_Toc310415023"/>
      <w:bookmarkStart w:id="196" w:name="_Toc360188352"/>
      <w:bookmarkStart w:id="197" w:name="_Toc473560901"/>
      <w:bookmarkStart w:id="198" w:name="_Toc496022296"/>
      <w:r>
        <w:rPr>
          <w:rFonts w:ascii="Times New Roman" w:hAnsi="Times New Roman"/>
          <w:sz w:val="24"/>
          <w:u w:val="none"/>
        </w:rPr>
        <w:t>3.2.4.</w:t>
      </w:r>
      <w:r>
        <w:tab/>
      </w:r>
      <w:r>
        <w:rPr>
          <w:rFonts w:ascii="Times New Roman" w:hAnsi="Times New Roman"/>
          <w:sz w:val="24"/>
        </w:rPr>
        <w:t>Éclaircissements sur l’étendue de certaines catégories d’expositions visées à l’article 112 du CRR</w:t>
      </w:r>
      <w:bookmarkEnd w:id="191"/>
      <w:bookmarkEnd w:id="192"/>
      <w:bookmarkEnd w:id="193"/>
      <w:bookmarkEnd w:id="194"/>
      <w:bookmarkEnd w:id="195"/>
      <w:bookmarkEnd w:id="196"/>
      <w:bookmarkEnd w:id="197"/>
      <w:bookmarkEnd w:id="198"/>
    </w:p>
    <w:p w:rsidR="00464F34" w:rsidRPr="00392FFD" w:rsidRDefault="00125707" w:rsidP="0023700C">
      <w:pPr>
        <w:pStyle w:val="Instructionsberschrift2"/>
        <w:numPr>
          <w:ilvl w:val="0"/>
          <w:numId w:val="0"/>
        </w:numPr>
        <w:ind w:left="357" w:hanging="357"/>
        <w:rPr>
          <w:rFonts w:ascii="Times New Roman" w:hAnsi="Times New Roman" w:cs="Times New Roman"/>
          <w:sz w:val="24"/>
        </w:rPr>
      </w:pPr>
      <w:bookmarkStart w:id="199" w:name="_Toc360188353"/>
      <w:bookmarkStart w:id="200" w:name="_Toc473560902"/>
      <w:bookmarkStart w:id="201" w:name="_Toc496022297"/>
      <w:r>
        <w:rPr>
          <w:rFonts w:ascii="Times New Roman" w:hAnsi="Times New Roman"/>
          <w:sz w:val="24"/>
          <w:u w:val="none"/>
        </w:rPr>
        <w:t>3.2.4.1.</w:t>
      </w:r>
      <w:r>
        <w:tab/>
      </w:r>
      <w:r>
        <w:rPr>
          <w:rFonts w:ascii="Times New Roman" w:hAnsi="Times New Roman"/>
          <w:sz w:val="24"/>
        </w:rPr>
        <w:t>Catégorie d'expositions «Établissements»</w:t>
      </w:r>
      <w:bookmarkEnd w:id="199"/>
      <w:bookmarkEnd w:id="200"/>
      <w:bookmarkEnd w:id="201"/>
    </w:p>
    <w:p w:rsidR="00464F34" w:rsidRPr="00392FFD" w:rsidRDefault="00125707" w:rsidP="0023700C">
      <w:pPr>
        <w:pStyle w:val="InstructionsText2"/>
        <w:numPr>
          <w:ilvl w:val="0"/>
          <w:numId w:val="0"/>
        </w:numPr>
        <w:ind w:left="1353" w:hanging="360"/>
      </w:pPr>
      <w:r>
        <w:t>68.</w:t>
      </w:r>
      <w:r>
        <w:tab/>
        <w:t>La déclaration d’expositions intragroupes conformément à l’article 113, par</w:t>
      </w:r>
      <w:r>
        <w:t>a</w:t>
      </w:r>
      <w:r>
        <w:t>graphes 6 et 7, du CRR s’effectuera comme suit:</w:t>
      </w:r>
    </w:p>
    <w:p w:rsidR="00464F34" w:rsidRPr="00392FFD" w:rsidRDefault="00125707" w:rsidP="0023700C">
      <w:pPr>
        <w:pStyle w:val="InstructionsText2"/>
        <w:numPr>
          <w:ilvl w:val="0"/>
          <w:numId w:val="0"/>
        </w:numPr>
        <w:ind w:left="1353" w:hanging="360"/>
      </w:pPr>
      <w:r>
        <w:t>69.</w:t>
      </w:r>
      <w:r>
        <w:tab/>
        <w:t>Les expositions qui satisfont aux exigences de l’article 113, paragraphe 7, du CRR seront déclarées dans les catégories d’expositions respectives qui leur a</w:t>
      </w:r>
      <w:r>
        <w:t>u</w:t>
      </w:r>
      <w:r>
        <w:t>raient été attribuées s’il ne s’agissait pas d’expositions intragroupes.</w:t>
      </w:r>
    </w:p>
    <w:p w:rsidR="00464F34" w:rsidRPr="00392FFD" w:rsidRDefault="00125707" w:rsidP="0023700C">
      <w:pPr>
        <w:pStyle w:val="InstructionsText2"/>
        <w:numPr>
          <w:ilvl w:val="0"/>
          <w:numId w:val="0"/>
        </w:numPr>
        <w:ind w:left="1353" w:hanging="360"/>
      </w:pPr>
      <w:r>
        <w:t>70.</w:t>
      </w:r>
      <w:r>
        <w:tab/>
        <w:t>Aux termes de l'article 113, paragraphes 6 et 7, du CRR, «un établissement peut, sous réserve de l'autorisation préalable des autorités compétentes, décider de ne pas appliquer les obligations prévues au paragraphe 1 du présent article à ses expositions envers une contrepartie qui est son entreprise mère, sa filiale, une filiale de son entreprise mère ou une entreprise liée par une relation au sens de l'article 12, paragraphe 1, de la directive 83/349/CEE.» Cela signifie que les contreparties intragroupes ne sont pas nécessairement des établissements mais également des entreprises affectées à d'autres catégories d'expositions, par ex. des entreprises de services auxiliaires ou des entreprises au sens de l'article 12, paragraphe 1, de la directive 83/349/CEE. Dès lors, les expositions intragroupes seront déclarées dans la catégorie d’exposition correspondante.</w:t>
      </w:r>
    </w:p>
    <w:p w:rsidR="00464F34" w:rsidRPr="00392FFD" w:rsidRDefault="00125707" w:rsidP="0023700C">
      <w:pPr>
        <w:pStyle w:val="Instructionsberschrift2"/>
        <w:numPr>
          <w:ilvl w:val="0"/>
          <w:numId w:val="0"/>
        </w:numPr>
        <w:ind w:left="357" w:hanging="357"/>
        <w:rPr>
          <w:rFonts w:ascii="Times New Roman" w:hAnsi="Times New Roman" w:cs="Times New Roman"/>
          <w:sz w:val="24"/>
        </w:rPr>
      </w:pPr>
      <w:bookmarkStart w:id="202" w:name="_Toc360188354"/>
      <w:bookmarkStart w:id="203" w:name="_Toc473560903"/>
      <w:bookmarkStart w:id="204" w:name="_Toc496022298"/>
      <w:r>
        <w:rPr>
          <w:rFonts w:ascii="Times New Roman" w:hAnsi="Times New Roman"/>
          <w:sz w:val="24"/>
          <w:u w:val="none"/>
        </w:rPr>
        <w:t>3.2.4.2.</w:t>
      </w:r>
      <w:r>
        <w:tab/>
      </w:r>
      <w:r>
        <w:rPr>
          <w:rFonts w:ascii="Times New Roman" w:hAnsi="Times New Roman"/>
          <w:sz w:val="24"/>
        </w:rPr>
        <w:t>Catégorie d'expositions «Obligations garanties»</w:t>
      </w:r>
      <w:bookmarkEnd w:id="202"/>
      <w:bookmarkEnd w:id="203"/>
      <w:bookmarkEnd w:id="204"/>
    </w:p>
    <w:p w:rsidR="00464F34" w:rsidRPr="00392FFD" w:rsidRDefault="00125707" w:rsidP="0023700C">
      <w:pPr>
        <w:pStyle w:val="InstructionsText2"/>
        <w:numPr>
          <w:ilvl w:val="0"/>
          <w:numId w:val="0"/>
        </w:numPr>
        <w:ind w:left="1353" w:hanging="360"/>
      </w:pPr>
      <w:r>
        <w:t>71.</w:t>
      </w:r>
      <w:r>
        <w:tab/>
        <w:t>L’affectation d’expositions selon l’approche standard à la catégorie d’exposition «Obligations garanties» s’effectuera comme suit:</w:t>
      </w:r>
    </w:p>
    <w:p w:rsidR="00464F34" w:rsidRPr="00392FFD" w:rsidRDefault="00125707" w:rsidP="0023700C">
      <w:pPr>
        <w:pStyle w:val="InstructionsText2"/>
        <w:numPr>
          <w:ilvl w:val="0"/>
          <w:numId w:val="0"/>
        </w:numPr>
        <w:ind w:left="1353" w:hanging="360"/>
      </w:pPr>
      <w:r>
        <w:t>72.</w:t>
      </w:r>
      <w:r>
        <w:tab/>
        <w:t>Les obligations telles que définies à l'article 52, paragraphe 4, de la directive 2009/65/CE doivent satisfaire aux exigences de l'article 129, paragraphes 1 et 2, du CRR, pour être affectées à la catégorie d'expositions «Obligations gara</w:t>
      </w:r>
      <w:r>
        <w:t>n</w:t>
      </w:r>
      <w:r>
        <w:t>ties». Dans chaque cas, le respect de ces exigences doit faire l’objet d’une vér</w:t>
      </w:r>
      <w:r>
        <w:t>i</w:t>
      </w:r>
      <w:r>
        <w:t>fication. Toutefois, les obligations visées à l'article 52, paragraphe 4, de la d</w:t>
      </w:r>
      <w:r>
        <w:t>i</w:t>
      </w:r>
      <w:r>
        <w:t>rective 2009/65/CE et émises avant le 31 décembre 2007 seront également a</w:t>
      </w:r>
      <w:r>
        <w:t>f</w:t>
      </w:r>
      <w:r>
        <w:t>fectées à la catégorie d'expositions «Obligations garanties» en raison de l'article 129, paragraphe 6, du CRR.</w:t>
      </w:r>
    </w:p>
    <w:p w:rsidR="00464F34" w:rsidRPr="00392FFD" w:rsidRDefault="00125707" w:rsidP="0023700C">
      <w:pPr>
        <w:pStyle w:val="Instructionsberschrift2"/>
        <w:numPr>
          <w:ilvl w:val="0"/>
          <w:numId w:val="0"/>
        </w:numPr>
        <w:ind w:left="357" w:hanging="357"/>
        <w:rPr>
          <w:rFonts w:ascii="Times New Roman" w:hAnsi="Times New Roman" w:cs="Times New Roman"/>
          <w:sz w:val="24"/>
        </w:rPr>
      </w:pPr>
      <w:bookmarkStart w:id="205" w:name="_Toc360188355"/>
      <w:bookmarkStart w:id="206" w:name="_Toc473560904"/>
      <w:bookmarkStart w:id="207" w:name="_Toc496022299"/>
      <w:r>
        <w:rPr>
          <w:rFonts w:ascii="Times New Roman" w:hAnsi="Times New Roman"/>
          <w:sz w:val="24"/>
          <w:u w:val="none"/>
        </w:rPr>
        <w:t>3.2.4.3.</w:t>
      </w:r>
      <w:r>
        <w:tab/>
      </w:r>
      <w:r>
        <w:rPr>
          <w:rFonts w:ascii="Times New Roman" w:hAnsi="Times New Roman"/>
          <w:sz w:val="24"/>
        </w:rPr>
        <w:t>Catégorie d’exposition «OPC»</w:t>
      </w:r>
      <w:bookmarkEnd w:id="205"/>
      <w:bookmarkEnd w:id="206"/>
      <w:bookmarkEnd w:id="207"/>
    </w:p>
    <w:p w:rsidR="00464F34" w:rsidRPr="00392FFD" w:rsidRDefault="00125707" w:rsidP="0023700C">
      <w:pPr>
        <w:pStyle w:val="InstructionsText2"/>
        <w:numPr>
          <w:ilvl w:val="0"/>
          <w:numId w:val="0"/>
        </w:numPr>
        <w:ind w:left="1353" w:hanging="360"/>
      </w:pPr>
      <w:r>
        <w:t>73.</w:t>
      </w:r>
      <w:r>
        <w:tab/>
        <w:t>Lorsqu'il est fait usage de la possibilité offerte par l'article 132, paragraphe 5, du CRR, les expositions sous la forme de parts ou d'actions d'OPC seront déclarées comme des éléments au bilan conformément à l'article 111, paragraphe 1, pr</w:t>
      </w:r>
      <w:r>
        <w:t>e</w:t>
      </w:r>
      <w:r>
        <w:t xml:space="preserve">mière phrase du CRR. </w:t>
      </w:r>
    </w:p>
    <w:p w:rsidR="00464F34" w:rsidRPr="00392FFD" w:rsidRDefault="00125707" w:rsidP="0023700C">
      <w:pPr>
        <w:pStyle w:val="Instructionsberschrift2"/>
        <w:numPr>
          <w:ilvl w:val="0"/>
          <w:numId w:val="0"/>
        </w:numPr>
        <w:ind w:left="357" w:hanging="357"/>
        <w:rPr>
          <w:rFonts w:ascii="Times New Roman" w:hAnsi="Times New Roman" w:cs="Times New Roman"/>
          <w:sz w:val="24"/>
        </w:rPr>
      </w:pPr>
      <w:bookmarkStart w:id="208" w:name="_Toc262568032"/>
      <w:bookmarkStart w:id="209" w:name="_Toc264038430"/>
      <w:bookmarkStart w:id="210" w:name="_Toc292456209"/>
      <w:bookmarkStart w:id="211" w:name="_Toc295829860"/>
      <w:bookmarkStart w:id="212" w:name="_Toc310415024"/>
      <w:bookmarkStart w:id="213" w:name="_Toc360188356"/>
      <w:bookmarkStart w:id="214" w:name="_Toc473560905"/>
      <w:bookmarkStart w:id="215" w:name="_Toc496022300"/>
      <w:r>
        <w:rPr>
          <w:rFonts w:ascii="Times New Roman" w:hAnsi="Times New Roman"/>
          <w:sz w:val="24"/>
          <w:u w:val="none"/>
        </w:rPr>
        <w:t>3.2.5.</w:t>
      </w:r>
      <w:r>
        <w:tab/>
      </w:r>
      <w:r>
        <w:rPr>
          <w:rFonts w:ascii="Times New Roman" w:hAnsi="Times New Roman"/>
          <w:sz w:val="24"/>
        </w:rPr>
        <w:t>Instructions concernant certaines positions</w:t>
      </w:r>
      <w:bookmarkEnd w:id="208"/>
      <w:bookmarkEnd w:id="209"/>
      <w:bookmarkEnd w:id="210"/>
      <w:bookmarkEnd w:id="211"/>
      <w:bookmarkEnd w:id="212"/>
      <w:bookmarkEnd w:id="213"/>
      <w:bookmarkEnd w:id="214"/>
      <w:bookmarkEnd w:id="215"/>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8640"/>
      </w:tblGrid>
      <w:tr w:rsidR="00464F34" w:rsidRPr="00392FFD" w:rsidTr="00464F34">
        <w:trPr>
          <w:trHeight w:val="581"/>
        </w:trPr>
        <w:tc>
          <w:tcPr>
            <w:tcW w:w="9828" w:type="dxa"/>
            <w:gridSpan w:val="2"/>
            <w:shd w:val="clear" w:color="auto" w:fill="CCCCCC"/>
          </w:tcPr>
          <w:p w:rsidR="00464F34" w:rsidRPr="00392FFD" w:rsidRDefault="00464F34" w:rsidP="00622B37">
            <w:pPr>
              <w:pStyle w:val="InstructionsText"/>
            </w:pPr>
            <w:r>
              <w:t>Colonnes</w:t>
            </w:r>
          </w:p>
        </w:tc>
      </w:tr>
      <w:tr w:rsidR="00464F34" w:rsidRPr="00392FFD" w:rsidTr="00464F34">
        <w:tc>
          <w:tcPr>
            <w:tcW w:w="1188" w:type="dxa"/>
          </w:tcPr>
          <w:p w:rsidR="00464F34" w:rsidRPr="00392FFD" w:rsidRDefault="00464F34" w:rsidP="00622B37">
            <w:pPr>
              <w:pStyle w:val="InstructionsText"/>
            </w:pPr>
            <w:r>
              <w:lastRenderedPageBreak/>
              <w:t>010</w:t>
            </w:r>
          </w:p>
        </w:tc>
        <w:tc>
          <w:tcPr>
            <w:tcW w:w="8640"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EXPOSITION INITIALE AVANT APPLICATION DES FACTEURS DE CO</w:t>
            </w:r>
            <w:r>
              <w:rPr>
                <w:rStyle w:val="InstructionsTabelleberschrift"/>
                <w:rFonts w:ascii="Times New Roman" w:hAnsi="Times New Roman"/>
                <w:sz w:val="24"/>
              </w:rPr>
              <w:t>N</w:t>
            </w:r>
            <w:r>
              <w:rPr>
                <w:rStyle w:val="InstructionsTabelleberschrift"/>
                <w:rFonts w:ascii="Times New Roman" w:hAnsi="Times New Roman"/>
                <w:sz w:val="24"/>
              </w:rPr>
              <w:t>VERSION</w:t>
            </w:r>
          </w:p>
          <w:p w:rsidR="00464F34" w:rsidRPr="00392FFD" w:rsidRDefault="00464F34" w:rsidP="00622B37">
            <w:pPr>
              <w:pStyle w:val="InstructionsText"/>
            </w:pPr>
            <w:r>
              <w:t>Valeur exposée au risque conformément à l’article 111 du CRR compte non tenu des corrections de valeur et des provisions, des facteurs de conversion et de l'effet des techniques d'atténuation du risque de crédit, avec les conditions suivantes découlant de l'article 111, paragraphe 2, du CRR:</w:t>
            </w:r>
          </w:p>
          <w:p w:rsidR="00464F34" w:rsidRPr="00392FFD" w:rsidRDefault="00464F34" w:rsidP="00622B37">
            <w:pPr>
              <w:pStyle w:val="InstructionsText"/>
            </w:pPr>
            <w:r>
              <w:t>Pour les instruments dérivés, les opérations de pension, les opérations de prêt ou d'e</w:t>
            </w:r>
            <w:r>
              <w:t>m</w:t>
            </w:r>
            <w:r>
              <w:t>prunt de titres ou de matières premières, les opérations à règlement différé et les opér</w:t>
            </w:r>
            <w:r>
              <w:t>a</w:t>
            </w:r>
            <w:r>
              <w:t>tions de prêt avec appel de marge soumises aux dispositions de la troisième partie, titre II, chapitre 6 du CRR ou à l'article 92, paragraphe 3, point f), du CRR, l’exposition in</w:t>
            </w:r>
            <w:r>
              <w:t>i</w:t>
            </w:r>
            <w:r>
              <w:t>tiale correspondra à la valeur exposée au risque de crédit de contrepartie, calculée selon les méthodes énoncées dans la troisième partie, titre II, chapitre 6, sections 3, 4, 5, 6 et 7 du CRR.</w:t>
            </w:r>
          </w:p>
          <w:p w:rsidR="00464F34" w:rsidRPr="00392FFD" w:rsidRDefault="00464F34" w:rsidP="00622B37">
            <w:pPr>
              <w:pStyle w:val="InstructionsText"/>
            </w:pPr>
            <w:r>
              <w:t xml:space="preserve">La valeur exposée au risque des contrats de location ou de crédit-bail est régie par l’article 134, paragraphe 7, du CRR. </w:t>
            </w:r>
          </w:p>
          <w:p w:rsidR="00464F34" w:rsidRPr="00392FFD" w:rsidRDefault="00464F34" w:rsidP="00622B37">
            <w:pPr>
              <w:pStyle w:val="InstructionsText"/>
            </w:pPr>
          </w:p>
          <w:p w:rsidR="00464F34" w:rsidRPr="00392FFD" w:rsidRDefault="00464F34" w:rsidP="00622B37">
            <w:pPr>
              <w:pStyle w:val="InstructionsText"/>
            </w:pPr>
            <w:r>
              <w:t>En cas de compensation au bilan, visée à l’article 219 du CRR, les valeurs exposées au risque seront déclarées en fonction des sûretés en espèces reçues.</w:t>
            </w:r>
          </w:p>
          <w:p w:rsidR="00464F34" w:rsidRPr="00392FFD" w:rsidRDefault="00464F34" w:rsidP="00622B37">
            <w:pPr>
              <w:pStyle w:val="InstructionsText"/>
            </w:pPr>
          </w:p>
          <w:p w:rsidR="00464F34" w:rsidRPr="00392FFD" w:rsidRDefault="00464F34" w:rsidP="00622B37">
            <w:pPr>
              <w:pStyle w:val="InstructionsText"/>
            </w:pPr>
            <w:r>
              <w:t>Dans le cas d'un accord-cadre de compensation couvrant les opérations de pension et/ou les opérations de prêt ou d'emprunt de titres ou de matières premières et/ou les autres opérations ajustées aux conditions du marché, soumises à la troisième partie, titre II, chapitre 6 du CRR, l'effet de la protection de crédit financée, sous la forme d'accord-cadre de compensation, tel que décrit à l'article 220, paragraphe 4 du CRR, s</w:t>
            </w:r>
            <w:r>
              <w:t>e</w:t>
            </w:r>
            <w:r>
              <w:t>ra inclus dans la colonne 010. Dès lors, en cas d’accord-cadre de compensation co</w:t>
            </w:r>
            <w:r>
              <w:t>u</w:t>
            </w:r>
            <w:r>
              <w:t>vrant les opérations de pension soumises aux dispositions de la troisième partie, titre II, chapitre 6 du CRR, la valeur E*, telle que calculée conformément aux articles 220 et 221 du CRR, sera déclarée dans la colonne 010 du modèle CR SA.</w:t>
            </w:r>
          </w:p>
        </w:tc>
      </w:tr>
      <w:tr w:rsidR="00464F34" w:rsidRPr="00392FFD" w:rsidTr="00464F34">
        <w:tc>
          <w:tcPr>
            <w:tcW w:w="1188" w:type="dxa"/>
          </w:tcPr>
          <w:p w:rsidR="00464F34" w:rsidRPr="00392FFD" w:rsidRDefault="00464F34" w:rsidP="00622B37">
            <w:pPr>
              <w:pStyle w:val="InstructionsText"/>
            </w:pPr>
            <w:r>
              <w:t>030</w:t>
            </w:r>
          </w:p>
        </w:tc>
        <w:tc>
          <w:tcPr>
            <w:tcW w:w="8640"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 Corrections de valeur et provisions associées à l’exposition initiale</w:t>
            </w:r>
          </w:p>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Articles 24 et 111 du CRR</w:t>
            </w:r>
          </w:p>
          <w:p w:rsidR="00464F34" w:rsidRPr="00392FFD" w:rsidRDefault="00464F34" w:rsidP="00622B37">
            <w:pPr>
              <w:pStyle w:val="InstructionsText"/>
            </w:pPr>
          </w:p>
          <w:p w:rsidR="00464F34" w:rsidRPr="00392FFD" w:rsidRDefault="00464F34" w:rsidP="00622B37">
            <w:pPr>
              <w:pStyle w:val="InstructionsText"/>
            </w:pPr>
            <w:r>
              <w:t xml:space="preserve">Corrections de valeur et provisions pour pertes de crédit, conformément au référentiel comptable auquel l’entité déclarante est soumise. </w:t>
            </w:r>
          </w:p>
        </w:tc>
      </w:tr>
      <w:tr w:rsidR="00464F34" w:rsidRPr="00392FFD" w:rsidTr="00464F34">
        <w:tc>
          <w:tcPr>
            <w:tcW w:w="1188" w:type="dxa"/>
          </w:tcPr>
          <w:p w:rsidR="00464F34" w:rsidRPr="00392FFD" w:rsidRDefault="00464F34" w:rsidP="00622B37">
            <w:pPr>
              <w:pStyle w:val="InstructionsText"/>
            </w:pPr>
            <w:r>
              <w:t>040</w:t>
            </w:r>
          </w:p>
        </w:tc>
        <w:tc>
          <w:tcPr>
            <w:tcW w:w="8640" w:type="dxa"/>
          </w:tcPr>
          <w:p w:rsidR="00464F34" w:rsidRPr="00392FFD" w:rsidRDefault="00464F34" w:rsidP="00622B37">
            <w:pPr>
              <w:pStyle w:val="InstructionsText"/>
            </w:pPr>
            <w:r>
              <w:rPr>
                <w:rStyle w:val="InstructionsTabelleberschrift"/>
                <w:rFonts w:ascii="Times New Roman" w:hAnsi="Times New Roman"/>
                <w:sz w:val="24"/>
              </w:rPr>
              <w:t>Exposition nette des corrections de valeur et des provisions</w:t>
            </w:r>
          </w:p>
          <w:p w:rsidR="00464F34" w:rsidRPr="00392FFD" w:rsidRDefault="00464F34" w:rsidP="00622B37">
            <w:pPr>
              <w:pStyle w:val="InstructionsText"/>
            </w:pPr>
            <w:r>
              <w:t>Somme des colonnes 010 et 030.</w:t>
            </w:r>
          </w:p>
        </w:tc>
      </w:tr>
      <w:tr w:rsidR="00464F34" w:rsidRPr="00392FFD" w:rsidTr="00464F34">
        <w:tc>
          <w:tcPr>
            <w:tcW w:w="1188" w:type="dxa"/>
          </w:tcPr>
          <w:p w:rsidR="00464F34" w:rsidRPr="00392FFD" w:rsidRDefault="00464F34" w:rsidP="00622B37">
            <w:pPr>
              <w:pStyle w:val="InstructionsText"/>
            </w:pPr>
            <w:r>
              <w:t>050 - 100</w:t>
            </w:r>
          </w:p>
        </w:tc>
        <w:tc>
          <w:tcPr>
            <w:tcW w:w="8640"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TECHNIQUES D'ATTÉNUATION DU RISQUE DE CRÉDIT (ARC) AVEC EFFETS DE SUBSTITUTION SUR L'EXPOSITION</w:t>
            </w:r>
          </w:p>
          <w:p w:rsidR="00464F34" w:rsidRPr="00392FFD" w:rsidRDefault="00464F34" w:rsidP="00622B37">
            <w:pPr>
              <w:pStyle w:val="InstructionsText"/>
            </w:pPr>
            <w:r>
              <w:t>Techniques d'atténuation du risque de crédit, définies à l'article 4, point 57, du CRR, qui permettent de réduire le risque de crédit d'une ou plusieurs expositions par le biais d'une substitution d'expositions telle que définie ci-après au point intitulé «Substitution de l'exposition due à l'ARC».</w:t>
            </w:r>
          </w:p>
          <w:p w:rsidR="00464F34" w:rsidRPr="00392FFD" w:rsidRDefault="00464F34" w:rsidP="00622B37">
            <w:pPr>
              <w:pStyle w:val="InstructionsText"/>
            </w:pPr>
            <w:r>
              <w:t>Lorsqu'une sûreté exerce une influence sur la valeur exposée au risque (par ex. lor</w:t>
            </w:r>
            <w:r>
              <w:t>s</w:t>
            </w:r>
            <w:r>
              <w:t>qu'elle est utilisée dans le cadre de techniques d'atténuation du risque de crédit avec e</w:t>
            </w:r>
            <w:r>
              <w:t>f</w:t>
            </w:r>
            <w:r>
              <w:lastRenderedPageBreak/>
              <w:t>fets de substitution sur l'exposition), elle sera plafonnée à la valeur exposée au risque.</w:t>
            </w:r>
          </w:p>
          <w:p w:rsidR="00464F34" w:rsidRPr="00392FFD" w:rsidRDefault="00464F34" w:rsidP="00622B37">
            <w:pPr>
              <w:pStyle w:val="InstructionsText"/>
            </w:pPr>
            <w:r>
              <w:t>Éléments à déclarer:</w:t>
            </w:r>
          </w:p>
          <w:p w:rsidR="00464F34" w:rsidRPr="00392FFD" w:rsidRDefault="00125707" w:rsidP="0023700C">
            <w:pPr>
              <w:pStyle w:val="InstructionsText"/>
              <w:tabs>
                <w:tab w:val="left" w:pos="357"/>
              </w:tabs>
              <w:ind w:left="357" w:hanging="357"/>
            </w:pPr>
            <w:r>
              <w:rPr>
                <w:rFonts w:ascii="Arial" w:hAnsi="Arial"/>
              </w:rPr>
              <w:t>-</w:t>
            </w:r>
            <w:r>
              <w:tab/>
              <w:t>sûretés, soumises à la méthode simple fondée sur les sûretés financières;</w:t>
            </w:r>
          </w:p>
          <w:p w:rsidR="00464F34" w:rsidRPr="00392FFD" w:rsidRDefault="00125707" w:rsidP="0023700C">
            <w:pPr>
              <w:pStyle w:val="InstructionsText"/>
              <w:tabs>
                <w:tab w:val="left" w:pos="357"/>
              </w:tabs>
              <w:ind w:left="357" w:hanging="357"/>
            </w:pPr>
            <w:r>
              <w:rPr>
                <w:rFonts w:ascii="Arial" w:hAnsi="Arial"/>
              </w:rPr>
              <w:t>-</w:t>
            </w:r>
            <w:r>
              <w:tab/>
              <w:t>protection de crédit non financée éligible.</w:t>
            </w:r>
          </w:p>
          <w:p w:rsidR="00464F34" w:rsidRPr="00392FFD" w:rsidRDefault="00464F34" w:rsidP="00622B37">
            <w:pPr>
              <w:pStyle w:val="InstructionsText"/>
            </w:pPr>
            <w:r>
              <w:t xml:space="preserve">Voir également les instructions du point 4.1.1. </w:t>
            </w:r>
          </w:p>
        </w:tc>
      </w:tr>
      <w:tr w:rsidR="00464F34" w:rsidRPr="00392FFD" w:rsidTr="00464F34">
        <w:tc>
          <w:tcPr>
            <w:tcW w:w="1188" w:type="dxa"/>
          </w:tcPr>
          <w:p w:rsidR="00464F34" w:rsidRPr="00392FFD" w:rsidRDefault="00464F34" w:rsidP="00622B37">
            <w:pPr>
              <w:pStyle w:val="InstructionsText"/>
            </w:pPr>
            <w:r>
              <w:lastRenderedPageBreak/>
              <w:t>050 - 060</w:t>
            </w:r>
          </w:p>
        </w:tc>
        <w:tc>
          <w:tcPr>
            <w:tcW w:w="8640"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Protection de crédit non financée: valeurs corrigées (Ga)</w:t>
            </w:r>
          </w:p>
          <w:p w:rsidR="00464F34" w:rsidRPr="00392FFD" w:rsidRDefault="00464F34" w:rsidP="00622B37">
            <w:pPr>
              <w:pStyle w:val="InstructionsText"/>
            </w:pPr>
            <w:r>
              <w:t>Article 235 du CRR</w:t>
            </w:r>
          </w:p>
          <w:p w:rsidR="00464F34" w:rsidRPr="00392FFD" w:rsidRDefault="00464F34" w:rsidP="00622B37">
            <w:pPr>
              <w:pStyle w:val="InstructionsText"/>
            </w:pPr>
            <w:r>
              <w:t>L’article 239, paragraphe 3, du CRR définit la valeur corrigée Ga d’une protection de crédit non financée.</w:t>
            </w:r>
          </w:p>
        </w:tc>
      </w:tr>
      <w:tr w:rsidR="00464F34" w:rsidRPr="00392FFD" w:rsidTr="00464F34">
        <w:tc>
          <w:tcPr>
            <w:tcW w:w="1188" w:type="dxa"/>
          </w:tcPr>
          <w:p w:rsidR="00464F34" w:rsidRPr="00392FFD" w:rsidRDefault="00464F34" w:rsidP="00622B37">
            <w:pPr>
              <w:pStyle w:val="InstructionsText"/>
            </w:pPr>
            <w:r>
              <w:t>050</w:t>
            </w:r>
          </w:p>
        </w:tc>
        <w:tc>
          <w:tcPr>
            <w:tcW w:w="8640"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Garanties</w:t>
            </w:r>
          </w:p>
          <w:p w:rsidR="00464F34" w:rsidRPr="00392FFD" w:rsidRDefault="00464F34" w:rsidP="00622B37">
            <w:pPr>
              <w:pStyle w:val="InstructionsText"/>
            </w:pPr>
            <w:r>
              <w:t>Article 203 du CRR</w:t>
            </w:r>
          </w:p>
          <w:p w:rsidR="00464F34" w:rsidRPr="00392FFD" w:rsidRDefault="00464F34" w:rsidP="00622B37">
            <w:pPr>
              <w:pStyle w:val="InstructionsText"/>
              <w:rPr>
                <w:b/>
                <w:u w:val="single"/>
              </w:rPr>
            </w:pPr>
            <w:r>
              <w:t>Protection de crédit non financée, telle que définie à l’article 4, point 59, du CRR, di</w:t>
            </w:r>
            <w:r>
              <w:t>f</w:t>
            </w:r>
            <w:r>
              <w:t>férente des dérivés de crédit.</w:t>
            </w:r>
          </w:p>
        </w:tc>
      </w:tr>
      <w:tr w:rsidR="00464F34" w:rsidRPr="00392FFD" w:rsidTr="00464F34">
        <w:tc>
          <w:tcPr>
            <w:tcW w:w="1188" w:type="dxa"/>
          </w:tcPr>
          <w:p w:rsidR="00464F34" w:rsidRPr="00392FFD" w:rsidRDefault="00464F34" w:rsidP="00622B37">
            <w:pPr>
              <w:pStyle w:val="InstructionsText"/>
            </w:pPr>
            <w:r>
              <w:t>060</w:t>
            </w:r>
          </w:p>
        </w:tc>
        <w:tc>
          <w:tcPr>
            <w:tcW w:w="8640"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Dérivés de crédit</w:t>
            </w:r>
          </w:p>
          <w:p w:rsidR="00464F34" w:rsidRPr="00392FFD" w:rsidRDefault="00464F34" w:rsidP="00622B37">
            <w:pPr>
              <w:pStyle w:val="InstructionsText"/>
              <w:rPr>
                <w:b/>
                <w:u w:val="single"/>
              </w:rPr>
            </w:pPr>
            <w:r>
              <w:t>Article 204 du CRR.</w:t>
            </w:r>
          </w:p>
        </w:tc>
      </w:tr>
      <w:tr w:rsidR="00464F34" w:rsidRPr="00392FFD" w:rsidTr="00464F34">
        <w:tc>
          <w:tcPr>
            <w:tcW w:w="1188" w:type="dxa"/>
          </w:tcPr>
          <w:p w:rsidR="00464F34" w:rsidRPr="00392FFD" w:rsidRDefault="00464F34" w:rsidP="00622B37">
            <w:pPr>
              <w:pStyle w:val="InstructionsText"/>
            </w:pPr>
            <w:r>
              <w:t>070 – 080</w:t>
            </w:r>
          </w:p>
          <w:p w:rsidR="00464F34" w:rsidRPr="00392FFD" w:rsidRDefault="00464F34" w:rsidP="00622B37">
            <w:pPr>
              <w:pStyle w:val="InstructionsText"/>
            </w:pPr>
          </w:p>
        </w:tc>
        <w:tc>
          <w:tcPr>
            <w:tcW w:w="8640"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Protection de crédit financée</w:t>
            </w:r>
          </w:p>
          <w:p w:rsidR="00464F34" w:rsidRPr="00392FFD" w:rsidRDefault="009C44E7" w:rsidP="00622B37">
            <w:pPr>
              <w:pStyle w:val="InstructionsText"/>
            </w:pPr>
            <w:r>
              <w:t>Ces colonnes traitent de la protection de crédit financée, conformément à l’article 4, point 58, du CRR et aux articles 196, 197 et 200 du CRR. Les montants n’incluent pas les accords-cadres de compensation (déjà intégrés à l’exposition initiale avant applic</w:t>
            </w:r>
            <w:r>
              <w:t>a</w:t>
            </w:r>
            <w:r>
              <w:t xml:space="preserve">tion des facteurs de conversion). </w:t>
            </w:r>
          </w:p>
          <w:p w:rsidR="00464F34" w:rsidRPr="00392FFD" w:rsidRDefault="00464F34" w:rsidP="00622B37">
            <w:pPr>
              <w:pStyle w:val="InstructionsText"/>
            </w:pPr>
            <w:r>
              <w:t>Les titres liés à un crédit et les compensations au bilan issues d’accords-cadres de co</w:t>
            </w:r>
            <w:r>
              <w:t>m</w:t>
            </w:r>
            <w:r>
              <w:t>pensation au bilan éligibles conformément aux articles 218 et 219 du CRR sont traités comme des sûretés en espèces.</w:t>
            </w:r>
          </w:p>
        </w:tc>
      </w:tr>
      <w:tr w:rsidR="00464F34" w:rsidRPr="00392FFD" w:rsidTr="00464F34">
        <w:tc>
          <w:tcPr>
            <w:tcW w:w="1188" w:type="dxa"/>
          </w:tcPr>
          <w:p w:rsidR="00464F34" w:rsidRPr="00392FFD" w:rsidRDefault="00464F34" w:rsidP="00622B37">
            <w:pPr>
              <w:pStyle w:val="InstructionsText"/>
            </w:pPr>
            <w:r>
              <w:t>070</w:t>
            </w:r>
          </w:p>
        </w:tc>
        <w:tc>
          <w:tcPr>
            <w:tcW w:w="8640" w:type="dxa"/>
          </w:tcPr>
          <w:p w:rsidR="00464F34" w:rsidRPr="00392FFD" w:rsidRDefault="00464F34" w:rsidP="00622B37">
            <w:pPr>
              <w:pStyle w:val="InstructionsText"/>
            </w:pPr>
            <w:r>
              <w:rPr>
                <w:rStyle w:val="InstructionsTabelleberschrift"/>
                <w:rFonts w:ascii="Times New Roman" w:hAnsi="Times New Roman"/>
                <w:sz w:val="24"/>
              </w:rPr>
              <w:t>Sûretés financières: méthode simple</w:t>
            </w:r>
          </w:p>
          <w:p w:rsidR="00464F34" w:rsidRPr="00392FFD" w:rsidRDefault="00464F34" w:rsidP="00622B37">
            <w:pPr>
              <w:pStyle w:val="InstructionsText"/>
            </w:pPr>
            <w:r>
              <w:t>Article 222, paragraphes 1 à 2, du CRR</w:t>
            </w:r>
          </w:p>
        </w:tc>
      </w:tr>
      <w:tr w:rsidR="00464F34" w:rsidRPr="00392FFD" w:rsidTr="00464F34">
        <w:tc>
          <w:tcPr>
            <w:tcW w:w="1188" w:type="dxa"/>
          </w:tcPr>
          <w:p w:rsidR="00464F34" w:rsidRPr="00392FFD" w:rsidRDefault="00464F34" w:rsidP="00622B37">
            <w:pPr>
              <w:pStyle w:val="InstructionsText"/>
            </w:pPr>
            <w:r>
              <w:t>080</w:t>
            </w:r>
          </w:p>
        </w:tc>
        <w:tc>
          <w:tcPr>
            <w:tcW w:w="8640"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Autres formes de protection de crédit financée</w:t>
            </w:r>
          </w:p>
          <w:p w:rsidR="00464F34" w:rsidRPr="00392FFD" w:rsidRDefault="00464F34" w:rsidP="00622B37">
            <w:pPr>
              <w:pStyle w:val="InstructionsText"/>
            </w:pPr>
            <w:r>
              <w:t>Article 232 du CRR.</w:t>
            </w:r>
          </w:p>
        </w:tc>
      </w:tr>
      <w:tr w:rsidR="00464F34" w:rsidRPr="00392FFD" w:rsidTr="00464F34">
        <w:tc>
          <w:tcPr>
            <w:tcW w:w="1188" w:type="dxa"/>
          </w:tcPr>
          <w:p w:rsidR="00464F34" w:rsidRPr="00392FFD" w:rsidRDefault="00464F34" w:rsidP="00622B37">
            <w:pPr>
              <w:pStyle w:val="InstructionsText"/>
            </w:pPr>
            <w:r>
              <w:t>090 - 100</w:t>
            </w:r>
          </w:p>
        </w:tc>
        <w:tc>
          <w:tcPr>
            <w:tcW w:w="8640"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SUBSTITUTION DE L’EXPOSITION DUE À L’ARC</w:t>
            </w:r>
          </w:p>
          <w:p w:rsidR="00464F34" w:rsidRPr="00392FFD" w:rsidRDefault="00464F34" w:rsidP="00622B37">
            <w:pPr>
              <w:pStyle w:val="InstructionsText"/>
            </w:pPr>
            <w:r>
              <w:t>Article 222, paragraphe 3, article 235, paragraphes 1 à 2, et article 236 du CRR</w:t>
            </w:r>
          </w:p>
          <w:p w:rsidR="00464F34" w:rsidRPr="00392FFD" w:rsidRDefault="00464F34" w:rsidP="00622B37">
            <w:pPr>
              <w:pStyle w:val="InstructionsText"/>
            </w:pPr>
            <w:r>
              <w:t>Les sorties correspondent à la partie couverte de l'exposition initiale avant application des facteurs de conversion, qui est déduite de la catégorie d'expositions du débiteur puis réaffectée à la catégorie d'expositions du fournisseur de protection. Ce montant s</w:t>
            </w:r>
            <w:r>
              <w:t>e</w:t>
            </w:r>
            <w:r>
              <w:t>ra considéré comme une entrée dans la catégorie d'expositions du fournisseur de pr</w:t>
            </w:r>
            <w:r>
              <w:t>o</w:t>
            </w:r>
            <w:r>
              <w:t>tection.</w:t>
            </w:r>
          </w:p>
          <w:p w:rsidR="00464F34" w:rsidRPr="00392FFD" w:rsidRDefault="00464F34" w:rsidP="00622B37">
            <w:pPr>
              <w:pStyle w:val="InstructionsText"/>
              <w:rPr>
                <w:b/>
              </w:rPr>
            </w:pPr>
            <w:r>
              <w:t>Les entrées et les sorties au sein de la même catégorie d’exposition seront également déclarées.</w:t>
            </w:r>
          </w:p>
          <w:p w:rsidR="00464F34" w:rsidRPr="00392FFD" w:rsidRDefault="00464F34" w:rsidP="00622B37">
            <w:pPr>
              <w:pStyle w:val="InstructionsText"/>
            </w:pPr>
            <w:r>
              <w:t>Les expositions découlant d’éventuelles entrées et sorties depuis et vers d’autres m</w:t>
            </w:r>
            <w:r>
              <w:t>o</w:t>
            </w:r>
            <w:r>
              <w:t>dèles seront prises en considération.</w:t>
            </w:r>
          </w:p>
        </w:tc>
      </w:tr>
      <w:tr w:rsidR="00464F34" w:rsidRPr="00392FFD" w:rsidTr="00464F34">
        <w:tc>
          <w:tcPr>
            <w:tcW w:w="1188" w:type="dxa"/>
          </w:tcPr>
          <w:p w:rsidR="00464F34" w:rsidRPr="00392FFD" w:rsidRDefault="00464F34" w:rsidP="00622B37">
            <w:pPr>
              <w:pStyle w:val="InstructionsText"/>
            </w:pPr>
            <w:r>
              <w:lastRenderedPageBreak/>
              <w:t>110</w:t>
            </w:r>
          </w:p>
        </w:tc>
        <w:tc>
          <w:tcPr>
            <w:tcW w:w="8640"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EXPOSITION NETTE COMPTE TENU DES EFFETS DE SUBSTITUTION ARC ET AVANT APPLICATION DES FACTEURS DE CONVERSION</w:t>
            </w:r>
          </w:p>
          <w:p w:rsidR="00464F34" w:rsidRPr="00392FFD" w:rsidRDefault="00464F34" w:rsidP="00622B37">
            <w:pPr>
              <w:pStyle w:val="InstructionsText"/>
            </w:pPr>
            <w:r>
              <w:t>Montant de l’exposition au net des corrections de valeur, compte tenu des entrées et des sorties dues aux TECHNIQUES D’ATTÉNUATION DU RISQUE DE CRÉDIT (ARC) AVEC EFFETS DE SUBSTITUTION SUR L’EXPOSITION.</w:t>
            </w:r>
          </w:p>
        </w:tc>
      </w:tr>
      <w:tr w:rsidR="00464F34" w:rsidRPr="00392FFD" w:rsidTr="00464F34">
        <w:tc>
          <w:tcPr>
            <w:tcW w:w="1188" w:type="dxa"/>
          </w:tcPr>
          <w:p w:rsidR="00464F34" w:rsidRPr="00392FFD" w:rsidRDefault="00464F34" w:rsidP="00F535E7">
            <w:pPr>
              <w:pStyle w:val="InstructionsText"/>
            </w:pPr>
            <w:r>
              <w:t>120-140</w:t>
            </w:r>
          </w:p>
        </w:tc>
        <w:tc>
          <w:tcPr>
            <w:tcW w:w="8640" w:type="dxa"/>
          </w:tcPr>
          <w:p w:rsidR="00464F34" w:rsidRPr="00392FFD" w:rsidRDefault="00464F34" w:rsidP="00622B37">
            <w:pPr>
              <w:pStyle w:val="InstructionsText"/>
            </w:pPr>
            <w:r>
              <w:rPr>
                <w:rStyle w:val="InstructionsTabelleberschrift"/>
                <w:rFonts w:ascii="Times New Roman" w:hAnsi="Times New Roman"/>
                <w:sz w:val="24"/>
              </w:rPr>
              <w:t>TECHNIQUES D’ATTÉNUATION DU RISQUE DE CRÉDIT MODIFIANT LE MONTANT DE L’EXPOSITION. PROTECTION DE CRÉDIT FINANCÉE. MÉTHODE GÉNÉRALE FONDÉE SUR LES SÛRETÉS FINANCIÈRES</w:t>
            </w:r>
          </w:p>
          <w:p w:rsidR="00464F34" w:rsidRPr="00392FFD" w:rsidRDefault="00464F34" w:rsidP="00622B37">
            <w:pPr>
              <w:pStyle w:val="InstructionsText"/>
            </w:pPr>
            <w:r>
              <w:t>Articles 223, 224, 225, 226, 227 et 228 du CRR. Les titres liés à un crédit sont égal</w:t>
            </w:r>
            <w:r>
              <w:t>e</w:t>
            </w:r>
            <w:r>
              <w:t>ment inclus (article 218 du CRR).</w:t>
            </w:r>
          </w:p>
          <w:p w:rsidR="00464F34" w:rsidRPr="00392FFD" w:rsidRDefault="00464F34" w:rsidP="00622B37">
            <w:pPr>
              <w:pStyle w:val="InstructionsText"/>
            </w:pPr>
            <w:r>
              <w:t>Les titres liés à un crédit et les compensations au bilan issues d’accords-cadres de co</w:t>
            </w:r>
            <w:r>
              <w:t>m</w:t>
            </w:r>
            <w:r>
              <w:t>pensation au bilan éligibles conformément aux articles 218 et 219 du CRR sont traités comme des sûretés en espèces.</w:t>
            </w:r>
          </w:p>
          <w:p w:rsidR="00464F34" w:rsidRPr="00392FFD" w:rsidRDefault="00464F34" w:rsidP="00622B37">
            <w:pPr>
              <w:pStyle w:val="InstructionsText"/>
            </w:pPr>
            <w:r>
              <w:t>L’effet de la garantie de la méthode générale fondée sur les sûretés financières appl</w:t>
            </w:r>
            <w:r>
              <w:t>i</w:t>
            </w:r>
            <w:r>
              <w:t>quée à une exposition qui est garantie par une sûreté financière éligible est calculé co</w:t>
            </w:r>
            <w:r>
              <w:t>n</w:t>
            </w:r>
            <w:r>
              <w:t xml:space="preserve">formément aux articles 223, 224, 225, 226, 227 et 228 du CRR. </w:t>
            </w:r>
          </w:p>
        </w:tc>
      </w:tr>
      <w:tr w:rsidR="00464F34" w:rsidRPr="00392FFD" w:rsidTr="00464F34">
        <w:tc>
          <w:tcPr>
            <w:tcW w:w="1188" w:type="dxa"/>
          </w:tcPr>
          <w:p w:rsidR="00464F34" w:rsidRPr="00392FFD" w:rsidRDefault="00464F34" w:rsidP="00622B37">
            <w:pPr>
              <w:pStyle w:val="InstructionsText"/>
            </w:pPr>
            <w:r>
              <w:t>120</w:t>
            </w:r>
          </w:p>
        </w:tc>
        <w:tc>
          <w:tcPr>
            <w:tcW w:w="8640"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Correction de l’exposition pour volatilité</w:t>
            </w:r>
          </w:p>
          <w:p w:rsidR="00464F34" w:rsidRPr="00392FFD" w:rsidRDefault="00464F34" w:rsidP="00622B37">
            <w:pPr>
              <w:pStyle w:val="InstructionsText"/>
            </w:pPr>
            <w:r>
              <w:t xml:space="preserve">Article 223, paragraphes 2 à 3, du CRR </w:t>
            </w:r>
          </w:p>
          <w:p w:rsidR="00464F34" w:rsidRPr="00392FFD" w:rsidRDefault="00464F34" w:rsidP="00622B37">
            <w:pPr>
              <w:pStyle w:val="InstructionsText"/>
            </w:pPr>
            <w:r>
              <w:t>Le montant à déclarer est déterminé par l'impact de la correction pour volatilité appo</w:t>
            </w:r>
            <w:r>
              <w:t>r</w:t>
            </w:r>
            <w:r>
              <w:t>tée à l'exposition (Eva-E) = E*He</w:t>
            </w:r>
          </w:p>
        </w:tc>
      </w:tr>
      <w:tr w:rsidR="00464F34" w:rsidRPr="00392FFD" w:rsidTr="00464F34">
        <w:tc>
          <w:tcPr>
            <w:tcW w:w="1188" w:type="dxa"/>
          </w:tcPr>
          <w:p w:rsidR="00464F34" w:rsidRPr="00392FFD" w:rsidRDefault="00464F34" w:rsidP="00622B37">
            <w:pPr>
              <w:pStyle w:val="InstructionsText"/>
            </w:pPr>
            <w:r>
              <w:t>130</w:t>
            </w:r>
          </w:p>
        </w:tc>
        <w:tc>
          <w:tcPr>
            <w:tcW w:w="8640"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 Sûretés financières: valeur corrigée (Cvam)</w:t>
            </w:r>
          </w:p>
          <w:p w:rsidR="00464F34" w:rsidRPr="00392FFD" w:rsidRDefault="00464F34" w:rsidP="00622B37">
            <w:pPr>
              <w:pStyle w:val="InstructionsText"/>
            </w:pPr>
            <w:r>
              <w:t>Article 239, paragraphe 2, du CRR.</w:t>
            </w:r>
          </w:p>
          <w:p w:rsidR="00464F34" w:rsidRPr="00392FFD" w:rsidRDefault="00464F34" w:rsidP="00622B37">
            <w:pPr>
              <w:pStyle w:val="InstructionsText"/>
            </w:pPr>
            <w:r>
              <w:t>Pour les opérations du portefeuille de négociation, inclut les sûretés financières et les matières premières éligibles en tant qu’expositions du portefeuille de négociation, co</w:t>
            </w:r>
            <w:r>
              <w:t>n</w:t>
            </w:r>
            <w:r>
              <w:t xml:space="preserve">formément à l’article 299, paragraphe 2, points c) à f), du CRR. </w:t>
            </w:r>
          </w:p>
          <w:p w:rsidR="00464F34" w:rsidRPr="00392FFD" w:rsidRDefault="00464F34" w:rsidP="00622B37">
            <w:pPr>
              <w:pStyle w:val="InstructionsText"/>
            </w:pPr>
            <w:r>
              <w:t>Le montant à déclarer correspond à Cvam= C*(1-Hc-Hfx)*(t-t*)/(T-t*). Pour une déf</w:t>
            </w:r>
            <w:r>
              <w:t>i</w:t>
            </w:r>
            <w:r>
              <w:t>nition de C, Hc, Hfx, t, T et t*, consultez la troisième partie, titre II, chapitre 4, se</w:t>
            </w:r>
            <w:r>
              <w:t>c</w:t>
            </w:r>
            <w:r>
              <w:t>tions 4 et 5, du CRR.</w:t>
            </w:r>
          </w:p>
        </w:tc>
      </w:tr>
      <w:tr w:rsidR="00464F34" w:rsidRPr="00392FFD" w:rsidTr="00464F34">
        <w:tc>
          <w:tcPr>
            <w:tcW w:w="1188" w:type="dxa"/>
          </w:tcPr>
          <w:p w:rsidR="00464F34" w:rsidRPr="00392FFD" w:rsidRDefault="00464F34" w:rsidP="00622B37">
            <w:pPr>
              <w:pStyle w:val="InstructionsText"/>
            </w:pPr>
            <w:r>
              <w:t>140</w:t>
            </w:r>
          </w:p>
        </w:tc>
        <w:tc>
          <w:tcPr>
            <w:tcW w:w="8640" w:type="dxa"/>
          </w:tcPr>
          <w:p w:rsidR="00464F34" w:rsidRPr="00392FFD" w:rsidRDefault="008932B5"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 Dont: Ajustements liés à la volatilité et à l'échéance</w:t>
            </w:r>
          </w:p>
          <w:p w:rsidR="00464F34" w:rsidRPr="00392FFD" w:rsidRDefault="00464F34" w:rsidP="00622B37">
            <w:pPr>
              <w:pStyle w:val="InstructionsText"/>
            </w:pPr>
            <w:r>
              <w:t xml:space="preserve">Article 223, paragraphe 1, et article 239, paragraphe 2, du CRR </w:t>
            </w:r>
          </w:p>
          <w:p w:rsidR="00464F34" w:rsidRPr="00392FFD" w:rsidRDefault="00464F34" w:rsidP="00622B37">
            <w:pPr>
              <w:pStyle w:val="InstructionsText"/>
            </w:pPr>
            <w:r>
              <w:t>Le montant à déclarer correspond à l’impact conjoint des ajustements liés à la volatilité et à l’échéance, (Cvam-C) = C*[(1-Hc-Hfx)*(t-t*)/(T-t*)-1], où l’impact des ajust</w:t>
            </w:r>
            <w:r>
              <w:t>e</w:t>
            </w:r>
            <w:r>
              <w:t>ments liés à la volatilité est égal à (Cva-C) = C*[(1-Hc-Hfx)-1] et l’impact des ajust</w:t>
            </w:r>
            <w:r>
              <w:t>e</w:t>
            </w:r>
            <w:r>
              <w:t>ments liés à l’échéance est égal à (Cvam-Cva) = C*(1-Hc-Hfx)*[(t-t*)/(T-t*)-1]</w:t>
            </w:r>
          </w:p>
        </w:tc>
      </w:tr>
      <w:tr w:rsidR="00464F34" w:rsidRPr="00392FFD" w:rsidTr="00464F34">
        <w:tc>
          <w:tcPr>
            <w:tcW w:w="1188" w:type="dxa"/>
          </w:tcPr>
          <w:p w:rsidR="00464F34" w:rsidRPr="00392FFD" w:rsidRDefault="00464F34" w:rsidP="00622B37">
            <w:pPr>
              <w:pStyle w:val="InstructionsText"/>
            </w:pPr>
            <w:r>
              <w:t>150</w:t>
            </w:r>
          </w:p>
        </w:tc>
        <w:tc>
          <w:tcPr>
            <w:tcW w:w="8640" w:type="dxa"/>
          </w:tcPr>
          <w:p w:rsidR="00464F34" w:rsidRPr="00392FFD" w:rsidRDefault="00464F34" w:rsidP="00622B37">
            <w:pPr>
              <w:pStyle w:val="InstructionsText"/>
            </w:pPr>
            <w:r>
              <w:rPr>
                <w:rStyle w:val="InstructionsTabelleberschrift"/>
                <w:rFonts w:ascii="Times New Roman" w:hAnsi="Times New Roman"/>
                <w:sz w:val="24"/>
              </w:rPr>
              <w:t>Valeur exposée au risque pleinement ajustée (E*)</w:t>
            </w:r>
          </w:p>
          <w:p w:rsidR="00464F34" w:rsidRPr="00392FFD" w:rsidRDefault="00464F34" w:rsidP="00622B37">
            <w:pPr>
              <w:pStyle w:val="InstructionsText"/>
              <w:rPr>
                <w:b/>
                <w:u w:val="single"/>
              </w:rPr>
            </w:pPr>
            <w:r>
              <w:t>Article 220, paragraphe 4, article 223, paragraphes 2 à 5, et article 228, paragraphe 1, du CRR</w:t>
            </w:r>
          </w:p>
        </w:tc>
      </w:tr>
      <w:tr w:rsidR="00464F34" w:rsidRPr="00392FFD" w:rsidTr="00464F34">
        <w:tc>
          <w:tcPr>
            <w:tcW w:w="1188" w:type="dxa"/>
          </w:tcPr>
          <w:p w:rsidR="00464F34" w:rsidRPr="00392FFD" w:rsidRDefault="00464F34" w:rsidP="00622B37">
            <w:pPr>
              <w:pStyle w:val="InstructionsText"/>
            </w:pPr>
            <w:r>
              <w:t>160 - 190</w:t>
            </w:r>
          </w:p>
        </w:tc>
        <w:tc>
          <w:tcPr>
            <w:tcW w:w="8640"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Répartition de la valeur exposée au risque pleinement ajustée des éléments de hors bilan par facteur de conversion</w:t>
            </w:r>
          </w:p>
          <w:p w:rsidR="00464F34" w:rsidRPr="00392FFD" w:rsidRDefault="00464F34" w:rsidP="00622B37">
            <w:pPr>
              <w:pStyle w:val="InstructionsText"/>
            </w:pPr>
            <w:r>
              <w:t>Article 111, paragraphe 1, et article 4, point 56, du CRR. Voir également l’article 222, paragraphe 3, et l’article 228, paragraphe 1, du CRR.</w:t>
            </w:r>
          </w:p>
          <w:p w:rsidR="000A4C10" w:rsidRPr="00392FFD" w:rsidRDefault="000A4C10" w:rsidP="00622B37">
            <w:pPr>
              <w:pStyle w:val="InstructionsText"/>
              <w:rPr>
                <w:b/>
                <w:u w:val="single"/>
              </w:rPr>
            </w:pPr>
            <w:r>
              <w:lastRenderedPageBreak/>
              <w:t>Les chiffres déclarés doivent être les valeurs exposées au risque pleinement ajustées avant application du facteur de conversion.</w:t>
            </w:r>
          </w:p>
        </w:tc>
      </w:tr>
      <w:tr w:rsidR="00464F34" w:rsidRPr="00392FFD" w:rsidTr="00464F34">
        <w:tc>
          <w:tcPr>
            <w:tcW w:w="1188" w:type="dxa"/>
          </w:tcPr>
          <w:p w:rsidR="00464F34" w:rsidRPr="00392FFD" w:rsidRDefault="00464F34" w:rsidP="00622B37">
            <w:pPr>
              <w:pStyle w:val="InstructionsText"/>
            </w:pPr>
            <w:r>
              <w:lastRenderedPageBreak/>
              <w:t>200</w:t>
            </w:r>
          </w:p>
        </w:tc>
        <w:tc>
          <w:tcPr>
            <w:tcW w:w="8640" w:type="dxa"/>
          </w:tcPr>
          <w:p w:rsidR="00464F34" w:rsidRPr="00392FFD" w:rsidRDefault="00464F34" w:rsidP="00622B37">
            <w:pPr>
              <w:pStyle w:val="InstructionsText"/>
            </w:pPr>
            <w:r>
              <w:rPr>
                <w:rStyle w:val="InstructionsTabelleberschrift"/>
                <w:rFonts w:ascii="Times New Roman" w:hAnsi="Times New Roman"/>
                <w:sz w:val="24"/>
              </w:rPr>
              <w:t>Valeur exposée au risque</w:t>
            </w:r>
          </w:p>
          <w:p w:rsidR="00464F34" w:rsidRPr="00392FFD" w:rsidRDefault="00531FC9" w:rsidP="00622B37">
            <w:pPr>
              <w:pStyle w:val="InstructionsText"/>
            </w:pPr>
            <w:r>
              <w:t>Article 111 et troisième partie, titre II, chapitre 4, section 4 du CRR.</w:t>
            </w:r>
          </w:p>
          <w:p w:rsidR="00464F34" w:rsidRPr="00392FFD" w:rsidRDefault="00464F34" w:rsidP="00622B37">
            <w:pPr>
              <w:pStyle w:val="InstructionsText"/>
            </w:pPr>
            <w:r>
              <w:t>Valeur exposée au risque compte tenu des corrections de valeur, de toutes les mesures d’atténuation du risque de crédit et des facteurs de conversion qui doit être affectée à des pondérations de risque, conformément à l’article 113 et à la troisième partie, titre II, chapitre 2, section 2 du CRR.</w:t>
            </w:r>
          </w:p>
        </w:tc>
      </w:tr>
      <w:tr w:rsidR="00464F34" w:rsidRPr="00392FFD" w:rsidTr="00464F34">
        <w:tc>
          <w:tcPr>
            <w:tcW w:w="1188" w:type="dxa"/>
          </w:tcPr>
          <w:p w:rsidR="00464F34" w:rsidRPr="00392FFD" w:rsidRDefault="00464F34" w:rsidP="00622B37">
            <w:pPr>
              <w:pStyle w:val="InstructionsText"/>
            </w:pPr>
            <w:r>
              <w:t>210</w:t>
            </w:r>
          </w:p>
        </w:tc>
        <w:tc>
          <w:tcPr>
            <w:tcW w:w="8640"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Dont: résultant du risque de crédit de contrepartie</w:t>
            </w:r>
          </w:p>
          <w:p w:rsidR="00464F34" w:rsidRPr="00392FFD" w:rsidRDefault="00464F34" w:rsidP="00622B37">
            <w:pPr>
              <w:pStyle w:val="InstructionsText"/>
              <w:rPr>
                <w:b/>
                <w:u w:val="single"/>
              </w:rPr>
            </w:pPr>
            <w:r>
              <w:t>Pour les instruments dérivés, les opérations de pension, les opérations de prêt ou d’emprunt de titres ou de matières premières, les opérations à règlement différé et les opérations de prêt avec appel de marge, soumises aux dispositions de la troisième pa</w:t>
            </w:r>
            <w:r>
              <w:t>r</w:t>
            </w:r>
            <w:r>
              <w:t>tie, titre II, chapitre 6 du CRR, il s’agit de la valeur exposée au risque de crédit de co</w:t>
            </w:r>
            <w:r>
              <w:t>n</w:t>
            </w:r>
            <w:r>
              <w:t>trepartie, calculée selon les méthodes énoncées dans la troisième partie, titre II, ch</w:t>
            </w:r>
            <w:r>
              <w:t>a</w:t>
            </w:r>
            <w:r>
              <w:t>pitre 6, sections 2, 3, 4 et 5 du CRR.</w:t>
            </w:r>
          </w:p>
        </w:tc>
      </w:tr>
      <w:tr w:rsidR="00464F34" w:rsidRPr="00392FFD" w:rsidTr="00464F34">
        <w:tc>
          <w:tcPr>
            <w:tcW w:w="1188" w:type="dxa"/>
          </w:tcPr>
          <w:p w:rsidR="00464F34" w:rsidRPr="00392FFD" w:rsidRDefault="00464F34" w:rsidP="00622B37">
            <w:pPr>
              <w:pStyle w:val="InstructionsText"/>
            </w:pPr>
            <w:r>
              <w:t>215</w:t>
            </w:r>
          </w:p>
        </w:tc>
        <w:tc>
          <w:tcPr>
            <w:tcW w:w="8640"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Montant d’exposition pondéré avant application du facteur supplétif en faveur des PME</w:t>
            </w:r>
          </w:p>
          <w:p w:rsidR="00464F34" w:rsidRPr="00392FFD" w:rsidRDefault="00464F34" w:rsidP="00622B37">
            <w:pPr>
              <w:pStyle w:val="InstructionsText"/>
              <w:rPr>
                <w:b/>
                <w:u w:val="single"/>
              </w:rPr>
            </w:pPr>
            <w:r>
              <w:t>Article 113, paragraphes 1 à 5, du CRR, compte non tenu du facteur supplétif pour les PME, conformément à l’article 501 du CRR.</w:t>
            </w:r>
          </w:p>
        </w:tc>
      </w:tr>
      <w:tr w:rsidR="00464F34" w:rsidRPr="00392FFD" w:rsidTr="00464F34">
        <w:tc>
          <w:tcPr>
            <w:tcW w:w="1188" w:type="dxa"/>
          </w:tcPr>
          <w:p w:rsidR="00464F34" w:rsidRPr="00392FFD" w:rsidRDefault="00464F34" w:rsidP="00622B37">
            <w:pPr>
              <w:pStyle w:val="InstructionsText"/>
            </w:pPr>
            <w:r>
              <w:t>220</w:t>
            </w:r>
          </w:p>
        </w:tc>
        <w:tc>
          <w:tcPr>
            <w:tcW w:w="8640"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Montant d’exposition pondéré après application du facteur supplétif en faveur des PME</w:t>
            </w:r>
          </w:p>
          <w:p w:rsidR="00464F34" w:rsidRPr="00392FFD" w:rsidRDefault="00464F34" w:rsidP="00622B37">
            <w:pPr>
              <w:pStyle w:val="InstructionsText"/>
              <w:rPr>
                <w:b/>
                <w:u w:val="single"/>
              </w:rPr>
            </w:pPr>
            <w:r>
              <w:t>Article 113, paragraphes 1 à 5, du CRR, compte tenu du facteur supplétif pour les PME, conformément à l’article 500 du CRR.</w:t>
            </w:r>
          </w:p>
        </w:tc>
      </w:tr>
      <w:tr w:rsidR="00464F34" w:rsidRPr="00392FFD" w:rsidTr="00464F34">
        <w:tc>
          <w:tcPr>
            <w:tcW w:w="1188" w:type="dxa"/>
            <w:shd w:val="clear" w:color="auto" w:fill="auto"/>
          </w:tcPr>
          <w:p w:rsidR="00464F34" w:rsidRPr="00392FFD" w:rsidRDefault="00464F34" w:rsidP="00622B37">
            <w:pPr>
              <w:pStyle w:val="InstructionsText"/>
            </w:pPr>
            <w:r>
              <w:t>230</w:t>
            </w:r>
          </w:p>
        </w:tc>
        <w:tc>
          <w:tcPr>
            <w:tcW w:w="8640" w:type="dxa"/>
            <w:shd w:val="clear" w:color="auto" w:fill="auto"/>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Dont: avec évaluation de crédit établie par un OEEC désigné</w:t>
            </w:r>
          </w:p>
          <w:p w:rsidR="003812AC" w:rsidRPr="00392FFD" w:rsidRDefault="003812AC" w:rsidP="00622B37">
            <w:pPr>
              <w:pStyle w:val="InstructionsText"/>
            </w:pPr>
            <w:r>
              <w:t>Article 112; points a) à d), f), g), l), n), o) et q), du CRR</w:t>
            </w:r>
          </w:p>
        </w:tc>
      </w:tr>
      <w:tr w:rsidR="00464F34" w:rsidRPr="00392FFD" w:rsidTr="00464F34">
        <w:tc>
          <w:tcPr>
            <w:tcW w:w="1188" w:type="dxa"/>
            <w:shd w:val="clear" w:color="auto" w:fill="auto"/>
          </w:tcPr>
          <w:p w:rsidR="00464F34" w:rsidRPr="00392FFD" w:rsidRDefault="00464F34" w:rsidP="00622B37">
            <w:pPr>
              <w:pStyle w:val="InstructionsText"/>
            </w:pPr>
            <w:r>
              <w:t>240</w:t>
            </w:r>
          </w:p>
        </w:tc>
        <w:tc>
          <w:tcPr>
            <w:tcW w:w="8640" w:type="dxa"/>
            <w:shd w:val="clear" w:color="auto" w:fill="auto"/>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Dont: avec évaluation de crédit découlant d'une administration centrale</w:t>
            </w:r>
          </w:p>
          <w:p w:rsidR="003812AC" w:rsidRPr="00392FFD" w:rsidRDefault="003812AC" w:rsidP="00622B37">
            <w:pPr>
              <w:pStyle w:val="InstructionsText"/>
            </w:pPr>
            <w:r>
              <w:t>Article 112; points b) à d), f), g), l), et o), du CRR</w:t>
            </w:r>
          </w:p>
        </w:tc>
      </w:tr>
    </w:tbl>
    <w:p w:rsidR="00464F34" w:rsidRPr="00392FFD" w:rsidRDefault="00464F34" w:rsidP="00622B37">
      <w:pPr>
        <w:pStyle w:val="InstructionsText"/>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8701"/>
      </w:tblGrid>
      <w:tr w:rsidR="00464F34" w:rsidRPr="00392FFD" w:rsidTr="00464F34">
        <w:tc>
          <w:tcPr>
            <w:tcW w:w="1188" w:type="dxa"/>
            <w:shd w:val="clear" w:color="auto" w:fill="CCCCCC"/>
          </w:tcPr>
          <w:p w:rsidR="00464F34" w:rsidRPr="00392FFD" w:rsidRDefault="007106FB" w:rsidP="00622B37">
            <w:pPr>
              <w:pStyle w:val="InstructionsText"/>
            </w:pPr>
            <w:r>
              <w:t>Lignes</w:t>
            </w:r>
          </w:p>
        </w:tc>
        <w:tc>
          <w:tcPr>
            <w:tcW w:w="8701" w:type="dxa"/>
            <w:shd w:val="clear" w:color="auto" w:fill="CCCCCC"/>
          </w:tcPr>
          <w:p w:rsidR="00464F34" w:rsidRPr="00392FFD" w:rsidRDefault="00464F34" w:rsidP="00622B37">
            <w:pPr>
              <w:pStyle w:val="InstructionsText"/>
            </w:pPr>
            <w:r>
              <w:t>Instructions</w:t>
            </w:r>
          </w:p>
        </w:tc>
      </w:tr>
      <w:tr w:rsidR="00464F34" w:rsidRPr="00392FFD" w:rsidTr="00464F34">
        <w:tc>
          <w:tcPr>
            <w:tcW w:w="1188" w:type="dxa"/>
          </w:tcPr>
          <w:p w:rsidR="00464F34" w:rsidRPr="00392FFD" w:rsidRDefault="00464F34" w:rsidP="00622B37">
            <w:pPr>
              <w:pStyle w:val="InstructionsText"/>
            </w:pPr>
            <w:r>
              <w:t>010</w:t>
            </w:r>
          </w:p>
        </w:tc>
        <w:tc>
          <w:tcPr>
            <w:tcW w:w="8701" w:type="dxa"/>
          </w:tcPr>
          <w:p w:rsidR="00464F34" w:rsidRPr="00392FFD" w:rsidRDefault="00464F34" w:rsidP="00622B37">
            <w:pPr>
              <w:pStyle w:val="InstructionsText"/>
            </w:pPr>
            <w:r>
              <w:rPr>
                <w:rStyle w:val="InstructionsTabelleberschrift"/>
                <w:rFonts w:ascii="Times New Roman" w:hAnsi="Times New Roman"/>
                <w:sz w:val="24"/>
              </w:rPr>
              <w:t>Total des expositions</w:t>
            </w:r>
          </w:p>
        </w:tc>
      </w:tr>
      <w:tr w:rsidR="00610B56" w:rsidRPr="00392FFD" w:rsidTr="00464F34">
        <w:tc>
          <w:tcPr>
            <w:tcW w:w="1188" w:type="dxa"/>
          </w:tcPr>
          <w:p w:rsidR="00610B56" w:rsidRPr="00392FFD" w:rsidRDefault="00610B56" w:rsidP="00622B37">
            <w:pPr>
              <w:pStyle w:val="InstructionsText"/>
            </w:pPr>
            <w:r>
              <w:t>015</w:t>
            </w:r>
          </w:p>
        </w:tc>
        <w:tc>
          <w:tcPr>
            <w:tcW w:w="8701" w:type="dxa"/>
          </w:tcPr>
          <w:p w:rsidR="00610B56" w:rsidRPr="00392FFD" w:rsidRDefault="00610B56"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dont: Expositions en défaut</w:t>
            </w:r>
          </w:p>
          <w:p w:rsidR="00610B56" w:rsidRPr="00392FFD" w:rsidRDefault="00610B56" w:rsidP="00622B37">
            <w:pPr>
              <w:pStyle w:val="InstructionsText"/>
            </w:pPr>
            <w:r>
              <w:t>Article 127 du CRR</w:t>
            </w:r>
          </w:p>
          <w:p w:rsidR="00610B56" w:rsidRPr="00392FFD" w:rsidRDefault="00610B56" w:rsidP="00622B37">
            <w:pPr>
              <w:pStyle w:val="InstructionsText"/>
            </w:pPr>
            <w:r>
              <w:t>Cette ligne n’est à déclarer que pour les catégories d’expositions «éléments présentant un risque particulièrement élevé» et «expositions sous forme d’actions».</w:t>
            </w:r>
          </w:p>
          <w:p w:rsidR="00761891" w:rsidRPr="00392FFD" w:rsidRDefault="00761891" w:rsidP="00622B37">
            <w:pPr>
              <w:pStyle w:val="InstructionsText"/>
            </w:pPr>
            <w:r>
              <w:t>Lorsqu’une exposition est soit visée à l’article 128, paragraphe 2, du CRR, soit répond aux critères définis à l’article 128, paragraphe 3, ou à l’article 133 du CRR, elle est classée dans la catégorie d’expositions «éléments présentant un risque particulièrement élevé» ou «expositions sous forme d'actions». Par conséquent, il ne devrait pas y avoir d’autre affectation, même s’il s’agit d’’une exposition en défaut conformément à l’article 127 du CRR.</w:t>
            </w:r>
          </w:p>
        </w:tc>
      </w:tr>
      <w:tr w:rsidR="00464F34" w:rsidRPr="00392FFD" w:rsidTr="00464F34">
        <w:tc>
          <w:tcPr>
            <w:tcW w:w="1188" w:type="dxa"/>
            <w:shd w:val="clear" w:color="auto" w:fill="auto"/>
          </w:tcPr>
          <w:p w:rsidR="00464F34" w:rsidRPr="00392FFD" w:rsidRDefault="00462BAB" w:rsidP="00622B37">
            <w:pPr>
              <w:pStyle w:val="InstructionsText"/>
            </w:pPr>
            <w:r>
              <w:lastRenderedPageBreak/>
              <w:t>020</w:t>
            </w:r>
          </w:p>
        </w:tc>
        <w:tc>
          <w:tcPr>
            <w:tcW w:w="8701" w:type="dxa"/>
            <w:shd w:val="clear" w:color="auto" w:fill="auto"/>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dont: PME</w:t>
            </w:r>
          </w:p>
          <w:p w:rsidR="00464F34" w:rsidRPr="00392FFD" w:rsidRDefault="00464F34" w:rsidP="00622B37">
            <w:pPr>
              <w:pStyle w:val="InstructionsText"/>
            </w:pPr>
            <w:r>
              <w:t xml:space="preserve">Toutes les expositions sur les PME seront déclarées ici. </w:t>
            </w:r>
          </w:p>
        </w:tc>
      </w:tr>
      <w:tr w:rsidR="00464F34" w:rsidRPr="00392FFD" w:rsidTr="00464F34">
        <w:tc>
          <w:tcPr>
            <w:tcW w:w="1188" w:type="dxa"/>
            <w:shd w:val="clear" w:color="auto" w:fill="auto"/>
          </w:tcPr>
          <w:p w:rsidR="00464F34" w:rsidRPr="00392FFD" w:rsidRDefault="00462BAB" w:rsidP="00622B37">
            <w:pPr>
              <w:pStyle w:val="InstructionsText"/>
            </w:pPr>
            <w:r>
              <w:t>030</w:t>
            </w:r>
          </w:p>
        </w:tc>
        <w:tc>
          <w:tcPr>
            <w:tcW w:w="8701" w:type="dxa"/>
            <w:shd w:val="clear" w:color="auto" w:fill="auto"/>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dont: Expositions soumises à l'application du facteur supplétif en faveur des PME</w:t>
            </w:r>
          </w:p>
          <w:p w:rsidR="00464F34" w:rsidRPr="00392FFD" w:rsidRDefault="00464F34" w:rsidP="00622B37">
            <w:pPr>
              <w:pStyle w:val="InstructionsText"/>
            </w:pPr>
            <w:r>
              <w:t>Seules les expositions qui satisfont aux exigences de l’article 501 du CRR seront décl</w:t>
            </w:r>
            <w:r>
              <w:t>a</w:t>
            </w:r>
            <w:r>
              <w:t xml:space="preserve">rées ici. </w:t>
            </w:r>
          </w:p>
        </w:tc>
      </w:tr>
      <w:tr w:rsidR="00464F34" w:rsidRPr="00392FFD" w:rsidTr="00464F34">
        <w:tc>
          <w:tcPr>
            <w:tcW w:w="1188" w:type="dxa"/>
            <w:shd w:val="clear" w:color="auto" w:fill="auto"/>
          </w:tcPr>
          <w:p w:rsidR="00464F34" w:rsidRPr="00392FFD" w:rsidRDefault="00462BAB" w:rsidP="00622B37">
            <w:pPr>
              <w:pStyle w:val="InstructionsText"/>
            </w:pPr>
            <w:r>
              <w:t>040</w:t>
            </w:r>
          </w:p>
        </w:tc>
        <w:tc>
          <w:tcPr>
            <w:tcW w:w="8701" w:type="dxa"/>
            <w:shd w:val="clear" w:color="auto" w:fill="auto"/>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dont: Expositions garanties par une hypothèque sur un bien immobilier - Bien immobilier résidentiel</w:t>
            </w:r>
          </w:p>
          <w:p w:rsidR="00464F34" w:rsidRPr="00392FFD" w:rsidRDefault="00464F34" w:rsidP="00622B37">
            <w:pPr>
              <w:pStyle w:val="InstructionsText"/>
            </w:pPr>
            <w:r>
              <w:t>Article 125 du CRR.</w:t>
            </w:r>
          </w:p>
          <w:p w:rsidR="00464F34" w:rsidRPr="00392FFD" w:rsidRDefault="00464F34" w:rsidP="00622B37">
            <w:pPr>
              <w:pStyle w:val="InstructionsText"/>
              <w:rPr>
                <w:b/>
                <w:u w:val="single"/>
              </w:rPr>
            </w:pPr>
            <w:r>
              <w:t>Uniquement dans la catégorie d’exposition «garanties par des hypothèques sur des biens immobiliers».</w:t>
            </w:r>
          </w:p>
        </w:tc>
      </w:tr>
      <w:tr w:rsidR="00464F34" w:rsidRPr="00392FFD" w:rsidTr="00464F34">
        <w:tc>
          <w:tcPr>
            <w:tcW w:w="1188" w:type="dxa"/>
            <w:shd w:val="clear" w:color="auto" w:fill="auto"/>
          </w:tcPr>
          <w:p w:rsidR="00464F34" w:rsidRPr="00392FFD" w:rsidRDefault="00462BAB" w:rsidP="00622B37">
            <w:pPr>
              <w:pStyle w:val="InstructionsText"/>
            </w:pPr>
            <w:r>
              <w:t>050</w:t>
            </w:r>
          </w:p>
        </w:tc>
        <w:tc>
          <w:tcPr>
            <w:tcW w:w="8701" w:type="dxa"/>
            <w:shd w:val="clear" w:color="auto" w:fill="auto"/>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dont: Expositions dans le cadre de l'utilisation partielle permanente de l'approche standard</w:t>
            </w:r>
          </w:p>
          <w:p w:rsidR="00464F34" w:rsidRPr="00392FFD" w:rsidRDefault="00464F34" w:rsidP="00622B37">
            <w:pPr>
              <w:pStyle w:val="InstructionsText"/>
            </w:pPr>
            <w:r>
              <w:t>Expositions traitées conformément à l’article 150, paragraphe 1, du CRR.</w:t>
            </w:r>
          </w:p>
        </w:tc>
      </w:tr>
      <w:tr w:rsidR="00464F34" w:rsidRPr="00392FFD" w:rsidTr="00464F34">
        <w:tc>
          <w:tcPr>
            <w:tcW w:w="1188" w:type="dxa"/>
            <w:shd w:val="clear" w:color="auto" w:fill="auto"/>
          </w:tcPr>
          <w:p w:rsidR="00464F34" w:rsidRPr="00392FFD" w:rsidRDefault="00462BAB" w:rsidP="00622B37">
            <w:pPr>
              <w:pStyle w:val="InstructionsText"/>
            </w:pPr>
            <w:r>
              <w:t>060</w:t>
            </w:r>
          </w:p>
        </w:tc>
        <w:tc>
          <w:tcPr>
            <w:tcW w:w="8701" w:type="dxa"/>
            <w:shd w:val="clear" w:color="auto" w:fill="auto"/>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dont: Expositions en approche standard avec autorisation prudentielle préalable de réaliser une mise en œuvre NI séquentielle</w:t>
            </w:r>
          </w:p>
          <w:p w:rsidR="00464F34" w:rsidRPr="00392FFD" w:rsidRDefault="00464F34" w:rsidP="00622B37">
            <w:pPr>
              <w:pStyle w:val="InstructionsText"/>
            </w:pPr>
            <w:r>
              <w:t>Expositions traitées conformément à l’article 148, paragraphe 1, du CRR.</w:t>
            </w:r>
          </w:p>
        </w:tc>
      </w:tr>
      <w:tr w:rsidR="00464F34" w:rsidRPr="00392FFD" w:rsidTr="00464F34">
        <w:tc>
          <w:tcPr>
            <w:tcW w:w="1188" w:type="dxa"/>
          </w:tcPr>
          <w:p w:rsidR="00464F34" w:rsidRPr="00392FFD" w:rsidRDefault="00462BAB" w:rsidP="00DA1253">
            <w:pPr>
              <w:pStyle w:val="InstructionsText"/>
            </w:pPr>
            <w:r>
              <w:t>070-130</w:t>
            </w:r>
          </w:p>
        </w:tc>
        <w:tc>
          <w:tcPr>
            <w:tcW w:w="8701"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RÉPARTITION DES EXPOSITIONS TOTALES PAR TYPE D’EXPOSITION</w:t>
            </w:r>
          </w:p>
          <w:p w:rsidR="00464F34" w:rsidRPr="00392FFD" w:rsidRDefault="00464F34" w:rsidP="00622B37">
            <w:pPr>
              <w:pStyle w:val="InstructionsText"/>
            </w:pPr>
            <w:r>
              <w:t>Les positions du portefeuille d'intermédiation bancaire de l'établissement déclarant s</w:t>
            </w:r>
            <w:r>
              <w:t>e</w:t>
            </w:r>
            <w:r>
              <w:t>ront ventilées en fonction des critères ci-dessous, entre expositions au bilan soumises au risque de crédit, expositions hors bilan soumises au risque de crédit et expositions so</w:t>
            </w:r>
            <w:r>
              <w:t>u</w:t>
            </w:r>
            <w:r>
              <w:t xml:space="preserve">mises au risque de crédit de contrepartie. </w:t>
            </w:r>
          </w:p>
          <w:p w:rsidR="00464F34" w:rsidRPr="00392FFD" w:rsidRDefault="00464F34" w:rsidP="00622B37">
            <w:pPr>
              <w:pStyle w:val="InstructionsText"/>
            </w:pPr>
            <w:r>
              <w:t>Les positions soumises au risque de crédit de contrepartie du portefeuille de négociation de l'établissement déclarant, conformément à l'article 92, paragraphe 3, point f), et à l'article 299, paragraphe 2, du CRR, sont affectées aux expositions soumises au risque de crédit de contrepartie. Les établissements qui appliquent l'article 94, paragraphe 1, du CRR ventilent également leurs positions du portefeuille de négociation en fonction des critères ci-dessous, entre expositions au bilan soumises au risque de crédit, expos</w:t>
            </w:r>
            <w:r>
              <w:t>i</w:t>
            </w:r>
            <w:r>
              <w:t>tions hors bilan soumises au risque de crédit et expositions soumises au risque de crédit de contrepartie.</w:t>
            </w:r>
          </w:p>
        </w:tc>
      </w:tr>
      <w:tr w:rsidR="00464F34" w:rsidRPr="00392FFD" w:rsidTr="00464F34">
        <w:tc>
          <w:tcPr>
            <w:tcW w:w="1188" w:type="dxa"/>
          </w:tcPr>
          <w:p w:rsidR="00464F34" w:rsidRPr="00392FFD" w:rsidRDefault="00462BAB" w:rsidP="00622B37">
            <w:pPr>
              <w:pStyle w:val="InstructionsText"/>
            </w:pPr>
            <w:r>
              <w:t>070</w:t>
            </w:r>
          </w:p>
        </w:tc>
        <w:tc>
          <w:tcPr>
            <w:tcW w:w="8701"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 xml:space="preserve">Expositions au bilan soumises au risque de crédit </w:t>
            </w:r>
          </w:p>
          <w:p w:rsidR="00464F34" w:rsidRPr="00392FFD" w:rsidRDefault="00464F34" w:rsidP="00622B37">
            <w:pPr>
              <w:pStyle w:val="InstructionsText"/>
            </w:pPr>
            <w:r>
              <w:t>Les actifs visés à l’article 24 du CRR non inclus dans une autre catégorie.</w:t>
            </w:r>
          </w:p>
          <w:p w:rsidR="00464F34" w:rsidRPr="00392FFD" w:rsidRDefault="00464F34" w:rsidP="00622B37">
            <w:pPr>
              <w:pStyle w:val="InstructionsText"/>
            </w:pPr>
            <w:r>
              <w:t>Les expositions qui sont des éléments au bilan et sont comptabilisées comme des opér</w:t>
            </w:r>
            <w:r>
              <w:t>a</w:t>
            </w:r>
            <w:r>
              <w:t>tions de financement sur titres, des dérivés et opérations à règlement différé, ou qui sont issues d’une convention de compensation multiproduits, seront déclarées aux lignes 090, 110 et 130 et ne figureront par conséquent pas dans cette ligne.</w:t>
            </w:r>
          </w:p>
          <w:p w:rsidR="00464F34" w:rsidRPr="00392FFD" w:rsidRDefault="00464F34" w:rsidP="00622B37">
            <w:pPr>
              <w:pStyle w:val="InstructionsText"/>
            </w:pPr>
            <w:r>
              <w:t>Les positions de négociation non dénouées, conformément à l’article 379, paragraphe 1, du CRR (lorsqu’elles ne sont pas déduites) ne constituent pas un élément au bilan, mais devront néanmoins être déclarées dans cette ligne.</w:t>
            </w:r>
          </w:p>
          <w:p w:rsidR="00464F34" w:rsidRPr="00392FFD" w:rsidRDefault="00464F34" w:rsidP="00622B37">
            <w:pPr>
              <w:pStyle w:val="InstructionsText"/>
              <w:rPr>
                <w:b/>
                <w:u w:val="single"/>
              </w:rPr>
            </w:pPr>
            <w:r>
              <w:t xml:space="preserve">Les expositions issues d'actifs donnés à une CCP conformément à l'article 4, point 90, du CRR ainsi que les expositions aux fonds de défaillance au sens de l'article 4, point 89, du CRR seront incluses lorsqu'elles n'ont pas été déclarées à la ligne 030. </w:t>
            </w:r>
          </w:p>
        </w:tc>
      </w:tr>
      <w:tr w:rsidR="00464F34" w:rsidRPr="00392FFD" w:rsidTr="00464F34">
        <w:tc>
          <w:tcPr>
            <w:tcW w:w="1188" w:type="dxa"/>
          </w:tcPr>
          <w:p w:rsidR="00464F34" w:rsidRPr="00392FFD" w:rsidRDefault="00462BAB" w:rsidP="00622B37">
            <w:pPr>
              <w:pStyle w:val="InstructionsText"/>
            </w:pPr>
            <w:r>
              <w:lastRenderedPageBreak/>
              <w:t>080</w:t>
            </w:r>
          </w:p>
        </w:tc>
        <w:tc>
          <w:tcPr>
            <w:tcW w:w="8701"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Expositions hors bilan soumises au risque de crédit</w:t>
            </w:r>
          </w:p>
          <w:p w:rsidR="00464F34" w:rsidRPr="00392FFD" w:rsidRDefault="00464F34" w:rsidP="00622B37">
            <w:pPr>
              <w:pStyle w:val="InstructionsText"/>
            </w:pPr>
            <w:r>
              <w:t>Les positions hors bilan comprennent les éléments figurant sur la liste de l’annexe I du CRR.</w:t>
            </w:r>
          </w:p>
          <w:p w:rsidR="00464F34" w:rsidRPr="00392FFD" w:rsidRDefault="00464F34" w:rsidP="00622B37">
            <w:pPr>
              <w:pStyle w:val="InstructionsText"/>
            </w:pPr>
            <w:r>
              <w:t>Les expositions qui sont des éléments hors bilan et sont comptabilisées comme des op</w:t>
            </w:r>
            <w:r>
              <w:t>é</w:t>
            </w:r>
            <w:r>
              <w:t>rations de financement sur titres, des dérivés et opérations à règlement différé ou issues d’une convention de compensation multiproduits, seront déclarées aux lignes 040, 060 et ne figureront par conséquent pas dans cette ligne.</w:t>
            </w:r>
          </w:p>
          <w:p w:rsidR="00464F34" w:rsidRPr="00392FFD" w:rsidRDefault="00464F34" w:rsidP="00622B37">
            <w:pPr>
              <w:pStyle w:val="InstructionsText"/>
              <w:rPr>
                <w:b/>
                <w:u w:val="single"/>
              </w:rPr>
            </w:pPr>
            <w:r>
              <w:t>Les expositions issues d’actifs donnés à une CCP conformément à l’article 4, point 90, du CRR ainsi que les expositions aux fonds de défaillance au sens de l’article 4, point 89, du CRR seront incluses dès lors qu’elles sont considérées comme des éléments hors bilan.</w:t>
            </w:r>
          </w:p>
        </w:tc>
      </w:tr>
      <w:tr w:rsidR="003C3168" w:rsidRPr="00392FFD" w:rsidTr="003E4EF2">
        <w:tc>
          <w:tcPr>
            <w:tcW w:w="1188" w:type="dxa"/>
            <w:tcBorders>
              <w:top w:val="single" w:sz="4" w:space="0" w:color="auto"/>
              <w:left w:val="single" w:sz="4" w:space="0" w:color="auto"/>
              <w:bottom w:val="single" w:sz="4" w:space="0" w:color="auto"/>
              <w:right w:val="single" w:sz="4" w:space="0" w:color="auto"/>
            </w:tcBorders>
          </w:tcPr>
          <w:p w:rsidR="003C3168" w:rsidRPr="00392FFD" w:rsidRDefault="003C3168" w:rsidP="00DA1253">
            <w:pPr>
              <w:pStyle w:val="InstructionsText"/>
            </w:pPr>
            <w:r>
              <w:t>090-130</w:t>
            </w:r>
          </w:p>
        </w:tc>
        <w:tc>
          <w:tcPr>
            <w:tcW w:w="8701" w:type="dxa"/>
            <w:tcBorders>
              <w:top w:val="single" w:sz="4" w:space="0" w:color="auto"/>
              <w:left w:val="single" w:sz="4" w:space="0" w:color="auto"/>
              <w:bottom w:val="single" w:sz="4" w:space="0" w:color="auto"/>
              <w:right w:val="single" w:sz="4" w:space="0" w:color="auto"/>
            </w:tcBorders>
          </w:tcPr>
          <w:p w:rsidR="003C3168" w:rsidRPr="00392FFD" w:rsidRDefault="003C3168" w:rsidP="00622B37">
            <w:pPr>
              <w:pStyle w:val="InstructionsText"/>
            </w:pPr>
            <w:r>
              <w:rPr>
                <w:rStyle w:val="InstructionsTabelleberschrift"/>
                <w:rFonts w:ascii="Times New Roman" w:hAnsi="Times New Roman"/>
                <w:sz w:val="24"/>
              </w:rPr>
              <w:t>Expositions/Opérations soumises au risque de crédit de contrepartie</w:t>
            </w:r>
          </w:p>
        </w:tc>
      </w:tr>
      <w:tr w:rsidR="00464F34" w:rsidRPr="00392FFD" w:rsidTr="00464F34">
        <w:tc>
          <w:tcPr>
            <w:tcW w:w="1188" w:type="dxa"/>
          </w:tcPr>
          <w:p w:rsidR="00464F34" w:rsidRPr="00392FFD" w:rsidRDefault="00462BAB" w:rsidP="00622B37">
            <w:pPr>
              <w:pStyle w:val="InstructionsText"/>
            </w:pPr>
            <w:r>
              <w:t>090</w:t>
            </w:r>
          </w:p>
        </w:tc>
        <w:tc>
          <w:tcPr>
            <w:tcW w:w="8701" w:type="dxa"/>
          </w:tcPr>
          <w:p w:rsidR="00464F34" w:rsidRPr="00392FFD" w:rsidRDefault="00464F34" w:rsidP="00622B37">
            <w:pPr>
              <w:pStyle w:val="InstructionsText"/>
            </w:pPr>
            <w:r>
              <w:rPr>
                <w:rStyle w:val="InstructionsTabelleberschrift"/>
                <w:rFonts w:ascii="Times New Roman" w:hAnsi="Times New Roman"/>
                <w:sz w:val="24"/>
              </w:rPr>
              <w:t xml:space="preserve">Opérations de financement sur titres </w:t>
            </w:r>
          </w:p>
          <w:p w:rsidR="00464F34" w:rsidRPr="00392FFD" w:rsidRDefault="00464F34" w:rsidP="00622B37">
            <w:pPr>
              <w:pStyle w:val="InstructionsText"/>
            </w:pPr>
            <w:r>
              <w:t>Les opérations de financement sur titres, telles que définies au paragraphe 17 du doc</w:t>
            </w:r>
            <w:r>
              <w:t>u</w:t>
            </w:r>
            <w:r>
              <w:t>ment du comité de Bâle intitulé «The Application of Basel II to Trading Activities and the Treatment of Double Default Effects» (Application de Bâle II aux activités de nég</w:t>
            </w:r>
            <w:r>
              <w:t>o</w:t>
            </w:r>
            <w:r>
              <w:t>ciation et au traitement des effets de double défaut), se composent des transactions su</w:t>
            </w:r>
            <w:r>
              <w:t>i</w:t>
            </w:r>
            <w:r>
              <w:t>vantes: i) les accords de mise en pension et de prise en pension définis à l'article 4, point 82, du CRR, ainsi que les opérations de prêt ou d'emprunt de titres ou de matières pr</w:t>
            </w:r>
            <w:r>
              <w:t>e</w:t>
            </w:r>
            <w:r>
              <w:t>mières; ii) les opérations de prêt avec appel de marge telles que définies à l'article 272, point 3, du CRR.</w:t>
            </w:r>
          </w:p>
        </w:tc>
      </w:tr>
      <w:tr w:rsidR="00464F34" w:rsidRPr="00392FFD" w:rsidTr="00464F34">
        <w:tc>
          <w:tcPr>
            <w:tcW w:w="1188" w:type="dxa"/>
          </w:tcPr>
          <w:p w:rsidR="00464F34" w:rsidRPr="00392FFD" w:rsidRDefault="00462BAB" w:rsidP="00622B37">
            <w:pPr>
              <w:pStyle w:val="InstructionsText"/>
            </w:pPr>
            <w:r>
              <w:t>100</w:t>
            </w:r>
          </w:p>
        </w:tc>
        <w:tc>
          <w:tcPr>
            <w:tcW w:w="8701"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Dont: faisant l'objet d'une compensation centrale par l'intermédiaire d'une QCCP</w:t>
            </w:r>
          </w:p>
          <w:p w:rsidR="00464F34" w:rsidRPr="00392FFD" w:rsidRDefault="00464F34" w:rsidP="00622B37">
            <w:pPr>
              <w:pStyle w:val="InstructionsText"/>
            </w:pPr>
            <w:r>
              <w:t>Article 306 du CRR pour les contreparties centrales éligibles, conformément à l’article 4, point 88, en conjonction avec l’article 301, paragraphe 2, du CRR.</w:t>
            </w:r>
          </w:p>
          <w:p w:rsidR="00464F34" w:rsidRPr="00392FFD" w:rsidRDefault="00D02E89" w:rsidP="00622B37">
            <w:pPr>
              <w:pStyle w:val="InstructionsText"/>
            </w:pPr>
            <w:r>
              <w:t>Les expositions de transaction à une contrepartie centrale au sens de l’article 4, point 91, du CRR.</w:t>
            </w:r>
          </w:p>
        </w:tc>
      </w:tr>
      <w:tr w:rsidR="00464F34" w:rsidRPr="00392FFD" w:rsidTr="00464F34">
        <w:tc>
          <w:tcPr>
            <w:tcW w:w="1188" w:type="dxa"/>
          </w:tcPr>
          <w:p w:rsidR="00464F34" w:rsidRPr="00392FFD" w:rsidRDefault="00462BAB" w:rsidP="00622B37">
            <w:pPr>
              <w:pStyle w:val="InstructionsText"/>
            </w:pPr>
            <w:r>
              <w:t>110</w:t>
            </w:r>
          </w:p>
        </w:tc>
        <w:tc>
          <w:tcPr>
            <w:tcW w:w="8701"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 xml:space="preserve">Dérivés et opérations à règlement différé </w:t>
            </w:r>
          </w:p>
          <w:p w:rsidR="00464F34" w:rsidRPr="00392FFD" w:rsidRDefault="00464F34" w:rsidP="00622B37">
            <w:pPr>
              <w:pStyle w:val="InstructionsText"/>
            </w:pPr>
            <w:r>
              <w:t>Les dérivés comprennent les contrats figurant sur la liste de l’annexe II du CRR.</w:t>
            </w:r>
          </w:p>
          <w:p w:rsidR="00464F34" w:rsidRPr="00392FFD" w:rsidRDefault="00464F34" w:rsidP="00622B37">
            <w:pPr>
              <w:pStyle w:val="InstructionsText"/>
            </w:pPr>
            <w:r>
              <w:t>Opérations à règlement différé telles que définies à l’article 272, point 2, du CRR.</w:t>
            </w:r>
          </w:p>
          <w:p w:rsidR="00464F34" w:rsidRPr="00392FFD" w:rsidRDefault="00464F34" w:rsidP="00622B37">
            <w:pPr>
              <w:pStyle w:val="InstructionsText"/>
            </w:pPr>
            <w:r>
              <w:t>Les dérivés et opérations à règlement différé qui font partie d’une convention de co</w:t>
            </w:r>
            <w:r>
              <w:t>m</w:t>
            </w:r>
            <w:r>
              <w:t>pensation multiproduits, et qui sont dès lors déclarés à la ligne 130, ne figureront pas dans cette ligne.</w:t>
            </w:r>
          </w:p>
        </w:tc>
      </w:tr>
      <w:tr w:rsidR="00464F34" w:rsidRPr="00392FFD" w:rsidTr="00464F34">
        <w:tc>
          <w:tcPr>
            <w:tcW w:w="1188" w:type="dxa"/>
          </w:tcPr>
          <w:p w:rsidR="00464F34" w:rsidRPr="00392FFD" w:rsidRDefault="00462BAB" w:rsidP="00622B37">
            <w:pPr>
              <w:pStyle w:val="InstructionsText"/>
            </w:pPr>
            <w:r>
              <w:t>120</w:t>
            </w:r>
          </w:p>
        </w:tc>
        <w:tc>
          <w:tcPr>
            <w:tcW w:w="8701" w:type="dxa"/>
          </w:tcPr>
          <w:p w:rsidR="00464F34" w:rsidRPr="00392FFD" w:rsidRDefault="00464F34" w:rsidP="00622B37">
            <w:pPr>
              <w:pStyle w:val="InstructionsText"/>
            </w:pPr>
            <w:r>
              <w:rPr>
                <w:rStyle w:val="InstructionsTabelleberschrift"/>
                <w:rFonts w:ascii="Times New Roman" w:hAnsi="Times New Roman"/>
                <w:sz w:val="24"/>
              </w:rPr>
              <w:t>Dont: faisant l'objet d'une compensation centrale par l'intermédiaire d'une QCCP</w:t>
            </w:r>
          </w:p>
          <w:p w:rsidR="00464F34" w:rsidRPr="00392FFD" w:rsidRDefault="00464F34" w:rsidP="00622B37">
            <w:pPr>
              <w:pStyle w:val="InstructionsText"/>
            </w:pPr>
            <w:r>
              <w:t>Article 306 du CRR pour les contreparties centrales éligibles, conformément à l’article 4, point 88, en conjonction avec l’article 301, paragraphe 2, du CRR.</w:t>
            </w:r>
          </w:p>
          <w:p w:rsidR="00464F34" w:rsidRPr="00392FFD" w:rsidRDefault="00770830" w:rsidP="00622B37">
            <w:pPr>
              <w:pStyle w:val="InstructionsText"/>
              <w:rPr>
                <w:b/>
                <w:u w:val="single"/>
              </w:rPr>
            </w:pPr>
            <w:r>
              <w:t>Les expositions de transaction à une contrepartie centrale au sens de l’article 4, point 91, du CRR.</w:t>
            </w:r>
          </w:p>
        </w:tc>
      </w:tr>
      <w:tr w:rsidR="00464F34" w:rsidRPr="00392FFD" w:rsidTr="00464F34">
        <w:tc>
          <w:tcPr>
            <w:tcW w:w="1188" w:type="dxa"/>
          </w:tcPr>
          <w:p w:rsidR="00464F34" w:rsidRPr="00392FFD" w:rsidRDefault="00462BAB" w:rsidP="00622B37">
            <w:pPr>
              <w:pStyle w:val="InstructionsText"/>
            </w:pPr>
            <w:r>
              <w:t>130</w:t>
            </w:r>
          </w:p>
        </w:tc>
        <w:tc>
          <w:tcPr>
            <w:tcW w:w="8701"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Issues d’une convention de compensation multiproduits</w:t>
            </w:r>
          </w:p>
          <w:p w:rsidR="00464F34" w:rsidRPr="00392FFD" w:rsidRDefault="00464F34" w:rsidP="00622B37">
            <w:pPr>
              <w:pStyle w:val="InstructionsText"/>
            </w:pPr>
            <w:r>
              <w:t>Les expositions qui, en raison de l'existence d'une convention de compensation mult</w:t>
            </w:r>
            <w:r>
              <w:t>i</w:t>
            </w:r>
            <w:r>
              <w:t>produits (telle que définie à l'article 272, point 11, du CRR), ne peuvent pas être affe</w:t>
            </w:r>
            <w:r>
              <w:t>c</w:t>
            </w:r>
            <w:r>
              <w:t>tées aux dérivés et opérations à règlement différé ou aux opérations de financement sur titres, seront déclarées dans cette ligne.</w:t>
            </w:r>
          </w:p>
        </w:tc>
      </w:tr>
      <w:tr w:rsidR="00464F34" w:rsidRPr="00392FFD" w:rsidTr="00464F34">
        <w:tc>
          <w:tcPr>
            <w:tcW w:w="1188" w:type="dxa"/>
          </w:tcPr>
          <w:p w:rsidR="00464F34" w:rsidRPr="00392FFD" w:rsidRDefault="00462BAB" w:rsidP="00622B37">
            <w:pPr>
              <w:pStyle w:val="InstructionsText"/>
            </w:pPr>
            <w:r>
              <w:lastRenderedPageBreak/>
              <w:t>140-280</w:t>
            </w:r>
          </w:p>
        </w:tc>
        <w:tc>
          <w:tcPr>
            <w:tcW w:w="8701" w:type="dxa"/>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RÉPARTITION DES EXPOSITIONS PAR PONDÉRATION</w:t>
            </w:r>
          </w:p>
          <w:p w:rsidR="00464F34" w:rsidRPr="00392FFD" w:rsidRDefault="00464F34" w:rsidP="00622B37">
            <w:pPr>
              <w:pStyle w:val="InstructionsText"/>
            </w:pPr>
          </w:p>
        </w:tc>
      </w:tr>
      <w:tr w:rsidR="00464F34" w:rsidRPr="00392FFD" w:rsidTr="00464F34">
        <w:tc>
          <w:tcPr>
            <w:tcW w:w="1188" w:type="dxa"/>
            <w:shd w:val="clear" w:color="auto" w:fill="auto"/>
          </w:tcPr>
          <w:p w:rsidR="00464F34" w:rsidRPr="00392FFD" w:rsidRDefault="00462BAB" w:rsidP="00622B37">
            <w:pPr>
              <w:pStyle w:val="InstructionsText"/>
            </w:pPr>
            <w:r>
              <w:t>140</w:t>
            </w:r>
          </w:p>
        </w:tc>
        <w:tc>
          <w:tcPr>
            <w:tcW w:w="8701" w:type="dxa"/>
            <w:shd w:val="clear" w:color="auto" w:fill="auto"/>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0 %</w:t>
            </w:r>
          </w:p>
          <w:p w:rsidR="00464F34" w:rsidRPr="00392FFD" w:rsidRDefault="00464F34" w:rsidP="00622B37">
            <w:pPr>
              <w:pStyle w:val="InstructionsText"/>
            </w:pPr>
          </w:p>
        </w:tc>
      </w:tr>
      <w:tr w:rsidR="00464F34" w:rsidRPr="00392FFD" w:rsidTr="00464F34">
        <w:tc>
          <w:tcPr>
            <w:tcW w:w="1188" w:type="dxa"/>
            <w:shd w:val="clear" w:color="auto" w:fill="auto"/>
          </w:tcPr>
          <w:p w:rsidR="00464F34" w:rsidRPr="00392FFD" w:rsidRDefault="00462BAB" w:rsidP="00622B37">
            <w:pPr>
              <w:pStyle w:val="InstructionsText"/>
            </w:pPr>
            <w:r>
              <w:t>150</w:t>
            </w:r>
          </w:p>
        </w:tc>
        <w:tc>
          <w:tcPr>
            <w:tcW w:w="8701" w:type="dxa"/>
            <w:shd w:val="clear" w:color="auto" w:fill="auto"/>
          </w:tcPr>
          <w:p w:rsidR="00464F34" w:rsidRPr="00392FFD" w:rsidRDefault="00464F34"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2 %</w:t>
            </w:r>
          </w:p>
          <w:p w:rsidR="00464F34" w:rsidRPr="00392FFD" w:rsidRDefault="00464F34" w:rsidP="00622B37">
            <w:pPr>
              <w:pStyle w:val="InstructionsText"/>
              <w:rPr>
                <w:b/>
              </w:rPr>
            </w:pPr>
            <w:r>
              <w:t>Article 306, paragraphe 1, du CRR</w:t>
            </w:r>
          </w:p>
        </w:tc>
      </w:tr>
      <w:tr w:rsidR="00462BAB" w:rsidRPr="00392FFD" w:rsidTr="00464F34">
        <w:tc>
          <w:tcPr>
            <w:tcW w:w="1188" w:type="dxa"/>
            <w:shd w:val="clear" w:color="auto" w:fill="auto"/>
          </w:tcPr>
          <w:p w:rsidR="00462BAB" w:rsidRPr="00392FFD" w:rsidRDefault="00462BAB" w:rsidP="00622B37">
            <w:pPr>
              <w:pStyle w:val="InstructionsText"/>
            </w:pPr>
            <w:r>
              <w:t>160</w:t>
            </w:r>
          </w:p>
        </w:tc>
        <w:tc>
          <w:tcPr>
            <w:tcW w:w="8701" w:type="dxa"/>
            <w:shd w:val="clear" w:color="auto" w:fill="auto"/>
          </w:tcPr>
          <w:p w:rsidR="00462BAB" w:rsidRPr="00392FFD" w:rsidRDefault="00462BA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4 %</w:t>
            </w:r>
          </w:p>
          <w:p w:rsidR="00462BAB" w:rsidRPr="00392FFD" w:rsidRDefault="00462BAB" w:rsidP="00622B37">
            <w:pPr>
              <w:pStyle w:val="InstructionsText"/>
              <w:rPr>
                <w:b/>
                <w:u w:val="single"/>
              </w:rPr>
            </w:pPr>
            <w:r>
              <w:t>Article 305, paragraphe 3, du CRR</w:t>
            </w:r>
          </w:p>
        </w:tc>
      </w:tr>
      <w:tr w:rsidR="00462BAB" w:rsidRPr="00392FFD" w:rsidTr="00464F34">
        <w:tc>
          <w:tcPr>
            <w:tcW w:w="1188" w:type="dxa"/>
            <w:shd w:val="clear" w:color="auto" w:fill="auto"/>
          </w:tcPr>
          <w:p w:rsidR="00462BAB" w:rsidRPr="00392FFD" w:rsidRDefault="00462BAB" w:rsidP="00622B37">
            <w:pPr>
              <w:pStyle w:val="InstructionsText"/>
            </w:pPr>
            <w:r>
              <w:t>170</w:t>
            </w:r>
          </w:p>
        </w:tc>
        <w:tc>
          <w:tcPr>
            <w:tcW w:w="8701" w:type="dxa"/>
            <w:shd w:val="clear" w:color="auto" w:fill="auto"/>
          </w:tcPr>
          <w:p w:rsidR="00462BAB" w:rsidRPr="00392FFD" w:rsidRDefault="00462BA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10 %</w:t>
            </w:r>
          </w:p>
          <w:p w:rsidR="00462BAB" w:rsidRPr="00392FFD" w:rsidRDefault="00462BAB" w:rsidP="00622B37">
            <w:pPr>
              <w:pStyle w:val="InstructionsText"/>
            </w:pPr>
          </w:p>
        </w:tc>
      </w:tr>
      <w:tr w:rsidR="00462BAB" w:rsidRPr="00392FFD" w:rsidTr="00464F34">
        <w:tc>
          <w:tcPr>
            <w:tcW w:w="1188" w:type="dxa"/>
            <w:shd w:val="clear" w:color="auto" w:fill="auto"/>
          </w:tcPr>
          <w:p w:rsidR="00462BAB" w:rsidRPr="00392FFD" w:rsidRDefault="00462BAB" w:rsidP="00622B37">
            <w:pPr>
              <w:pStyle w:val="InstructionsText"/>
            </w:pPr>
            <w:r>
              <w:t>180</w:t>
            </w:r>
          </w:p>
        </w:tc>
        <w:tc>
          <w:tcPr>
            <w:tcW w:w="8701" w:type="dxa"/>
            <w:shd w:val="clear" w:color="auto" w:fill="auto"/>
          </w:tcPr>
          <w:p w:rsidR="00462BAB" w:rsidRPr="00392FFD" w:rsidRDefault="00462BA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20 %</w:t>
            </w:r>
          </w:p>
          <w:p w:rsidR="00462BAB" w:rsidRPr="00392FFD" w:rsidRDefault="00462BAB" w:rsidP="00622B37">
            <w:pPr>
              <w:pStyle w:val="InstructionsText"/>
            </w:pPr>
          </w:p>
        </w:tc>
      </w:tr>
      <w:tr w:rsidR="00462BAB" w:rsidRPr="00392FFD" w:rsidTr="00464F34">
        <w:tc>
          <w:tcPr>
            <w:tcW w:w="1188" w:type="dxa"/>
            <w:shd w:val="clear" w:color="auto" w:fill="auto"/>
          </w:tcPr>
          <w:p w:rsidR="00462BAB" w:rsidRPr="00392FFD" w:rsidRDefault="00462BAB" w:rsidP="00622B37">
            <w:pPr>
              <w:pStyle w:val="InstructionsText"/>
            </w:pPr>
            <w:r>
              <w:t>190</w:t>
            </w:r>
          </w:p>
        </w:tc>
        <w:tc>
          <w:tcPr>
            <w:tcW w:w="8701" w:type="dxa"/>
            <w:shd w:val="clear" w:color="auto" w:fill="auto"/>
          </w:tcPr>
          <w:p w:rsidR="00462BAB" w:rsidRPr="00392FFD" w:rsidRDefault="00462BA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35 %</w:t>
            </w:r>
          </w:p>
          <w:p w:rsidR="00462BAB" w:rsidRPr="00392FFD" w:rsidRDefault="00462BAB" w:rsidP="00622B37">
            <w:pPr>
              <w:pStyle w:val="InstructionsText"/>
            </w:pPr>
          </w:p>
        </w:tc>
      </w:tr>
      <w:tr w:rsidR="00462BAB" w:rsidRPr="00392FFD" w:rsidTr="00464F34">
        <w:tc>
          <w:tcPr>
            <w:tcW w:w="1188" w:type="dxa"/>
            <w:shd w:val="clear" w:color="auto" w:fill="auto"/>
          </w:tcPr>
          <w:p w:rsidR="00462BAB" w:rsidRPr="00392FFD" w:rsidRDefault="00462BAB" w:rsidP="00622B37">
            <w:pPr>
              <w:pStyle w:val="InstructionsText"/>
            </w:pPr>
            <w:r>
              <w:t>200</w:t>
            </w:r>
          </w:p>
        </w:tc>
        <w:tc>
          <w:tcPr>
            <w:tcW w:w="8701" w:type="dxa"/>
            <w:shd w:val="clear" w:color="auto" w:fill="auto"/>
          </w:tcPr>
          <w:p w:rsidR="00462BAB" w:rsidRPr="00392FFD" w:rsidRDefault="00462BA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50 %</w:t>
            </w:r>
          </w:p>
          <w:p w:rsidR="00462BAB" w:rsidRPr="00392FFD" w:rsidRDefault="00462BAB" w:rsidP="00622B37">
            <w:pPr>
              <w:pStyle w:val="InstructionsText"/>
            </w:pPr>
          </w:p>
        </w:tc>
      </w:tr>
      <w:tr w:rsidR="00462BAB" w:rsidRPr="00392FFD" w:rsidTr="00464F34">
        <w:tc>
          <w:tcPr>
            <w:tcW w:w="1188" w:type="dxa"/>
            <w:shd w:val="clear" w:color="auto" w:fill="auto"/>
          </w:tcPr>
          <w:p w:rsidR="00462BAB" w:rsidRPr="00392FFD" w:rsidRDefault="00462BAB" w:rsidP="00622B37">
            <w:pPr>
              <w:pStyle w:val="InstructionsText"/>
            </w:pPr>
            <w:r>
              <w:t>210</w:t>
            </w:r>
          </w:p>
        </w:tc>
        <w:tc>
          <w:tcPr>
            <w:tcW w:w="8701" w:type="dxa"/>
            <w:shd w:val="clear" w:color="auto" w:fill="auto"/>
          </w:tcPr>
          <w:p w:rsidR="00462BAB" w:rsidRPr="00392FFD" w:rsidRDefault="00462BA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70 %</w:t>
            </w:r>
          </w:p>
          <w:p w:rsidR="00462BAB" w:rsidRPr="00392FFD" w:rsidRDefault="00462BAB" w:rsidP="00622B37">
            <w:pPr>
              <w:pStyle w:val="InstructionsText"/>
            </w:pPr>
            <w:r>
              <w:t>Article 232, paragraphe 3, point c), du CRR</w:t>
            </w:r>
          </w:p>
        </w:tc>
      </w:tr>
      <w:tr w:rsidR="00462BAB" w:rsidRPr="00392FFD" w:rsidTr="00464F34">
        <w:tc>
          <w:tcPr>
            <w:tcW w:w="1188" w:type="dxa"/>
            <w:shd w:val="clear" w:color="auto" w:fill="auto"/>
          </w:tcPr>
          <w:p w:rsidR="00462BAB" w:rsidRPr="00392FFD" w:rsidRDefault="00462BAB" w:rsidP="00622B37">
            <w:pPr>
              <w:pStyle w:val="InstructionsText"/>
            </w:pPr>
            <w:r>
              <w:t>220</w:t>
            </w:r>
          </w:p>
        </w:tc>
        <w:tc>
          <w:tcPr>
            <w:tcW w:w="8701" w:type="dxa"/>
            <w:shd w:val="clear" w:color="auto" w:fill="auto"/>
          </w:tcPr>
          <w:p w:rsidR="00462BAB" w:rsidRPr="00392FFD" w:rsidRDefault="00462BA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75 %</w:t>
            </w:r>
          </w:p>
          <w:p w:rsidR="00462BAB" w:rsidRPr="00392FFD" w:rsidRDefault="00462BAB" w:rsidP="00622B37">
            <w:pPr>
              <w:pStyle w:val="InstructionsText"/>
            </w:pPr>
          </w:p>
        </w:tc>
      </w:tr>
      <w:tr w:rsidR="00462BAB" w:rsidRPr="00392FFD" w:rsidTr="00464F34">
        <w:tc>
          <w:tcPr>
            <w:tcW w:w="1188" w:type="dxa"/>
            <w:shd w:val="clear" w:color="auto" w:fill="auto"/>
          </w:tcPr>
          <w:p w:rsidR="00462BAB" w:rsidRPr="00392FFD" w:rsidRDefault="00462BAB" w:rsidP="00622B37">
            <w:pPr>
              <w:pStyle w:val="InstructionsText"/>
            </w:pPr>
            <w:r>
              <w:t>230</w:t>
            </w:r>
          </w:p>
        </w:tc>
        <w:tc>
          <w:tcPr>
            <w:tcW w:w="8701" w:type="dxa"/>
            <w:shd w:val="clear" w:color="auto" w:fill="auto"/>
          </w:tcPr>
          <w:p w:rsidR="00462BAB" w:rsidRPr="00392FFD" w:rsidRDefault="00462BA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100 %</w:t>
            </w:r>
          </w:p>
          <w:p w:rsidR="00462BAB" w:rsidRPr="00392FFD" w:rsidRDefault="00462BAB" w:rsidP="00622B37">
            <w:pPr>
              <w:pStyle w:val="InstructionsText"/>
            </w:pPr>
          </w:p>
        </w:tc>
      </w:tr>
      <w:tr w:rsidR="00462BAB" w:rsidRPr="00392FFD" w:rsidTr="00464F34">
        <w:tc>
          <w:tcPr>
            <w:tcW w:w="1188" w:type="dxa"/>
            <w:shd w:val="clear" w:color="auto" w:fill="auto"/>
          </w:tcPr>
          <w:p w:rsidR="00462BAB" w:rsidRPr="00392FFD" w:rsidRDefault="00462BAB" w:rsidP="00622B37">
            <w:pPr>
              <w:pStyle w:val="InstructionsText"/>
            </w:pPr>
            <w:r>
              <w:t>240</w:t>
            </w:r>
          </w:p>
        </w:tc>
        <w:tc>
          <w:tcPr>
            <w:tcW w:w="8701" w:type="dxa"/>
            <w:shd w:val="clear" w:color="auto" w:fill="auto"/>
          </w:tcPr>
          <w:p w:rsidR="00462BAB" w:rsidRPr="00392FFD" w:rsidRDefault="00462BA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150 %</w:t>
            </w:r>
          </w:p>
          <w:p w:rsidR="00462BAB" w:rsidRPr="00392FFD" w:rsidRDefault="00462BAB" w:rsidP="00622B37">
            <w:pPr>
              <w:pStyle w:val="InstructionsText"/>
            </w:pPr>
          </w:p>
        </w:tc>
      </w:tr>
      <w:tr w:rsidR="00462BAB" w:rsidRPr="00392FFD" w:rsidTr="00464F34">
        <w:tc>
          <w:tcPr>
            <w:tcW w:w="1188" w:type="dxa"/>
            <w:shd w:val="clear" w:color="auto" w:fill="auto"/>
          </w:tcPr>
          <w:p w:rsidR="00462BAB" w:rsidRPr="00392FFD" w:rsidRDefault="00462BAB" w:rsidP="00622B37">
            <w:pPr>
              <w:pStyle w:val="InstructionsText"/>
            </w:pPr>
            <w:r>
              <w:t>250</w:t>
            </w:r>
          </w:p>
        </w:tc>
        <w:tc>
          <w:tcPr>
            <w:tcW w:w="8701" w:type="dxa"/>
            <w:shd w:val="clear" w:color="auto" w:fill="auto"/>
          </w:tcPr>
          <w:p w:rsidR="00462BAB" w:rsidRPr="00392FFD" w:rsidRDefault="00462BA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250 %</w:t>
            </w:r>
          </w:p>
          <w:p w:rsidR="00462BAB" w:rsidRPr="00392FFD" w:rsidRDefault="00462BAB" w:rsidP="00622B37">
            <w:pPr>
              <w:pStyle w:val="InstructionsText"/>
            </w:pPr>
            <w:r>
              <w:t>Article 133, paragraphe 2, du CRR</w:t>
            </w:r>
          </w:p>
        </w:tc>
      </w:tr>
      <w:tr w:rsidR="00462BAB" w:rsidRPr="00392FFD" w:rsidTr="00464F34">
        <w:tc>
          <w:tcPr>
            <w:tcW w:w="1188" w:type="dxa"/>
            <w:shd w:val="clear" w:color="auto" w:fill="auto"/>
          </w:tcPr>
          <w:p w:rsidR="00462BAB" w:rsidRPr="00392FFD" w:rsidRDefault="00462BAB" w:rsidP="00622B37">
            <w:pPr>
              <w:pStyle w:val="InstructionsText"/>
            </w:pPr>
            <w:r>
              <w:t>260</w:t>
            </w:r>
          </w:p>
        </w:tc>
        <w:tc>
          <w:tcPr>
            <w:tcW w:w="8701" w:type="dxa"/>
            <w:shd w:val="clear" w:color="auto" w:fill="auto"/>
          </w:tcPr>
          <w:p w:rsidR="00462BAB" w:rsidRPr="00392FFD" w:rsidRDefault="00462BA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370 %</w:t>
            </w:r>
          </w:p>
          <w:p w:rsidR="00462BAB" w:rsidRPr="00392FFD" w:rsidRDefault="00462BAB" w:rsidP="00622B37">
            <w:pPr>
              <w:pStyle w:val="InstructionsText"/>
              <w:rPr>
                <w:b/>
                <w:u w:val="single"/>
              </w:rPr>
            </w:pPr>
            <w:r>
              <w:t>Article 471 du CRR</w:t>
            </w:r>
          </w:p>
        </w:tc>
      </w:tr>
      <w:tr w:rsidR="00462BAB" w:rsidRPr="00392FFD" w:rsidTr="00464F34">
        <w:tc>
          <w:tcPr>
            <w:tcW w:w="1188" w:type="dxa"/>
            <w:shd w:val="clear" w:color="auto" w:fill="auto"/>
          </w:tcPr>
          <w:p w:rsidR="00462BAB" w:rsidRPr="00392FFD" w:rsidRDefault="00462BAB" w:rsidP="00622B37">
            <w:pPr>
              <w:pStyle w:val="InstructionsText"/>
            </w:pPr>
            <w:r>
              <w:t>270</w:t>
            </w:r>
          </w:p>
        </w:tc>
        <w:tc>
          <w:tcPr>
            <w:tcW w:w="8701" w:type="dxa"/>
            <w:shd w:val="clear" w:color="auto" w:fill="auto"/>
          </w:tcPr>
          <w:p w:rsidR="00462BAB" w:rsidRPr="00392FFD" w:rsidRDefault="00462BA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1250 %</w:t>
            </w:r>
          </w:p>
          <w:p w:rsidR="00462BAB" w:rsidRPr="00392FFD" w:rsidRDefault="00462BAB" w:rsidP="00622B37">
            <w:pPr>
              <w:pStyle w:val="InstructionsText"/>
              <w:rPr>
                <w:b/>
                <w:u w:val="single"/>
              </w:rPr>
            </w:pPr>
            <w:r>
              <w:t>Article 133, paragraphe 2, du CRR</w:t>
            </w:r>
          </w:p>
        </w:tc>
      </w:tr>
      <w:tr w:rsidR="00462BAB" w:rsidRPr="00392FFD" w:rsidTr="00464F34">
        <w:tc>
          <w:tcPr>
            <w:tcW w:w="1188" w:type="dxa"/>
            <w:shd w:val="clear" w:color="auto" w:fill="auto"/>
          </w:tcPr>
          <w:p w:rsidR="00462BAB" w:rsidRPr="00392FFD" w:rsidRDefault="00462BAB" w:rsidP="00622B37">
            <w:pPr>
              <w:pStyle w:val="InstructionsText"/>
            </w:pPr>
            <w:r>
              <w:t>280</w:t>
            </w:r>
          </w:p>
        </w:tc>
        <w:tc>
          <w:tcPr>
            <w:tcW w:w="8701" w:type="dxa"/>
            <w:shd w:val="clear" w:color="auto" w:fill="auto"/>
          </w:tcPr>
          <w:p w:rsidR="00462BAB" w:rsidRPr="00392FFD" w:rsidRDefault="00462BA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Autres pondérations</w:t>
            </w:r>
          </w:p>
          <w:p w:rsidR="00462BAB" w:rsidRPr="00392FFD" w:rsidRDefault="00462BAB" w:rsidP="00622B37">
            <w:pPr>
              <w:pStyle w:val="InstructionsText"/>
            </w:pPr>
            <w:r>
              <w:t>Cette ligne ne peut pas être utilisée pour les catégories d’expositions «administrations», «entreprises», «établissements» et «clientèle de détail».</w:t>
            </w:r>
          </w:p>
          <w:p w:rsidR="00462BAB" w:rsidRPr="00392FFD" w:rsidRDefault="00462BAB" w:rsidP="00622B37">
            <w:pPr>
              <w:pStyle w:val="InstructionsText"/>
            </w:pPr>
          </w:p>
          <w:p w:rsidR="00462BAB" w:rsidRPr="00392FFD" w:rsidRDefault="00462BAB" w:rsidP="00622B37">
            <w:pPr>
              <w:pStyle w:val="InstructionsText"/>
            </w:pPr>
            <w:r>
              <w:t>Cette ligne sert à déclarer les expositions non soumises aux pondérations de risque fig</w:t>
            </w:r>
            <w:r>
              <w:t>u</w:t>
            </w:r>
            <w:r>
              <w:lastRenderedPageBreak/>
              <w:t>rant dans ce modèle.</w:t>
            </w:r>
          </w:p>
          <w:p w:rsidR="00462BAB" w:rsidRPr="00392FFD" w:rsidRDefault="00462BAB" w:rsidP="00622B37">
            <w:pPr>
              <w:pStyle w:val="InstructionsText"/>
            </w:pPr>
            <w:r>
              <w:t xml:space="preserve">Article 113, paragraphes 1 à 5, du CRR </w:t>
            </w:r>
          </w:p>
          <w:p w:rsidR="00462BAB" w:rsidRPr="00392FFD" w:rsidRDefault="00462BAB" w:rsidP="00622B37">
            <w:pPr>
              <w:pStyle w:val="InstructionsText"/>
            </w:pPr>
          </w:p>
          <w:p w:rsidR="00462BAB" w:rsidRPr="00392FFD" w:rsidRDefault="00462BAB" w:rsidP="00622B37">
            <w:pPr>
              <w:pStyle w:val="InstructionsText"/>
            </w:pPr>
            <w:r>
              <w:t>Les dérivés de crédit au nième défaut non notés soumis à l'approche standard (article 134, paragraphe 6, du CRR) seront déclarés dans cette ligne dans la catégorie d'expos</w:t>
            </w:r>
            <w:r>
              <w:t>i</w:t>
            </w:r>
            <w:r>
              <w:t>tions «Autres éléments».</w:t>
            </w:r>
          </w:p>
          <w:p w:rsidR="00462BAB" w:rsidRPr="00392FFD" w:rsidRDefault="00462BAB" w:rsidP="00622B37">
            <w:pPr>
              <w:pStyle w:val="InstructionsText"/>
            </w:pPr>
            <w:r>
              <w:t xml:space="preserve">Voir également l’article 124, paragraphe 2, et l’article 152, paragraphe 2, point b), du CRR. </w:t>
            </w:r>
          </w:p>
        </w:tc>
      </w:tr>
      <w:tr w:rsidR="00462BAB" w:rsidRPr="00392FFD" w:rsidTr="00464F34">
        <w:tc>
          <w:tcPr>
            <w:tcW w:w="1188" w:type="dxa"/>
            <w:shd w:val="clear" w:color="auto" w:fill="auto"/>
          </w:tcPr>
          <w:p w:rsidR="00462BAB" w:rsidRPr="00392FFD" w:rsidRDefault="00462BAB" w:rsidP="00622B37">
            <w:pPr>
              <w:pStyle w:val="InstructionsText"/>
            </w:pPr>
            <w:r>
              <w:lastRenderedPageBreak/>
              <w:t>290-320</w:t>
            </w:r>
          </w:p>
        </w:tc>
        <w:tc>
          <w:tcPr>
            <w:tcW w:w="8701" w:type="dxa"/>
            <w:shd w:val="clear" w:color="auto" w:fill="auto"/>
          </w:tcPr>
          <w:p w:rsidR="00462BAB" w:rsidRPr="00392FFD" w:rsidRDefault="00462BA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Pour mémoire</w:t>
            </w:r>
          </w:p>
          <w:p w:rsidR="00462BAB" w:rsidRPr="00392FFD" w:rsidRDefault="00462BAB" w:rsidP="00622B37">
            <w:pPr>
              <w:pStyle w:val="InstructionsText"/>
              <w:rPr>
                <w:b/>
                <w:u w:val="single"/>
              </w:rPr>
            </w:pPr>
            <w:r>
              <w:t>Voir également les explications de la finalité des postes pour mémoire dans la partie générale du modèle CR SA.</w:t>
            </w:r>
          </w:p>
        </w:tc>
      </w:tr>
      <w:tr w:rsidR="00462BAB" w:rsidRPr="00392FFD" w:rsidTr="00464F34">
        <w:tc>
          <w:tcPr>
            <w:tcW w:w="1188" w:type="dxa"/>
            <w:shd w:val="clear" w:color="auto" w:fill="auto"/>
          </w:tcPr>
          <w:p w:rsidR="00462BAB" w:rsidRPr="00392FFD" w:rsidRDefault="00462BAB" w:rsidP="00622B37">
            <w:pPr>
              <w:pStyle w:val="InstructionsText"/>
            </w:pPr>
            <w:r>
              <w:t>290</w:t>
            </w:r>
          </w:p>
          <w:p w:rsidR="00462BAB" w:rsidRPr="00392FFD" w:rsidRDefault="00462BAB" w:rsidP="00622B37">
            <w:pPr>
              <w:pStyle w:val="InstructionsText"/>
            </w:pPr>
          </w:p>
        </w:tc>
        <w:tc>
          <w:tcPr>
            <w:tcW w:w="8701" w:type="dxa"/>
            <w:shd w:val="clear" w:color="auto" w:fill="auto"/>
          </w:tcPr>
          <w:p w:rsidR="00462BAB" w:rsidRPr="00392FFD" w:rsidRDefault="00462BA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Expositions garanties par une hypothèque sur un bien immobilier commercial</w:t>
            </w:r>
          </w:p>
          <w:p w:rsidR="00462BAB" w:rsidRPr="00392FFD" w:rsidRDefault="00462BAB" w:rsidP="00622B37">
            <w:pPr>
              <w:pStyle w:val="InstructionsText"/>
            </w:pPr>
            <w:r>
              <w:t>Article 112, point i), du CRR</w:t>
            </w:r>
          </w:p>
          <w:p w:rsidR="00462BAB" w:rsidRPr="00392FFD" w:rsidRDefault="00462BAB" w:rsidP="00622B37">
            <w:pPr>
              <w:pStyle w:val="InstructionsText"/>
            </w:pPr>
            <w:r>
              <w:t>Il ne s’agit que d’un poste pour mémoire. Indépendamment du calcul des montants d’exposition au risque des expositions garanties par un bien immobilier commercial, conformément aux articles 124 et 126 du CRR, les expositions seront ventilées et décl</w:t>
            </w:r>
            <w:r>
              <w:t>a</w:t>
            </w:r>
            <w:r>
              <w:t>rées dans cette ligne, selon qu’elles sont garanties par des biens immobiliers comme</w:t>
            </w:r>
            <w:r>
              <w:t>r</w:t>
            </w:r>
            <w:r>
              <w:t>ciaux ou non.</w:t>
            </w:r>
          </w:p>
        </w:tc>
      </w:tr>
      <w:tr w:rsidR="00462BAB" w:rsidRPr="00392FFD" w:rsidTr="00464F34">
        <w:tc>
          <w:tcPr>
            <w:tcW w:w="1188" w:type="dxa"/>
            <w:shd w:val="clear" w:color="auto" w:fill="auto"/>
          </w:tcPr>
          <w:p w:rsidR="00462BAB" w:rsidRPr="00392FFD" w:rsidRDefault="00462BAB" w:rsidP="00622B37">
            <w:pPr>
              <w:pStyle w:val="InstructionsText"/>
            </w:pPr>
            <w:r>
              <w:t>300</w:t>
            </w:r>
          </w:p>
        </w:tc>
        <w:tc>
          <w:tcPr>
            <w:tcW w:w="8701" w:type="dxa"/>
            <w:shd w:val="clear" w:color="auto" w:fill="auto"/>
          </w:tcPr>
          <w:p w:rsidR="00462BAB" w:rsidRPr="00392FFD" w:rsidRDefault="00462BA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Expositions en défaut soumises à une pondération de risque de 100 %</w:t>
            </w:r>
          </w:p>
          <w:p w:rsidR="00462BAB" w:rsidRPr="00392FFD" w:rsidRDefault="00462BAB" w:rsidP="00622B37">
            <w:pPr>
              <w:pStyle w:val="InstructionsText"/>
            </w:pPr>
            <w:r>
              <w:t>Article 112, point j), du CRR</w:t>
            </w:r>
          </w:p>
          <w:p w:rsidR="00462BAB" w:rsidRPr="00392FFD" w:rsidRDefault="00462BAB" w:rsidP="00622B37">
            <w:pPr>
              <w:pStyle w:val="InstructionsText"/>
            </w:pPr>
            <w:r>
              <w:t>Expositions de la catégorie d’expositions «expositions en défaut», qui seraient incluses dans cette catégorie d’expositions si elles n’étaient pas en défaut.</w:t>
            </w:r>
          </w:p>
        </w:tc>
      </w:tr>
      <w:tr w:rsidR="00462BAB" w:rsidRPr="00392FFD" w:rsidTr="00464F34">
        <w:tc>
          <w:tcPr>
            <w:tcW w:w="1188" w:type="dxa"/>
            <w:shd w:val="clear" w:color="auto" w:fill="auto"/>
          </w:tcPr>
          <w:p w:rsidR="00462BAB" w:rsidRPr="00392FFD" w:rsidRDefault="00462BAB" w:rsidP="00622B37">
            <w:pPr>
              <w:pStyle w:val="InstructionsText"/>
            </w:pPr>
            <w:r>
              <w:t>310</w:t>
            </w:r>
          </w:p>
        </w:tc>
        <w:tc>
          <w:tcPr>
            <w:tcW w:w="8701" w:type="dxa"/>
            <w:shd w:val="clear" w:color="auto" w:fill="auto"/>
          </w:tcPr>
          <w:p w:rsidR="00462BAB" w:rsidRPr="00392FFD" w:rsidRDefault="00462BA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 xml:space="preserve">Expositions garanties par une hypothèque sur un bien immobilier résidentiel </w:t>
            </w:r>
          </w:p>
          <w:p w:rsidR="00462BAB" w:rsidRPr="00392FFD" w:rsidRDefault="00462BAB" w:rsidP="00622B37">
            <w:pPr>
              <w:pStyle w:val="InstructionsText"/>
            </w:pPr>
            <w:r>
              <w:t>Article 112, point i), du CRR</w:t>
            </w:r>
          </w:p>
          <w:p w:rsidR="00462BAB" w:rsidRPr="00392FFD" w:rsidRDefault="00462BAB" w:rsidP="00622B37">
            <w:pPr>
              <w:pStyle w:val="InstructionsText"/>
              <w:rPr>
                <w:b/>
                <w:u w:val="single"/>
              </w:rPr>
            </w:pPr>
            <w:r>
              <w:t>Il ne s’agit que d’un poste pour mémoire. Indépendamment du calcul des montants d’exposition au risque des expositions garanties par des hypothèques sur des biens i</w:t>
            </w:r>
            <w:r>
              <w:t>m</w:t>
            </w:r>
            <w:r>
              <w:t>mobiliers résidentiels, conformément aux articles 124 et 125 du CRR, les expositions seront ventilées et déclarées dans cette ligne, selon qu’elles sont garanties par des biens immobiliers résidentiels ou non.</w:t>
            </w:r>
          </w:p>
        </w:tc>
      </w:tr>
      <w:tr w:rsidR="00462BAB" w:rsidRPr="00392FFD" w:rsidTr="00464F34">
        <w:tc>
          <w:tcPr>
            <w:tcW w:w="1188" w:type="dxa"/>
            <w:shd w:val="clear" w:color="auto" w:fill="auto"/>
          </w:tcPr>
          <w:p w:rsidR="00462BAB" w:rsidRPr="00392FFD" w:rsidRDefault="00462BAB" w:rsidP="00622B37">
            <w:pPr>
              <w:pStyle w:val="InstructionsText"/>
            </w:pPr>
            <w:r>
              <w:t>320</w:t>
            </w:r>
          </w:p>
        </w:tc>
        <w:tc>
          <w:tcPr>
            <w:tcW w:w="8701" w:type="dxa"/>
            <w:shd w:val="clear" w:color="auto" w:fill="auto"/>
          </w:tcPr>
          <w:p w:rsidR="00462BAB" w:rsidRPr="00392FFD" w:rsidRDefault="00462BAB" w:rsidP="00622B37">
            <w:pPr>
              <w:pStyle w:val="InstructionsText"/>
              <w:rPr>
                <w:rStyle w:val="InstructionsTabelleberschrift"/>
                <w:rFonts w:ascii="Times New Roman" w:hAnsi="Times New Roman"/>
                <w:sz w:val="24"/>
              </w:rPr>
            </w:pPr>
            <w:r>
              <w:rPr>
                <w:rStyle w:val="InstructionsTabelleberschrift"/>
                <w:rFonts w:ascii="Times New Roman" w:hAnsi="Times New Roman"/>
                <w:sz w:val="24"/>
              </w:rPr>
              <w:t xml:space="preserve">Expositions en défaut soumises à une pondération de risque de 150 % </w:t>
            </w:r>
          </w:p>
          <w:p w:rsidR="00462BAB" w:rsidRPr="00392FFD" w:rsidRDefault="00462BAB" w:rsidP="00622B37">
            <w:pPr>
              <w:pStyle w:val="InstructionsText"/>
            </w:pPr>
            <w:r>
              <w:t>Article 112, point j), du CRR</w:t>
            </w:r>
          </w:p>
          <w:p w:rsidR="00462BAB" w:rsidRPr="00392FFD" w:rsidRDefault="00462BAB" w:rsidP="00622B37">
            <w:pPr>
              <w:pStyle w:val="InstructionsText"/>
            </w:pPr>
            <w:r>
              <w:t>Expositions de la catégorie d’expositions «expositions en défaut», qui seraient incluses dans cette catégorie d’expositions si elles n’étaient pas en défaut.</w:t>
            </w:r>
          </w:p>
        </w:tc>
      </w:tr>
    </w:tbl>
    <w:p w:rsidR="001C7AB7" w:rsidRPr="00392FFD" w:rsidRDefault="001C7AB7">
      <w:pPr>
        <w:spacing w:before="0" w:after="0"/>
        <w:jc w:val="left"/>
        <w:rPr>
          <w:rFonts w:ascii="Times New Roman" w:hAnsi="Times New Roman"/>
          <w:bCs/>
          <w:sz w:val="24"/>
        </w:rPr>
      </w:pPr>
    </w:p>
    <w:p w:rsidR="001C7AB7" w:rsidRPr="00392FFD" w:rsidRDefault="00125707" w:rsidP="0023700C">
      <w:pPr>
        <w:pStyle w:val="Instructionsberschrift2"/>
        <w:numPr>
          <w:ilvl w:val="0"/>
          <w:numId w:val="0"/>
        </w:numPr>
        <w:ind w:left="357" w:hanging="357"/>
        <w:rPr>
          <w:rFonts w:ascii="Times New Roman" w:hAnsi="Times New Roman" w:cs="Times New Roman"/>
          <w:sz w:val="24"/>
        </w:rPr>
      </w:pPr>
      <w:bookmarkStart w:id="216" w:name="_Toc360188357"/>
      <w:bookmarkStart w:id="217" w:name="_Toc473560906"/>
      <w:bookmarkStart w:id="218" w:name="_Toc496022301"/>
      <w:r>
        <w:rPr>
          <w:rFonts w:ascii="Times New Roman" w:hAnsi="Times New Roman"/>
          <w:sz w:val="24"/>
          <w:u w:val="none"/>
        </w:rPr>
        <w:t>3.3.</w:t>
      </w:r>
      <w:r>
        <w:tab/>
      </w:r>
      <w:r>
        <w:rPr>
          <w:rFonts w:ascii="Times New Roman" w:hAnsi="Times New Roman"/>
          <w:sz w:val="24"/>
        </w:rPr>
        <w:t>Risques de crédit et de crédit de contrepartie et positions de négociation non dénouées: approche NI des exigences de fonds propres</w:t>
      </w:r>
      <w:bookmarkEnd w:id="216"/>
      <w:r>
        <w:rPr>
          <w:rFonts w:ascii="Times New Roman" w:hAnsi="Times New Roman"/>
          <w:sz w:val="24"/>
        </w:rPr>
        <w:t xml:space="preserve"> (CR IRB)</w:t>
      </w:r>
      <w:bookmarkEnd w:id="217"/>
      <w:bookmarkEnd w:id="218"/>
    </w:p>
    <w:p w:rsidR="001C7AB7" w:rsidRPr="00392FFD" w:rsidRDefault="00125707" w:rsidP="0023700C">
      <w:pPr>
        <w:pStyle w:val="Instructionsberschrift2"/>
        <w:numPr>
          <w:ilvl w:val="0"/>
          <w:numId w:val="0"/>
        </w:numPr>
        <w:ind w:left="357" w:hanging="357"/>
        <w:rPr>
          <w:rFonts w:ascii="Times New Roman" w:hAnsi="Times New Roman" w:cs="Times New Roman"/>
          <w:sz w:val="24"/>
        </w:rPr>
      </w:pPr>
      <w:bookmarkStart w:id="219" w:name="_Toc360188358"/>
      <w:bookmarkStart w:id="220" w:name="_Toc473560907"/>
      <w:bookmarkStart w:id="221" w:name="_Toc496022302"/>
      <w:r>
        <w:rPr>
          <w:rFonts w:ascii="Times New Roman" w:hAnsi="Times New Roman"/>
          <w:sz w:val="24"/>
          <w:u w:val="none"/>
        </w:rPr>
        <w:t>3.3.1.</w:t>
      </w:r>
      <w:r>
        <w:tab/>
      </w:r>
      <w:r>
        <w:rPr>
          <w:rFonts w:ascii="Times New Roman" w:hAnsi="Times New Roman"/>
          <w:sz w:val="24"/>
        </w:rPr>
        <w:t>Champ d’application du modèle CR IRB</w:t>
      </w:r>
      <w:bookmarkEnd w:id="219"/>
      <w:bookmarkEnd w:id="220"/>
      <w:bookmarkEnd w:id="221"/>
    </w:p>
    <w:p w:rsidR="001C7AB7" w:rsidRPr="00392FFD" w:rsidRDefault="00125707" w:rsidP="0023700C">
      <w:pPr>
        <w:pStyle w:val="InstructionsText2"/>
        <w:numPr>
          <w:ilvl w:val="0"/>
          <w:numId w:val="0"/>
        </w:numPr>
        <w:ind w:left="1353" w:hanging="360"/>
      </w:pPr>
      <w:r>
        <w:t>74.</w:t>
      </w:r>
      <w:r>
        <w:tab/>
        <w:t>Le champ d’application du modèle CR IRB couvre les exigences de fonds propres pour:</w:t>
      </w:r>
    </w:p>
    <w:p w:rsidR="001C7AB7" w:rsidRPr="00392FFD" w:rsidRDefault="00125707" w:rsidP="0023700C">
      <w:pPr>
        <w:autoSpaceDE w:val="0"/>
        <w:autoSpaceDN w:val="0"/>
        <w:adjustRightInd w:val="0"/>
        <w:spacing w:before="0" w:after="240"/>
        <w:ind w:left="1725" w:hanging="360"/>
        <w:jc w:val="left"/>
        <w:rPr>
          <w:rFonts w:ascii="Times New Roman" w:hAnsi="Times New Roman"/>
          <w:sz w:val="24"/>
        </w:rPr>
      </w:pPr>
      <w:r>
        <w:rPr>
          <w:rFonts w:ascii="Times New Roman" w:hAnsi="Times New Roman"/>
          <w:sz w:val="24"/>
        </w:rPr>
        <w:lastRenderedPageBreak/>
        <w:t>i.</w:t>
      </w:r>
      <w:r>
        <w:tab/>
      </w:r>
      <w:r>
        <w:rPr>
          <w:rFonts w:ascii="Times New Roman" w:hAnsi="Times New Roman"/>
          <w:sz w:val="24"/>
        </w:rPr>
        <w:t>Le risque de crédit dans le portefeuille d'intermédiation bancaire, dont:</w:t>
      </w:r>
    </w:p>
    <w:p w:rsidR="001C7AB7" w:rsidRPr="00392FFD" w:rsidRDefault="00125707" w:rsidP="0023700C">
      <w:pPr>
        <w:tabs>
          <w:tab w:val="left" w:pos="2370"/>
        </w:tabs>
        <w:autoSpaceDE w:val="0"/>
        <w:autoSpaceDN w:val="0"/>
        <w:adjustRightInd w:val="0"/>
        <w:spacing w:before="0" w:after="240"/>
        <w:ind w:left="2370" w:hanging="360"/>
        <w:jc w:val="left"/>
        <w:rPr>
          <w:rFonts w:ascii="Wingdings" w:hAnsi="Wingdings"/>
          <w:sz w:val="24"/>
        </w:rPr>
      </w:pPr>
      <w:r>
        <w:tab/>
      </w:r>
      <w:r>
        <w:rPr>
          <w:rFonts w:ascii="Times New Roman" w:hAnsi="Times New Roman"/>
          <w:sz w:val="24"/>
        </w:rPr>
        <w:t>Le risque de crédit de contrepartie dans le portefeuille d’intermédiation bancaire;</w:t>
      </w:r>
    </w:p>
    <w:p w:rsidR="001C7AB7" w:rsidRPr="00392FFD" w:rsidRDefault="00125707" w:rsidP="0023700C">
      <w:pPr>
        <w:tabs>
          <w:tab w:val="left" w:pos="2370"/>
        </w:tabs>
        <w:autoSpaceDE w:val="0"/>
        <w:autoSpaceDN w:val="0"/>
        <w:adjustRightInd w:val="0"/>
        <w:spacing w:before="0" w:after="240"/>
        <w:ind w:left="2370" w:hanging="360"/>
        <w:jc w:val="left"/>
        <w:rPr>
          <w:rFonts w:ascii="Wingdings" w:hAnsi="Wingdings"/>
          <w:sz w:val="24"/>
        </w:rPr>
      </w:pPr>
      <w:r>
        <w:tab/>
      </w:r>
      <w:r>
        <w:rPr>
          <w:rFonts w:ascii="Times New Roman" w:hAnsi="Times New Roman"/>
          <w:sz w:val="24"/>
        </w:rPr>
        <w:t>Le risque de dilution pour créances achetées;</w:t>
      </w:r>
    </w:p>
    <w:p w:rsidR="001C7AB7" w:rsidRPr="00392FFD" w:rsidRDefault="00125707" w:rsidP="0023700C">
      <w:pPr>
        <w:autoSpaceDE w:val="0"/>
        <w:autoSpaceDN w:val="0"/>
        <w:adjustRightInd w:val="0"/>
        <w:spacing w:before="0" w:after="240"/>
        <w:ind w:left="1725" w:hanging="360"/>
        <w:jc w:val="left"/>
        <w:rPr>
          <w:rFonts w:ascii="Times New Roman" w:hAnsi="Times New Roman"/>
          <w:sz w:val="24"/>
        </w:rPr>
      </w:pPr>
      <w:r>
        <w:rPr>
          <w:rFonts w:ascii="Times New Roman" w:hAnsi="Times New Roman"/>
          <w:sz w:val="24"/>
        </w:rPr>
        <w:t>ii.</w:t>
      </w:r>
      <w:r>
        <w:tab/>
      </w:r>
      <w:r>
        <w:rPr>
          <w:rFonts w:ascii="Times New Roman" w:hAnsi="Times New Roman"/>
          <w:sz w:val="24"/>
        </w:rPr>
        <w:t>Le risque de crédit de contrepartie dans le portefeuille de négociation;</w:t>
      </w:r>
    </w:p>
    <w:p w:rsidR="001C7AB7" w:rsidRPr="00392FFD" w:rsidRDefault="00125707" w:rsidP="0023700C">
      <w:pPr>
        <w:autoSpaceDE w:val="0"/>
        <w:autoSpaceDN w:val="0"/>
        <w:adjustRightInd w:val="0"/>
        <w:spacing w:before="0" w:after="240"/>
        <w:ind w:left="1725" w:hanging="360"/>
        <w:jc w:val="left"/>
        <w:rPr>
          <w:rFonts w:ascii="Times New Roman" w:hAnsi="Times New Roman"/>
          <w:sz w:val="24"/>
        </w:rPr>
      </w:pPr>
      <w:r>
        <w:rPr>
          <w:rFonts w:ascii="Times New Roman" w:hAnsi="Times New Roman"/>
          <w:sz w:val="24"/>
        </w:rPr>
        <w:t>iii.</w:t>
      </w:r>
      <w:r>
        <w:tab/>
      </w:r>
      <w:r>
        <w:rPr>
          <w:rFonts w:ascii="Times New Roman" w:hAnsi="Times New Roman"/>
          <w:sz w:val="24"/>
        </w:rPr>
        <w:t>Les positions de négociation non dénouées de l’ensemble des activités de l’entreprise.</w:t>
      </w:r>
    </w:p>
    <w:p w:rsidR="001C7AB7" w:rsidRPr="00392FFD" w:rsidRDefault="00125707" w:rsidP="0023700C">
      <w:pPr>
        <w:pStyle w:val="InstructionsText2"/>
        <w:numPr>
          <w:ilvl w:val="0"/>
          <w:numId w:val="0"/>
        </w:numPr>
        <w:ind w:left="1353" w:hanging="360"/>
      </w:pPr>
      <w:r>
        <w:t>75.</w:t>
      </w:r>
      <w:r>
        <w:tab/>
        <w:t xml:space="preserve">Le champ d’application du modèle concerne les expositions pour lesquelles </w:t>
      </w:r>
      <w:r>
        <w:rPr>
          <w:rStyle w:val="InstructionsTabelleText"/>
          <w:rFonts w:ascii="Times New Roman" w:hAnsi="Times New Roman"/>
          <w:sz w:val="24"/>
        </w:rPr>
        <w:t>les montants d’exposition pondérés</w:t>
      </w:r>
      <w:r>
        <w:t xml:space="preserve"> sont calculés conformément aux articles 151 à 157 de la troisième partie, titre II, chapitre 3 du CRR (approche NI). </w:t>
      </w:r>
    </w:p>
    <w:p w:rsidR="001C7AB7" w:rsidRPr="00392FFD" w:rsidRDefault="00125707" w:rsidP="0023700C">
      <w:pPr>
        <w:pStyle w:val="InstructionsText2"/>
        <w:numPr>
          <w:ilvl w:val="0"/>
          <w:numId w:val="0"/>
        </w:numPr>
        <w:ind w:left="1353" w:hanging="360"/>
      </w:pPr>
      <w:r>
        <w:t>76.</w:t>
      </w:r>
      <w:r>
        <w:tab/>
        <w:t xml:space="preserve">Le modèle CR IRB ne couvre pas les données suivantes: </w:t>
      </w:r>
    </w:p>
    <w:p w:rsidR="001C7AB7" w:rsidRPr="00392FFD" w:rsidRDefault="00125707" w:rsidP="0023700C">
      <w:pPr>
        <w:tabs>
          <w:tab w:val="left" w:pos="1440"/>
        </w:tabs>
        <w:autoSpaceDE w:val="0"/>
        <w:autoSpaceDN w:val="0"/>
        <w:adjustRightInd w:val="0"/>
        <w:spacing w:before="0" w:after="240"/>
        <w:ind w:left="1440" w:hanging="360"/>
        <w:jc w:val="left"/>
        <w:rPr>
          <w:rFonts w:ascii="Times New Roman" w:hAnsi="Times New Roman"/>
          <w:sz w:val="24"/>
        </w:rPr>
      </w:pPr>
      <w:r>
        <w:rPr>
          <w:rFonts w:ascii="Times New Roman" w:hAnsi="Times New Roman"/>
          <w:sz w:val="24"/>
        </w:rPr>
        <w:t>i.</w:t>
      </w:r>
      <w:r>
        <w:tab/>
      </w:r>
      <w:r>
        <w:rPr>
          <w:rFonts w:ascii="Times New Roman" w:hAnsi="Times New Roman"/>
          <w:sz w:val="24"/>
        </w:rPr>
        <w:t xml:space="preserve">Expositions sous forme d’actions, qui sont déclarées dans le modèle CR EQU IRB; </w:t>
      </w:r>
    </w:p>
    <w:p w:rsidR="001C7AB7" w:rsidRPr="00392FFD" w:rsidRDefault="00125707" w:rsidP="0023700C">
      <w:pPr>
        <w:tabs>
          <w:tab w:val="left" w:pos="1440"/>
        </w:tabs>
        <w:autoSpaceDE w:val="0"/>
        <w:autoSpaceDN w:val="0"/>
        <w:adjustRightInd w:val="0"/>
        <w:spacing w:before="0" w:after="240"/>
        <w:ind w:left="1440" w:hanging="360"/>
        <w:jc w:val="left"/>
        <w:rPr>
          <w:rFonts w:ascii="Times New Roman" w:hAnsi="Times New Roman"/>
          <w:sz w:val="24"/>
        </w:rPr>
      </w:pPr>
      <w:r>
        <w:rPr>
          <w:rFonts w:ascii="Times New Roman" w:hAnsi="Times New Roman"/>
          <w:sz w:val="24"/>
        </w:rPr>
        <w:t>ii.</w:t>
      </w:r>
      <w:r>
        <w:tab/>
      </w:r>
      <w:r>
        <w:rPr>
          <w:rFonts w:ascii="Times New Roman" w:hAnsi="Times New Roman"/>
          <w:sz w:val="24"/>
        </w:rPr>
        <w:t>Positions de titrisation, qui sont déclarées dans les modèles CR SEC SA, CR SEC IRB et/ou CR SEC Details;</w:t>
      </w:r>
    </w:p>
    <w:p w:rsidR="001C7AB7" w:rsidRPr="00392FFD" w:rsidRDefault="00125707" w:rsidP="0023700C">
      <w:pPr>
        <w:tabs>
          <w:tab w:val="left" w:pos="1440"/>
        </w:tabs>
        <w:autoSpaceDE w:val="0"/>
        <w:autoSpaceDN w:val="0"/>
        <w:adjustRightInd w:val="0"/>
        <w:spacing w:before="0" w:after="240"/>
        <w:ind w:left="1440" w:hanging="360"/>
        <w:jc w:val="left"/>
        <w:rPr>
          <w:rFonts w:ascii="Times New Roman" w:hAnsi="Times New Roman"/>
          <w:sz w:val="24"/>
        </w:rPr>
      </w:pPr>
      <w:r>
        <w:rPr>
          <w:rFonts w:ascii="Times New Roman" w:hAnsi="Times New Roman"/>
          <w:sz w:val="24"/>
        </w:rPr>
        <w:t>iii.</w:t>
      </w:r>
      <w:r>
        <w:tab/>
      </w:r>
      <w:r>
        <w:rPr>
          <w:rFonts w:ascii="Times New Roman" w:hAnsi="Times New Roman"/>
          <w:sz w:val="24"/>
        </w:rPr>
        <w:t xml:space="preserve"> «Actifs autres que des obligations de crédit», conformément à l'article 147, p</w:t>
      </w:r>
      <w:r>
        <w:rPr>
          <w:rFonts w:ascii="Times New Roman" w:hAnsi="Times New Roman"/>
          <w:sz w:val="24"/>
        </w:rPr>
        <w:t>a</w:t>
      </w:r>
      <w:r>
        <w:rPr>
          <w:rFonts w:ascii="Times New Roman" w:hAnsi="Times New Roman"/>
          <w:sz w:val="24"/>
        </w:rPr>
        <w:t>ragraphe 2, point g) du CRR. La pondération pour cette catégorie d’exposition doit être à tout moment fixée à 100 %, à l’exception de l’encaisse et des v</w:t>
      </w:r>
      <w:r>
        <w:rPr>
          <w:rFonts w:ascii="Times New Roman" w:hAnsi="Times New Roman"/>
          <w:sz w:val="24"/>
        </w:rPr>
        <w:t>a</w:t>
      </w:r>
      <w:r>
        <w:rPr>
          <w:rFonts w:ascii="Times New Roman" w:hAnsi="Times New Roman"/>
          <w:sz w:val="24"/>
        </w:rPr>
        <w:t>leurs assimilées, et des expositions consistant en la valeur résiduelle de biens loués, conformément à l’article 156 du CRR. Les montants d’exposition po</w:t>
      </w:r>
      <w:r>
        <w:rPr>
          <w:rFonts w:ascii="Times New Roman" w:hAnsi="Times New Roman"/>
          <w:sz w:val="24"/>
        </w:rPr>
        <w:t>n</w:t>
      </w:r>
      <w:r>
        <w:rPr>
          <w:rFonts w:ascii="Times New Roman" w:hAnsi="Times New Roman"/>
          <w:sz w:val="24"/>
        </w:rPr>
        <w:t>dérés pour cette catégorie d’expositions sont déclarés directement dans le m</w:t>
      </w:r>
      <w:r>
        <w:rPr>
          <w:rFonts w:ascii="Times New Roman" w:hAnsi="Times New Roman"/>
          <w:sz w:val="24"/>
        </w:rPr>
        <w:t>o</w:t>
      </w:r>
      <w:r>
        <w:rPr>
          <w:rFonts w:ascii="Times New Roman" w:hAnsi="Times New Roman"/>
          <w:sz w:val="24"/>
        </w:rPr>
        <w:t>dèle CA;</w:t>
      </w:r>
    </w:p>
    <w:p w:rsidR="001C7AB7" w:rsidRPr="00392FFD" w:rsidRDefault="00125707" w:rsidP="0023700C">
      <w:pPr>
        <w:tabs>
          <w:tab w:val="left" w:pos="1440"/>
        </w:tabs>
        <w:autoSpaceDE w:val="0"/>
        <w:autoSpaceDN w:val="0"/>
        <w:adjustRightInd w:val="0"/>
        <w:spacing w:before="0" w:after="240"/>
        <w:ind w:left="1440" w:hanging="360"/>
        <w:jc w:val="left"/>
        <w:rPr>
          <w:rFonts w:ascii="Times New Roman" w:hAnsi="Times New Roman"/>
          <w:sz w:val="24"/>
        </w:rPr>
      </w:pPr>
      <w:r>
        <w:rPr>
          <w:rFonts w:ascii="Times New Roman" w:hAnsi="Times New Roman"/>
          <w:sz w:val="24"/>
        </w:rPr>
        <w:t>iv.</w:t>
      </w:r>
      <w:r>
        <w:tab/>
      </w:r>
      <w:r>
        <w:rPr>
          <w:rFonts w:ascii="Times New Roman" w:hAnsi="Times New Roman"/>
          <w:sz w:val="24"/>
        </w:rPr>
        <w:t>Le risque d’ajustement de l’évaluation de crédit, qui est déclaré dans le modèle CVA Risk;</w:t>
      </w:r>
    </w:p>
    <w:p w:rsidR="001C7AB7" w:rsidRPr="00392FFD" w:rsidRDefault="001C7AB7" w:rsidP="001C7AB7">
      <w:pPr>
        <w:autoSpaceDE w:val="0"/>
        <w:autoSpaceDN w:val="0"/>
        <w:adjustRightInd w:val="0"/>
        <w:spacing w:before="0" w:after="240"/>
        <w:ind w:left="1440"/>
        <w:jc w:val="left"/>
        <w:rPr>
          <w:rFonts w:ascii="Times New Roman" w:hAnsi="Times New Roman"/>
          <w:sz w:val="24"/>
        </w:rPr>
      </w:pPr>
      <w:r>
        <w:rPr>
          <w:rFonts w:ascii="Times New Roman" w:hAnsi="Times New Roman"/>
          <w:sz w:val="24"/>
        </w:rPr>
        <w:t>Le modèle CR IRB ne nécessite pas de ventilation géographique des expos</w:t>
      </w:r>
      <w:r>
        <w:rPr>
          <w:rFonts w:ascii="Times New Roman" w:hAnsi="Times New Roman"/>
          <w:sz w:val="24"/>
        </w:rPr>
        <w:t>i</w:t>
      </w:r>
      <w:r>
        <w:rPr>
          <w:rFonts w:ascii="Times New Roman" w:hAnsi="Times New Roman"/>
          <w:sz w:val="24"/>
        </w:rPr>
        <w:t xml:space="preserve">tions NI selon la résidence de la contrepartie. Cette ventilation est déclarée dans le modèle CR GB. </w:t>
      </w:r>
    </w:p>
    <w:p w:rsidR="001C7AB7" w:rsidRPr="00392FFD" w:rsidRDefault="00125707" w:rsidP="0023700C">
      <w:pPr>
        <w:pStyle w:val="InstructionsText2"/>
        <w:numPr>
          <w:ilvl w:val="0"/>
          <w:numId w:val="0"/>
        </w:numPr>
        <w:ind w:left="1353" w:hanging="360"/>
      </w:pPr>
      <w:r>
        <w:t>77.</w:t>
      </w:r>
      <w:r>
        <w:tab/>
        <w:t>Afin de préciser si un établissement utilise ses propres estimations des LGD et/ou des facteurs de conversion de crédit, les informations suivantes seront fournies pour chaque catégorie d’expositions déclarée:</w:t>
      </w:r>
    </w:p>
    <w:p w:rsidR="001C7AB7" w:rsidRPr="00392FFD" w:rsidRDefault="001C7AB7" w:rsidP="001C7AB7">
      <w:pPr>
        <w:autoSpaceDE w:val="0"/>
        <w:autoSpaceDN w:val="0"/>
        <w:adjustRightInd w:val="0"/>
        <w:spacing w:before="0" w:after="240"/>
        <w:ind w:left="709"/>
        <w:jc w:val="left"/>
        <w:rPr>
          <w:rFonts w:ascii="Times New Roman" w:hAnsi="Times New Roman"/>
          <w:sz w:val="24"/>
        </w:rPr>
      </w:pPr>
      <w:r>
        <w:rPr>
          <w:rFonts w:ascii="Times New Roman" w:hAnsi="Times New Roman"/>
          <w:sz w:val="24"/>
        </w:rPr>
        <w:t>«NON» = lorsqu'il est fait usage des estimations règlementaires des LGD et/ou des facteurs de conversion de crédit (NI simple)</w:t>
      </w:r>
    </w:p>
    <w:p w:rsidR="001C7AB7" w:rsidRPr="00392FFD" w:rsidRDefault="001C7AB7" w:rsidP="001C7AB7">
      <w:pPr>
        <w:autoSpaceDE w:val="0"/>
        <w:autoSpaceDN w:val="0"/>
        <w:adjustRightInd w:val="0"/>
        <w:spacing w:before="0" w:after="240"/>
        <w:ind w:left="709"/>
        <w:jc w:val="left"/>
        <w:rPr>
          <w:rFonts w:ascii="Times New Roman" w:hAnsi="Times New Roman"/>
          <w:sz w:val="24"/>
        </w:rPr>
      </w:pPr>
      <w:r>
        <w:rPr>
          <w:rFonts w:ascii="Times New Roman" w:hAnsi="Times New Roman"/>
          <w:sz w:val="24"/>
        </w:rPr>
        <w:t xml:space="preserve">«OUI» = lorsqu'il est fait usage des propres estimations des LGD et/ou des facteurs de conversion de crédit (NI avancée) </w:t>
      </w:r>
    </w:p>
    <w:p w:rsidR="001C7AB7" w:rsidRPr="00392FFD" w:rsidRDefault="001C7AB7" w:rsidP="001C7AB7">
      <w:pPr>
        <w:autoSpaceDE w:val="0"/>
        <w:autoSpaceDN w:val="0"/>
        <w:adjustRightInd w:val="0"/>
        <w:spacing w:before="0" w:after="240"/>
        <w:ind w:left="709"/>
        <w:jc w:val="left"/>
        <w:rPr>
          <w:rFonts w:ascii="Times New Roman" w:hAnsi="Times New Roman"/>
          <w:sz w:val="24"/>
        </w:rPr>
      </w:pPr>
      <w:r>
        <w:rPr>
          <w:rFonts w:ascii="Times New Roman" w:hAnsi="Times New Roman"/>
          <w:sz w:val="24"/>
        </w:rPr>
        <w:t>En tout état de cause, il convient de mentionner «OUI» dans le cadre de la déclaration des portefeuilles sur la clientèle de détail.</w:t>
      </w:r>
    </w:p>
    <w:p w:rsidR="001C7AB7" w:rsidRPr="00392FFD" w:rsidRDefault="001C7AB7" w:rsidP="001C7AB7">
      <w:pPr>
        <w:autoSpaceDE w:val="0"/>
        <w:autoSpaceDN w:val="0"/>
        <w:adjustRightInd w:val="0"/>
        <w:spacing w:before="0" w:after="240"/>
        <w:ind w:left="709"/>
        <w:jc w:val="left"/>
        <w:rPr>
          <w:rFonts w:ascii="Times New Roman" w:hAnsi="Times New Roman"/>
          <w:sz w:val="24"/>
        </w:rPr>
      </w:pPr>
      <w:r>
        <w:rPr>
          <w:rFonts w:ascii="Times New Roman" w:hAnsi="Times New Roman"/>
          <w:sz w:val="24"/>
        </w:rPr>
        <w:lastRenderedPageBreak/>
        <w:t xml:space="preserve">Lorsqu’un établissement utilise ses propres estimations LGD pour calculer </w:t>
      </w:r>
      <w:r>
        <w:rPr>
          <w:rStyle w:val="InstructionsTabelleText"/>
          <w:rFonts w:ascii="Times New Roman" w:hAnsi="Times New Roman"/>
          <w:sz w:val="24"/>
        </w:rPr>
        <w:t>les mo</w:t>
      </w:r>
      <w:r>
        <w:rPr>
          <w:rStyle w:val="InstructionsTabelleText"/>
          <w:rFonts w:ascii="Times New Roman" w:hAnsi="Times New Roman"/>
          <w:sz w:val="24"/>
        </w:rPr>
        <w:t>n</w:t>
      </w:r>
      <w:r>
        <w:rPr>
          <w:rStyle w:val="InstructionsTabelleText"/>
          <w:rFonts w:ascii="Times New Roman" w:hAnsi="Times New Roman"/>
          <w:sz w:val="24"/>
        </w:rPr>
        <w:t>tants d’exposition pondérés</w:t>
      </w:r>
      <w:r>
        <w:rPr>
          <w:rFonts w:ascii="Times New Roman" w:hAnsi="Times New Roman"/>
          <w:sz w:val="24"/>
        </w:rPr>
        <w:t xml:space="preserve"> pour une partie de ses expositions NI, et utilise les estim</w:t>
      </w:r>
      <w:r>
        <w:rPr>
          <w:rFonts w:ascii="Times New Roman" w:hAnsi="Times New Roman"/>
          <w:sz w:val="24"/>
        </w:rPr>
        <w:t>a</w:t>
      </w:r>
      <w:r>
        <w:rPr>
          <w:rFonts w:ascii="Times New Roman" w:hAnsi="Times New Roman"/>
          <w:sz w:val="24"/>
        </w:rPr>
        <w:t xml:space="preserve">tions règlementaires de LGD pour calculer </w:t>
      </w:r>
      <w:r>
        <w:rPr>
          <w:rStyle w:val="InstructionsTabelleText"/>
          <w:rFonts w:ascii="Times New Roman" w:hAnsi="Times New Roman"/>
          <w:sz w:val="24"/>
        </w:rPr>
        <w:t>les montants d’exposition pondérés</w:t>
      </w:r>
      <w:r>
        <w:rPr>
          <w:rFonts w:ascii="Times New Roman" w:hAnsi="Times New Roman"/>
          <w:sz w:val="24"/>
        </w:rPr>
        <w:t xml:space="preserve"> du reste de ses expositions NI, il faudra remplir un modèle CR IRB Total pour les pos</w:t>
      </w:r>
      <w:r>
        <w:rPr>
          <w:rFonts w:ascii="Times New Roman" w:hAnsi="Times New Roman"/>
          <w:sz w:val="24"/>
        </w:rPr>
        <w:t>i</w:t>
      </w:r>
      <w:r>
        <w:rPr>
          <w:rFonts w:ascii="Times New Roman" w:hAnsi="Times New Roman"/>
          <w:sz w:val="24"/>
        </w:rPr>
        <w:t>tions NI-simple et un modèle CR IRB Total pour les positions NI-avancée.</w:t>
      </w:r>
    </w:p>
    <w:p w:rsidR="001C7AB7" w:rsidRPr="00392FFD" w:rsidRDefault="00125707" w:rsidP="0023700C">
      <w:pPr>
        <w:pStyle w:val="Instructionsberschrift2"/>
        <w:numPr>
          <w:ilvl w:val="0"/>
          <w:numId w:val="0"/>
        </w:numPr>
        <w:ind w:left="357" w:hanging="357"/>
        <w:rPr>
          <w:rFonts w:ascii="Times New Roman" w:hAnsi="Times New Roman" w:cs="Times New Roman"/>
          <w:sz w:val="24"/>
        </w:rPr>
      </w:pPr>
      <w:bookmarkStart w:id="222" w:name="_Toc262568037"/>
      <w:bookmarkStart w:id="223" w:name="_Toc264038435"/>
      <w:bookmarkStart w:id="224" w:name="_Toc295829865"/>
      <w:bookmarkStart w:id="225" w:name="_Toc308155142"/>
      <w:bookmarkStart w:id="226" w:name="_Toc310415028"/>
      <w:bookmarkStart w:id="227" w:name="_Toc360188359"/>
      <w:bookmarkStart w:id="228" w:name="_Toc473560908"/>
      <w:bookmarkStart w:id="229" w:name="_Toc496022303"/>
      <w:r>
        <w:rPr>
          <w:rFonts w:ascii="Times New Roman" w:hAnsi="Times New Roman"/>
          <w:sz w:val="24"/>
          <w:u w:val="none"/>
        </w:rPr>
        <w:t>3.3.2.</w:t>
      </w:r>
      <w:r>
        <w:tab/>
      </w:r>
      <w:r>
        <w:rPr>
          <w:rFonts w:ascii="Times New Roman" w:hAnsi="Times New Roman"/>
          <w:sz w:val="24"/>
        </w:rPr>
        <w:t>Décomposition du modèle CR IRB</w:t>
      </w:r>
      <w:bookmarkEnd w:id="222"/>
      <w:bookmarkEnd w:id="223"/>
      <w:bookmarkEnd w:id="224"/>
      <w:bookmarkEnd w:id="225"/>
      <w:bookmarkEnd w:id="226"/>
      <w:bookmarkEnd w:id="227"/>
      <w:bookmarkEnd w:id="228"/>
      <w:bookmarkEnd w:id="229"/>
    </w:p>
    <w:p w:rsidR="001C7AB7" w:rsidRPr="00392FFD" w:rsidRDefault="00125707" w:rsidP="0023700C">
      <w:pPr>
        <w:pStyle w:val="InstructionsText2"/>
        <w:numPr>
          <w:ilvl w:val="0"/>
          <w:numId w:val="0"/>
        </w:numPr>
        <w:ind w:left="1353" w:hanging="360"/>
      </w:pPr>
      <w:r>
        <w:t>78.</w:t>
      </w:r>
      <w:r>
        <w:tab/>
        <w:t>Le modèle CR IRB se compose de deux parties. La première partie (CR IRB 1) fournit un aperçu général des expositions selon l’approche NI et des différentes méthodes de calcul des montants totaux d’exposition au risque, ainsi qu’une ventilation du montant total des expositions selon le type d’exposition. La de</w:t>
      </w:r>
      <w:r>
        <w:t>u</w:t>
      </w:r>
      <w:r>
        <w:t>xième partie (CR IRB 2) fournit une répartition du montant total des expositions selon les échelons ou les catégories de débiteurs. Ces deux sous-modèles feront l’objet d’une déclaration séparée pour les catégories et sous-catégories d’expositions suivantes:</w:t>
      </w:r>
    </w:p>
    <w:p w:rsidR="001C7AB7" w:rsidRPr="00392FFD" w:rsidRDefault="001C7AB7" w:rsidP="001C7AB7">
      <w:pPr>
        <w:autoSpaceDE w:val="0"/>
        <w:autoSpaceDN w:val="0"/>
        <w:adjustRightInd w:val="0"/>
        <w:spacing w:before="0" w:after="0"/>
        <w:ind w:left="1428" w:hanging="720"/>
        <w:jc w:val="left"/>
        <w:rPr>
          <w:rFonts w:ascii="Times New Roman" w:hAnsi="Times New Roman"/>
          <w:sz w:val="24"/>
        </w:rPr>
      </w:pPr>
      <w:r>
        <w:rPr>
          <w:rFonts w:ascii="Times New Roman" w:hAnsi="Times New Roman"/>
          <w:sz w:val="24"/>
        </w:rPr>
        <w:t>1)</w:t>
      </w:r>
      <w:r>
        <w:tab/>
      </w:r>
      <w:r>
        <w:rPr>
          <w:rFonts w:ascii="Times New Roman" w:hAnsi="Times New Roman"/>
          <w:sz w:val="24"/>
        </w:rPr>
        <w:t>Total</w:t>
      </w:r>
    </w:p>
    <w:p w:rsidR="001C7AB7" w:rsidRPr="00392FFD" w:rsidRDefault="001C7AB7" w:rsidP="001C7AB7">
      <w:pPr>
        <w:autoSpaceDE w:val="0"/>
        <w:autoSpaceDN w:val="0"/>
        <w:adjustRightInd w:val="0"/>
        <w:spacing w:before="0" w:after="0"/>
        <w:ind w:left="1428" w:hanging="720"/>
        <w:jc w:val="left"/>
        <w:rPr>
          <w:rFonts w:ascii="Times New Roman" w:hAnsi="Times New Roman"/>
          <w:sz w:val="24"/>
        </w:rPr>
      </w:pPr>
      <w:r>
        <w:tab/>
      </w:r>
      <w:r>
        <w:rPr>
          <w:rFonts w:ascii="Times New Roman" w:hAnsi="Times New Roman"/>
          <w:sz w:val="24"/>
        </w:rPr>
        <w:t>(Le modèle Total doit être rempli séparément pour la méthode NI-simple et pour la méthode NI-avancée)</w:t>
      </w:r>
    </w:p>
    <w:p w:rsidR="001C7AB7" w:rsidRPr="00392FFD" w:rsidRDefault="001C7AB7" w:rsidP="001C7AB7">
      <w:pPr>
        <w:autoSpaceDE w:val="0"/>
        <w:autoSpaceDN w:val="0"/>
        <w:adjustRightInd w:val="0"/>
        <w:spacing w:before="0" w:after="0"/>
        <w:ind w:left="1428" w:hanging="720"/>
        <w:jc w:val="left"/>
        <w:rPr>
          <w:rFonts w:ascii="Times New Roman" w:hAnsi="Times New Roman"/>
          <w:sz w:val="24"/>
        </w:rPr>
      </w:pPr>
      <w:r>
        <w:rPr>
          <w:rFonts w:ascii="Times New Roman" w:hAnsi="Times New Roman"/>
          <w:sz w:val="24"/>
        </w:rPr>
        <w:t>2)</w:t>
      </w:r>
      <w:r>
        <w:tab/>
      </w:r>
      <w:r>
        <w:rPr>
          <w:rFonts w:ascii="Times New Roman" w:hAnsi="Times New Roman"/>
          <w:sz w:val="24"/>
        </w:rPr>
        <w:t xml:space="preserve">Banques centrales et administrations centrales </w:t>
      </w:r>
    </w:p>
    <w:p w:rsidR="001C7AB7" w:rsidRPr="00392FFD" w:rsidRDefault="001C7AB7" w:rsidP="001C7AB7">
      <w:pPr>
        <w:autoSpaceDE w:val="0"/>
        <w:autoSpaceDN w:val="0"/>
        <w:adjustRightInd w:val="0"/>
        <w:spacing w:before="0" w:after="0"/>
        <w:ind w:left="1428"/>
        <w:jc w:val="left"/>
        <w:rPr>
          <w:rFonts w:ascii="Times New Roman" w:hAnsi="Times New Roman"/>
          <w:sz w:val="24"/>
        </w:rPr>
      </w:pPr>
      <w:r>
        <w:rPr>
          <w:rFonts w:ascii="Times New Roman" w:hAnsi="Times New Roman"/>
          <w:sz w:val="24"/>
        </w:rPr>
        <w:t>(Article 147, paragraphe 2, point a), du CRR)</w:t>
      </w:r>
    </w:p>
    <w:p w:rsidR="001C7AB7" w:rsidRPr="0023700C" w:rsidRDefault="001C7AB7" w:rsidP="001C7AB7">
      <w:pPr>
        <w:autoSpaceDE w:val="0"/>
        <w:autoSpaceDN w:val="0"/>
        <w:adjustRightInd w:val="0"/>
        <w:spacing w:before="0" w:after="0"/>
        <w:ind w:left="708"/>
        <w:rPr>
          <w:rFonts w:ascii="Times New Roman" w:hAnsi="Times New Roman"/>
          <w:sz w:val="24"/>
        </w:rPr>
      </w:pPr>
      <w:r>
        <w:rPr>
          <w:rFonts w:ascii="Times New Roman" w:hAnsi="Times New Roman"/>
          <w:sz w:val="24"/>
        </w:rPr>
        <w:t>3)</w:t>
      </w:r>
      <w:r>
        <w:tab/>
      </w:r>
      <w:r>
        <w:rPr>
          <w:rFonts w:ascii="Times New Roman" w:hAnsi="Times New Roman"/>
          <w:sz w:val="24"/>
        </w:rPr>
        <w:t>Établissements</w:t>
      </w:r>
    </w:p>
    <w:p w:rsidR="001C7AB7" w:rsidRPr="0023700C" w:rsidRDefault="001C7AB7" w:rsidP="001C7AB7">
      <w:pPr>
        <w:autoSpaceDE w:val="0"/>
        <w:autoSpaceDN w:val="0"/>
        <w:adjustRightInd w:val="0"/>
        <w:spacing w:before="0" w:after="0"/>
        <w:ind w:left="708" w:firstLine="720"/>
        <w:rPr>
          <w:rFonts w:ascii="Times New Roman" w:hAnsi="Times New Roman"/>
          <w:sz w:val="24"/>
        </w:rPr>
      </w:pPr>
      <w:r>
        <w:rPr>
          <w:rFonts w:ascii="Times New Roman" w:hAnsi="Times New Roman"/>
          <w:sz w:val="24"/>
        </w:rPr>
        <w:t>(Article 147, paragraphe 2, point b), du CRR)</w:t>
      </w:r>
    </w:p>
    <w:p w:rsidR="001C7AB7" w:rsidRPr="0023700C" w:rsidRDefault="001C7AB7" w:rsidP="001C7AB7">
      <w:pPr>
        <w:autoSpaceDE w:val="0"/>
        <w:autoSpaceDN w:val="0"/>
        <w:adjustRightInd w:val="0"/>
        <w:spacing w:before="0" w:after="0"/>
        <w:ind w:left="1428" w:hanging="720"/>
        <w:jc w:val="left"/>
        <w:rPr>
          <w:rFonts w:ascii="Times New Roman" w:hAnsi="Times New Roman"/>
          <w:sz w:val="24"/>
        </w:rPr>
      </w:pPr>
      <w:r>
        <w:rPr>
          <w:rFonts w:ascii="Times New Roman" w:hAnsi="Times New Roman"/>
          <w:sz w:val="24"/>
        </w:rPr>
        <w:t>4.1)</w:t>
      </w:r>
      <w:r>
        <w:tab/>
      </w:r>
      <w:r>
        <w:rPr>
          <w:rFonts w:ascii="Times New Roman" w:hAnsi="Times New Roman"/>
          <w:sz w:val="24"/>
        </w:rPr>
        <w:t>Entreprises - PME</w:t>
      </w:r>
    </w:p>
    <w:p w:rsidR="001C7AB7" w:rsidRPr="0023700C" w:rsidRDefault="001C7AB7" w:rsidP="001C7AB7">
      <w:pPr>
        <w:autoSpaceDE w:val="0"/>
        <w:autoSpaceDN w:val="0"/>
        <w:adjustRightInd w:val="0"/>
        <w:spacing w:before="0" w:after="0"/>
        <w:ind w:left="1428"/>
        <w:jc w:val="left"/>
        <w:rPr>
          <w:rFonts w:ascii="Times New Roman" w:hAnsi="Times New Roman"/>
          <w:sz w:val="24"/>
        </w:rPr>
      </w:pPr>
      <w:r>
        <w:rPr>
          <w:rFonts w:ascii="Times New Roman" w:hAnsi="Times New Roman"/>
          <w:sz w:val="24"/>
        </w:rPr>
        <w:t xml:space="preserve">(Article 147, paragraphe 2, point c), du CRR) </w:t>
      </w:r>
    </w:p>
    <w:p w:rsidR="001C7AB7" w:rsidRPr="00392FFD" w:rsidRDefault="001C7AB7" w:rsidP="001C7AB7">
      <w:pPr>
        <w:autoSpaceDE w:val="0"/>
        <w:autoSpaceDN w:val="0"/>
        <w:adjustRightInd w:val="0"/>
        <w:spacing w:before="0" w:after="0"/>
        <w:ind w:left="708"/>
        <w:jc w:val="left"/>
        <w:rPr>
          <w:rFonts w:ascii="Times New Roman" w:hAnsi="Times New Roman"/>
          <w:sz w:val="24"/>
        </w:rPr>
      </w:pPr>
      <w:r>
        <w:rPr>
          <w:rFonts w:ascii="Times New Roman" w:hAnsi="Times New Roman"/>
          <w:sz w:val="24"/>
        </w:rPr>
        <w:t>4.2)</w:t>
      </w:r>
      <w:r>
        <w:tab/>
      </w:r>
      <w:r>
        <w:rPr>
          <w:rFonts w:ascii="Times New Roman" w:hAnsi="Times New Roman"/>
          <w:sz w:val="24"/>
        </w:rPr>
        <w:t>Entreprises - Financement spécialisé</w:t>
      </w:r>
    </w:p>
    <w:p w:rsidR="001C7AB7" w:rsidRPr="00392FFD" w:rsidRDefault="001C7AB7" w:rsidP="001C7AB7">
      <w:pPr>
        <w:autoSpaceDE w:val="0"/>
        <w:autoSpaceDN w:val="0"/>
        <w:adjustRightInd w:val="0"/>
        <w:spacing w:before="0" w:after="0"/>
        <w:ind w:left="1428"/>
        <w:jc w:val="left"/>
        <w:rPr>
          <w:rFonts w:ascii="Times New Roman" w:hAnsi="Times New Roman"/>
          <w:sz w:val="24"/>
        </w:rPr>
      </w:pPr>
      <w:r>
        <w:rPr>
          <w:rFonts w:ascii="Times New Roman" w:hAnsi="Times New Roman"/>
          <w:sz w:val="24"/>
        </w:rPr>
        <w:t>(Article 147, paragraphe 8, du CRR)</w:t>
      </w:r>
    </w:p>
    <w:p w:rsidR="001C7AB7" w:rsidRPr="00392FFD" w:rsidRDefault="001C7AB7" w:rsidP="001C7AB7">
      <w:pPr>
        <w:autoSpaceDE w:val="0"/>
        <w:autoSpaceDN w:val="0"/>
        <w:adjustRightInd w:val="0"/>
        <w:spacing w:before="0" w:after="0"/>
        <w:ind w:left="708"/>
        <w:jc w:val="left"/>
        <w:rPr>
          <w:rFonts w:ascii="Times New Roman" w:hAnsi="Times New Roman"/>
          <w:sz w:val="24"/>
        </w:rPr>
      </w:pPr>
      <w:r>
        <w:rPr>
          <w:rFonts w:ascii="Times New Roman" w:hAnsi="Times New Roman"/>
          <w:sz w:val="24"/>
        </w:rPr>
        <w:t>4.3)</w:t>
      </w:r>
      <w:r>
        <w:tab/>
      </w:r>
      <w:r>
        <w:rPr>
          <w:rFonts w:ascii="Times New Roman" w:hAnsi="Times New Roman"/>
          <w:sz w:val="24"/>
        </w:rPr>
        <w:t xml:space="preserve">Entreprises - Autres </w:t>
      </w:r>
    </w:p>
    <w:p w:rsidR="001C7AB7" w:rsidRPr="00392FFD" w:rsidRDefault="001C7AB7" w:rsidP="001C7AB7">
      <w:pPr>
        <w:autoSpaceDE w:val="0"/>
        <w:autoSpaceDN w:val="0"/>
        <w:adjustRightInd w:val="0"/>
        <w:spacing w:before="0" w:after="0"/>
        <w:ind w:left="1428"/>
        <w:jc w:val="left"/>
        <w:rPr>
          <w:rFonts w:ascii="Times New Roman" w:hAnsi="Times New Roman"/>
          <w:sz w:val="24"/>
        </w:rPr>
      </w:pPr>
      <w:r>
        <w:rPr>
          <w:rFonts w:ascii="Times New Roman" w:hAnsi="Times New Roman"/>
          <w:sz w:val="24"/>
        </w:rPr>
        <w:t>(Toutes les entreprises visées à l'article 147, paragraphe 2, point c), qui ne sont pas déclarées aux points 4.1 et 4.2)</w:t>
      </w:r>
    </w:p>
    <w:p w:rsidR="001C7AB7" w:rsidRPr="00392FFD" w:rsidRDefault="001C7AB7" w:rsidP="001C7AB7">
      <w:pPr>
        <w:autoSpaceDE w:val="0"/>
        <w:autoSpaceDN w:val="0"/>
        <w:adjustRightInd w:val="0"/>
        <w:spacing w:before="0" w:after="0"/>
        <w:ind w:left="708"/>
        <w:jc w:val="left"/>
        <w:rPr>
          <w:rFonts w:ascii="Times New Roman" w:hAnsi="Times New Roman"/>
          <w:sz w:val="24"/>
        </w:rPr>
      </w:pPr>
      <w:r>
        <w:rPr>
          <w:rFonts w:ascii="Times New Roman" w:hAnsi="Times New Roman"/>
          <w:sz w:val="24"/>
        </w:rPr>
        <w:t>5.1)</w:t>
      </w:r>
      <w:r>
        <w:tab/>
      </w:r>
      <w:r>
        <w:rPr>
          <w:rFonts w:ascii="Times New Roman" w:hAnsi="Times New Roman"/>
          <w:sz w:val="24"/>
        </w:rPr>
        <w:t>Clientèle de détail - Expositions garanties par des biens immobiliers PME</w:t>
      </w:r>
    </w:p>
    <w:p w:rsidR="001C7AB7" w:rsidRPr="00392FFD" w:rsidRDefault="001C7AB7" w:rsidP="001C7AB7">
      <w:pPr>
        <w:autoSpaceDE w:val="0"/>
        <w:autoSpaceDN w:val="0"/>
        <w:adjustRightInd w:val="0"/>
        <w:spacing w:before="0" w:after="0"/>
        <w:ind w:left="1428"/>
        <w:jc w:val="left"/>
        <w:rPr>
          <w:rFonts w:ascii="Times New Roman" w:hAnsi="Times New Roman"/>
          <w:sz w:val="24"/>
        </w:rPr>
      </w:pPr>
      <w:r>
        <w:rPr>
          <w:rFonts w:ascii="Times New Roman" w:hAnsi="Times New Roman"/>
          <w:sz w:val="24"/>
        </w:rPr>
        <w:t>(Expositions reflétant l’article 147, paragraphe 2, point d), en conjonction avec l’article 154, paragraphe 3, du CRR, et qui sont garanties par des biens imm</w:t>
      </w:r>
      <w:r>
        <w:rPr>
          <w:rFonts w:ascii="Times New Roman" w:hAnsi="Times New Roman"/>
          <w:sz w:val="24"/>
        </w:rPr>
        <w:t>o</w:t>
      </w:r>
      <w:r>
        <w:rPr>
          <w:rFonts w:ascii="Times New Roman" w:hAnsi="Times New Roman"/>
          <w:sz w:val="24"/>
        </w:rPr>
        <w:t>biliers).</w:t>
      </w:r>
    </w:p>
    <w:p w:rsidR="001C7AB7" w:rsidRPr="00392FFD" w:rsidRDefault="001C7AB7" w:rsidP="001C7AB7">
      <w:pPr>
        <w:autoSpaceDE w:val="0"/>
        <w:autoSpaceDN w:val="0"/>
        <w:adjustRightInd w:val="0"/>
        <w:spacing w:before="0" w:after="0"/>
        <w:ind w:left="708"/>
        <w:jc w:val="left"/>
        <w:rPr>
          <w:rFonts w:ascii="Times New Roman" w:hAnsi="Times New Roman"/>
          <w:sz w:val="24"/>
        </w:rPr>
      </w:pPr>
      <w:r>
        <w:rPr>
          <w:rFonts w:ascii="Times New Roman" w:hAnsi="Times New Roman"/>
          <w:sz w:val="24"/>
        </w:rPr>
        <w:t>5.2)</w:t>
      </w:r>
      <w:r>
        <w:tab/>
      </w:r>
      <w:r>
        <w:rPr>
          <w:rFonts w:ascii="Times New Roman" w:hAnsi="Times New Roman"/>
          <w:sz w:val="24"/>
        </w:rPr>
        <w:t>Clientèle de détail - Expositions garanties par des biens immobiliers non PME</w:t>
      </w:r>
    </w:p>
    <w:p w:rsidR="001C7AB7" w:rsidRPr="00392FFD" w:rsidRDefault="001C7AB7" w:rsidP="001C7AB7">
      <w:pPr>
        <w:autoSpaceDE w:val="0"/>
        <w:autoSpaceDN w:val="0"/>
        <w:adjustRightInd w:val="0"/>
        <w:spacing w:before="0" w:after="0"/>
        <w:ind w:left="1428"/>
        <w:jc w:val="left"/>
        <w:rPr>
          <w:rFonts w:ascii="Times New Roman" w:hAnsi="Times New Roman"/>
          <w:sz w:val="24"/>
        </w:rPr>
      </w:pPr>
      <w:r>
        <w:rPr>
          <w:rFonts w:ascii="Times New Roman" w:hAnsi="Times New Roman"/>
          <w:sz w:val="24"/>
        </w:rPr>
        <w:t>(Expositions reflétant l'article 147, paragraphe 2, point d), du CRR, qui sont garanties par des biens immobiliers et ne sont pas déclarées au point 5.1)</w:t>
      </w:r>
    </w:p>
    <w:p w:rsidR="001C7AB7" w:rsidRPr="00392FFD" w:rsidRDefault="001C7AB7" w:rsidP="001C7AB7">
      <w:pPr>
        <w:autoSpaceDE w:val="0"/>
        <w:autoSpaceDN w:val="0"/>
        <w:adjustRightInd w:val="0"/>
        <w:spacing w:before="0" w:after="0"/>
        <w:ind w:left="708"/>
        <w:jc w:val="left"/>
        <w:rPr>
          <w:rFonts w:ascii="Times New Roman" w:hAnsi="Times New Roman"/>
          <w:sz w:val="24"/>
        </w:rPr>
      </w:pPr>
      <w:r>
        <w:rPr>
          <w:rFonts w:ascii="Times New Roman" w:hAnsi="Times New Roman"/>
          <w:sz w:val="24"/>
        </w:rPr>
        <w:t>5.3)</w:t>
      </w:r>
      <w:r>
        <w:tab/>
      </w:r>
      <w:r>
        <w:rPr>
          <w:rFonts w:ascii="Times New Roman" w:hAnsi="Times New Roman"/>
          <w:sz w:val="24"/>
        </w:rPr>
        <w:t>Clientèle de détail - Expositions renouvelables éligibles</w:t>
      </w:r>
    </w:p>
    <w:p w:rsidR="001C7AB7" w:rsidRPr="00392FFD" w:rsidRDefault="001C7AB7" w:rsidP="001C7AB7">
      <w:pPr>
        <w:autoSpaceDE w:val="0"/>
        <w:autoSpaceDN w:val="0"/>
        <w:adjustRightInd w:val="0"/>
        <w:spacing w:before="0" w:after="0"/>
        <w:ind w:left="1428"/>
        <w:jc w:val="left"/>
        <w:rPr>
          <w:rFonts w:ascii="Times New Roman" w:hAnsi="Times New Roman"/>
          <w:sz w:val="24"/>
        </w:rPr>
      </w:pPr>
      <w:r>
        <w:rPr>
          <w:rFonts w:ascii="Times New Roman" w:hAnsi="Times New Roman"/>
          <w:sz w:val="24"/>
        </w:rPr>
        <w:t>(Article 147, paragraphe 2, point d), en conjonction avec l’article 154, par</w:t>
      </w:r>
      <w:r>
        <w:rPr>
          <w:rFonts w:ascii="Times New Roman" w:hAnsi="Times New Roman"/>
          <w:sz w:val="24"/>
        </w:rPr>
        <w:t>a</w:t>
      </w:r>
      <w:r>
        <w:rPr>
          <w:rFonts w:ascii="Times New Roman" w:hAnsi="Times New Roman"/>
          <w:sz w:val="24"/>
        </w:rPr>
        <w:t xml:space="preserve">graphe 4, du CRR) </w:t>
      </w:r>
    </w:p>
    <w:p w:rsidR="001C7AB7" w:rsidRPr="00392FFD" w:rsidRDefault="001C7AB7" w:rsidP="001C7AB7">
      <w:pPr>
        <w:autoSpaceDE w:val="0"/>
        <w:autoSpaceDN w:val="0"/>
        <w:adjustRightInd w:val="0"/>
        <w:spacing w:before="0" w:after="0"/>
        <w:ind w:left="708"/>
        <w:jc w:val="left"/>
        <w:rPr>
          <w:rFonts w:ascii="Times New Roman" w:hAnsi="Times New Roman"/>
          <w:sz w:val="24"/>
        </w:rPr>
      </w:pPr>
      <w:r>
        <w:rPr>
          <w:rFonts w:ascii="Times New Roman" w:hAnsi="Times New Roman"/>
          <w:sz w:val="24"/>
        </w:rPr>
        <w:t>5.4)</w:t>
      </w:r>
      <w:r>
        <w:tab/>
      </w:r>
      <w:r>
        <w:rPr>
          <w:rFonts w:ascii="Times New Roman" w:hAnsi="Times New Roman"/>
          <w:sz w:val="24"/>
        </w:rPr>
        <w:t>Clientèle de détail - Autres PME</w:t>
      </w:r>
    </w:p>
    <w:p w:rsidR="001C7AB7" w:rsidRPr="00392FFD" w:rsidRDefault="001C7AB7" w:rsidP="001C7AB7">
      <w:pPr>
        <w:autoSpaceDE w:val="0"/>
        <w:autoSpaceDN w:val="0"/>
        <w:adjustRightInd w:val="0"/>
        <w:spacing w:before="0" w:after="0"/>
        <w:ind w:left="1428"/>
        <w:jc w:val="left"/>
        <w:rPr>
          <w:rFonts w:ascii="Times New Roman" w:hAnsi="Times New Roman"/>
          <w:sz w:val="24"/>
        </w:rPr>
      </w:pPr>
      <w:r>
        <w:rPr>
          <w:rFonts w:ascii="Times New Roman" w:hAnsi="Times New Roman"/>
          <w:sz w:val="24"/>
        </w:rPr>
        <w:t>(Article 147, paragraphe 2, point d), non déclarées aux points 5.1 et 5.3)</w:t>
      </w:r>
    </w:p>
    <w:p w:rsidR="001C7AB7" w:rsidRPr="00392FFD" w:rsidRDefault="00125707" w:rsidP="0023700C">
      <w:pPr>
        <w:pStyle w:val="ListParagraph1"/>
        <w:autoSpaceDE w:val="0"/>
        <w:autoSpaceDN w:val="0"/>
        <w:adjustRightInd w:val="0"/>
        <w:spacing w:before="0" w:after="0"/>
        <w:ind w:left="1428" w:hanging="720"/>
        <w:jc w:val="left"/>
        <w:rPr>
          <w:rFonts w:ascii="Times New Roman" w:hAnsi="Times New Roman"/>
          <w:sz w:val="24"/>
        </w:rPr>
      </w:pPr>
      <w:r>
        <w:rPr>
          <w:rFonts w:ascii="Times New Roman" w:hAnsi="Times New Roman"/>
          <w:sz w:val="24"/>
        </w:rPr>
        <w:t>5.5)</w:t>
      </w:r>
      <w:r>
        <w:tab/>
      </w:r>
      <w:r>
        <w:rPr>
          <w:rFonts w:ascii="Times New Roman" w:hAnsi="Times New Roman"/>
          <w:sz w:val="24"/>
        </w:rPr>
        <w:t>Clientèle de détail - Autres non PME</w:t>
      </w:r>
    </w:p>
    <w:p w:rsidR="001C7AB7" w:rsidRPr="00392FFD" w:rsidRDefault="001C7AB7" w:rsidP="001C7AB7">
      <w:pPr>
        <w:autoSpaceDE w:val="0"/>
        <w:autoSpaceDN w:val="0"/>
        <w:adjustRightInd w:val="0"/>
        <w:spacing w:before="0" w:after="0"/>
        <w:ind w:left="1428"/>
        <w:jc w:val="left"/>
        <w:rPr>
          <w:rFonts w:ascii="Times New Roman" w:hAnsi="Times New Roman"/>
          <w:sz w:val="24"/>
        </w:rPr>
      </w:pPr>
      <w:r>
        <w:rPr>
          <w:rFonts w:ascii="Times New Roman" w:hAnsi="Times New Roman"/>
          <w:sz w:val="24"/>
        </w:rPr>
        <w:t>(Article 147, paragraphe 2, point d), du CRR non déclarées aux points 5.2 et 5.3)</w:t>
      </w:r>
    </w:p>
    <w:p w:rsidR="001C7AB7" w:rsidRPr="00392FFD" w:rsidRDefault="001C7AB7" w:rsidP="001C7AB7">
      <w:pPr>
        <w:autoSpaceDE w:val="0"/>
        <w:autoSpaceDN w:val="0"/>
        <w:adjustRightInd w:val="0"/>
        <w:spacing w:before="0" w:after="240"/>
        <w:jc w:val="left"/>
        <w:rPr>
          <w:rFonts w:ascii="Times New Roman" w:hAnsi="Times New Roman"/>
          <w:sz w:val="24"/>
        </w:rPr>
      </w:pPr>
    </w:p>
    <w:p w:rsidR="00206687" w:rsidRPr="00392FFD" w:rsidRDefault="00125707" w:rsidP="0023700C">
      <w:pPr>
        <w:pStyle w:val="Instructionsberschrift2"/>
        <w:numPr>
          <w:ilvl w:val="0"/>
          <w:numId w:val="0"/>
        </w:numPr>
        <w:ind w:left="357" w:hanging="357"/>
        <w:rPr>
          <w:rFonts w:ascii="Times New Roman" w:hAnsi="Times New Roman" w:cs="Times New Roman"/>
          <w:sz w:val="24"/>
        </w:rPr>
      </w:pPr>
      <w:bookmarkStart w:id="230" w:name="_Toc473560909"/>
      <w:bookmarkStart w:id="231" w:name="_Toc239157380"/>
      <w:bookmarkStart w:id="232" w:name="_Toc262568038"/>
      <w:bookmarkStart w:id="233" w:name="_Toc264038436"/>
      <w:bookmarkStart w:id="234" w:name="_Toc295829866"/>
      <w:bookmarkStart w:id="235" w:name="_Toc308155143"/>
      <w:bookmarkStart w:id="236" w:name="_Toc310415030"/>
      <w:bookmarkStart w:id="237" w:name="_Toc360188360"/>
      <w:bookmarkStart w:id="238" w:name="_Toc496022304"/>
      <w:r>
        <w:rPr>
          <w:rFonts w:ascii="Times New Roman" w:hAnsi="Times New Roman"/>
          <w:sz w:val="24"/>
          <w:u w:val="none"/>
        </w:rPr>
        <w:lastRenderedPageBreak/>
        <w:t>3.3.3.</w:t>
      </w:r>
      <w:r>
        <w:tab/>
      </w:r>
      <w:r>
        <w:rPr>
          <w:rFonts w:ascii="Times New Roman" w:hAnsi="Times New Roman"/>
          <w:sz w:val="24"/>
        </w:rPr>
        <w:t>C 08.01 - Risques de crédit et de crédit de contrepartie et positions de négociation non dénouées: approche NI des exigences de fonds propres (CR IRB 1)</w:t>
      </w:r>
      <w:bookmarkEnd w:id="230"/>
      <w:bookmarkEnd w:id="238"/>
    </w:p>
    <w:p w:rsidR="001C7AB7" w:rsidRPr="00392FFD" w:rsidRDefault="00125707" w:rsidP="0023700C">
      <w:pPr>
        <w:pStyle w:val="Instructionsberschrift2"/>
        <w:numPr>
          <w:ilvl w:val="0"/>
          <w:numId w:val="0"/>
        </w:numPr>
        <w:ind w:left="709" w:hanging="720"/>
        <w:rPr>
          <w:rFonts w:ascii="Times New Roman" w:hAnsi="Times New Roman" w:cs="Times New Roman"/>
          <w:sz w:val="24"/>
        </w:rPr>
      </w:pPr>
      <w:bookmarkStart w:id="239" w:name="_Toc473560910"/>
      <w:bookmarkStart w:id="240" w:name="_Toc496022305"/>
      <w:r>
        <w:rPr>
          <w:rFonts w:ascii="Times New Roman" w:hAnsi="Times New Roman"/>
          <w:sz w:val="24"/>
          <w:u w:val="none"/>
        </w:rPr>
        <w:t>3.3.3.1</w:t>
      </w:r>
      <w:r>
        <w:tab/>
      </w:r>
      <w:r>
        <w:rPr>
          <w:rFonts w:ascii="Times New Roman" w:hAnsi="Times New Roman"/>
          <w:sz w:val="24"/>
        </w:rPr>
        <w:t>Instructions concernant certaines positions</w:t>
      </w:r>
      <w:bookmarkEnd w:id="231"/>
      <w:bookmarkEnd w:id="232"/>
      <w:bookmarkEnd w:id="233"/>
      <w:bookmarkEnd w:id="234"/>
      <w:bookmarkEnd w:id="235"/>
      <w:bookmarkEnd w:id="236"/>
      <w:bookmarkEnd w:id="237"/>
      <w:bookmarkEnd w:id="239"/>
      <w:bookmarkEnd w:id="240"/>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8843"/>
      </w:tblGrid>
      <w:tr w:rsidR="001C7AB7" w:rsidRPr="00392FFD" w:rsidTr="00692B10">
        <w:tc>
          <w:tcPr>
            <w:tcW w:w="1188" w:type="dxa"/>
            <w:shd w:val="clear" w:color="auto" w:fill="CCCCCC"/>
          </w:tcPr>
          <w:p w:rsidR="001C7AB7" w:rsidRPr="00392FFD" w:rsidRDefault="001C7AB7" w:rsidP="001C7AB7">
            <w:pPr>
              <w:rPr>
                <w:rFonts w:ascii="Times New Roman" w:hAnsi="Times New Roman"/>
                <w:sz w:val="24"/>
              </w:rPr>
            </w:pPr>
            <w:r>
              <w:rPr>
                <w:rFonts w:ascii="Times New Roman" w:hAnsi="Times New Roman"/>
                <w:sz w:val="24"/>
              </w:rPr>
              <w:t>Colonnes</w:t>
            </w:r>
          </w:p>
        </w:tc>
        <w:tc>
          <w:tcPr>
            <w:tcW w:w="8843" w:type="dxa"/>
            <w:shd w:val="clear" w:color="auto" w:fill="CCCCCC"/>
          </w:tcPr>
          <w:p w:rsidR="001C7AB7" w:rsidRPr="00392FFD" w:rsidRDefault="001C7AB7" w:rsidP="001C7AB7">
            <w:pPr>
              <w:rPr>
                <w:rFonts w:ascii="Times New Roman" w:hAnsi="Times New Roman"/>
                <w:sz w:val="24"/>
              </w:rPr>
            </w:pPr>
            <w:r>
              <w:rPr>
                <w:rFonts w:ascii="Times New Roman" w:hAnsi="Times New Roman"/>
                <w:sz w:val="24"/>
              </w:rPr>
              <w:t>Instructions</w:t>
            </w: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t>010</w:t>
            </w:r>
          </w:p>
        </w:tc>
        <w:tc>
          <w:tcPr>
            <w:tcW w:w="8843" w:type="dxa"/>
          </w:tcPr>
          <w:p w:rsidR="001C7AB7" w:rsidRPr="00392FFD" w:rsidRDefault="001C7AB7" w:rsidP="001C7AB7">
            <w:pPr>
              <w:rPr>
                <w:rStyle w:val="InstructionsTabelleberschrift"/>
                <w:rFonts w:ascii="Times New Roman" w:hAnsi="Times New Roman"/>
                <w:sz w:val="24"/>
              </w:rPr>
            </w:pPr>
            <w:r>
              <w:rPr>
                <w:rStyle w:val="InstructionsTabelleberschrift"/>
                <w:rFonts w:ascii="Times New Roman" w:hAnsi="Times New Roman"/>
                <w:sz w:val="24"/>
              </w:rPr>
              <w:t>SYSTÈME DE NOTATION INTERNE/PROBABILITÉ DE DÉFAUT (PD) A</w:t>
            </w:r>
            <w:r>
              <w:rPr>
                <w:rStyle w:val="InstructionsTabelleberschrift"/>
                <w:rFonts w:ascii="Times New Roman" w:hAnsi="Times New Roman"/>
                <w:sz w:val="24"/>
              </w:rPr>
              <w:t>F</w:t>
            </w:r>
            <w:r>
              <w:rPr>
                <w:rStyle w:val="InstructionsTabelleberschrift"/>
                <w:rFonts w:ascii="Times New Roman" w:hAnsi="Times New Roman"/>
                <w:sz w:val="24"/>
              </w:rPr>
              <w:t>FECTÉE PAR ÉCHELON OU CATÉGORIE DE DÉBITEURS (%)</w:t>
            </w:r>
          </w:p>
          <w:p w:rsidR="001C7AB7" w:rsidRPr="00392FFD" w:rsidRDefault="001C7AB7" w:rsidP="001C7AB7">
            <w:pPr>
              <w:rPr>
                <w:rFonts w:ascii="Times New Roman" w:hAnsi="Times New Roman"/>
                <w:sz w:val="24"/>
              </w:rPr>
            </w:pPr>
            <w:r>
              <w:rPr>
                <w:rStyle w:val="InstructionsTabelleText"/>
                <w:rFonts w:ascii="Times New Roman" w:hAnsi="Times New Roman"/>
                <w:sz w:val="24"/>
              </w:rPr>
              <w:t>Les probabilités de défaut (PD) attribuées aux échelons ou aux catégories de débiteurs à déclarer seront basées sur les dispositions énoncées à l’article 180 du CRR. Pour chaque échelon ou catégorie, les PD qui leur sont spécifiquement attribuées seront déclarées. En ce qui concerne les chiffres correspondant à un ensemble d’échelons ou de catégories de débiteurs (par ex. le montant total des expositions), le montant moyen, pondéré en fon</w:t>
            </w:r>
            <w:r>
              <w:rPr>
                <w:rStyle w:val="InstructionsTabelleText"/>
                <w:rFonts w:ascii="Times New Roman" w:hAnsi="Times New Roman"/>
                <w:sz w:val="24"/>
              </w:rPr>
              <w:t>c</w:t>
            </w:r>
            <w:r>
              <w:rPr>
                <w:rStyle w:val="InstructionsTabelleText"/>
                <w:rFonts w:ascii="Times New Roman" w:hAnsi="Times New Roman"/>
                <w:sz w:val="24"/>
              </w:rPr>
              <w:t>tion de l’exposition, des PD attribuées aux échelons ou aux catégories de débiteurs inclus dans cet ensemble sera fourni. La valeur exposée au risque (colonne 110) sera utilisée pour le calcul du montant pondéré moyen des PD</w:t>
            </w:r>
            <w:r>
              <w:rPr>
                <w:rFonts w:ascii="Times New Roman" w:hAnsi="Times New Roman"/>
                <w:sz w:val="24"/>
              </w:rPr>
              <w:t>.</w:t>
            </w:r>
          </w:p>
          <w:p w:rsidR="001C7AB7" w:rsidRPr="00392FFD" w:rsidRDefault="001C7AB7" w:rsidP="001C7AB7">
            <w:pPr>
              <w:rPr>
                <w:rStyle w:val="InstructionsTabelleText"/>
                <w:rFonts w:ascii="Times New Roman" w:hAnsi="Times New Roman"/>
                <w:sz w:val="24"/>
              </w:rPr>
            </w:pPr>
            <w:r>
              <w:rPr>
                <w:rStyle w:val="InstructionsTabelleText"/>
                <w:rFonts w:ascii="Times New Roman" w:hAnsi="Times New Roman"/>
                <w:sz w:val="24"/>
              </w:rPr>
              <w:t>Pour chaque échelon ou catégorie, les PD qui leur sont spécifiquement attribuées seront déclarées. Tous les paramètres de risque déclarés seront tirés des paramètres de risque utilisés dans le système de notations internes approuvé par les autorités compétentes re</w:t>
            </w:r>
            <w:r>
              <w:rPr>
                <w:rStyle w:val="InstructionsTabelleText"/>
                <w:rFonts w:ascii="Times New Roman" w:hAnsi="Times New Roman"/>
                <w:sz w:val="24"/>
              </w:rPr>
              <w:t>s</w:t>
            </w:r>
            <w:r>
              <w:rPr>
                <w:rStyle w:val="InstructionsTabelleText"/>
                <w:rFonts w:ascii="Times New Roman" w:hAnsi="Times New Roman"/>
                <w:sz w:val="24"/>
              </w:rPr>
              <w:t>pectives.</w:t>
            </w:r>
          </w:p>
          <w:p w:rsidR="001C7AB7" w:rsidRPr="00392FFD" w:rsidRDefault="001C7AB7" w:rsidP="001C7AB7">
            <w:pPr>
              <w:rPr>
                <w:rStyle w:val="InstructionsTabelleText"/>
                <w:rFonts w:ascii="Times New Roman" w:hAnsi="Times New Roman"/>
                <w:sz w:val="24"/>
              </w:rPr>
            </w:pPr>
            <w:r>
              <w:rPr>
                <w:rStyle w:val="InstructionsTabelleText"/>
                <w:rFonts w:ascii="Times New Roman" w:hAnsi="Times New Roman"/>
                <w:sz w:val="24"/>
              </w:rPr>
              <w:t xml:space="preserve">Il n’est ni envisagé ni souhaitable de disposer d’une échelle règlementaire. Lorsque l’établissement déclarant applique un système de notation unique ou peut procéder à une déclaration selon une échelle interne, on optera pour cette échelle. </w:t>
            </w:r>
          </w:p>
          <w:p w:rsidR="001C7AB7" w:rsidRPr="00392FFD" w:rsidRDefault="001C7AB7" w:rsidP="001C7AB7">
            <w:pPr>
              <w:rPr>
                <w:rStyle w:val="InstructionsTabelleText"/>
                <w:rFonts w:ascii="Times New Roman" w:hAnsi="Times New Roman"/>
                <w:sz w:val="24"/>
              </w:rPr>
            </w:pPr>
            <w:r>
              <w:rPr>
                <w:rStyle w:val="InstructionsTabelleText"/>
                <w:rFonts w:ascii="Times New Roman" w:hAnsi="Times New Roman"/>
                <w:sz w:val="24"/>
              </w:rPr>
              <w:t>Sinon, on fusionnera les divers systèmes de notation, lesquels seront classés selon les cr</w:t>
            </w:r>
            <w:r>
              <w:rPr>
                <w:rStyle w:val="InstructionsTabelleText"/>
                <w:rFonts w:ascii="Times New Roman" w:hAnsi="Times New Roman"/>
                <w:sz w:val="24"/>
              </w:rPr>
              <w:t>i</w:t>
            </w:r>
            <w:r>
              <w:rPr>
                <w:rStyle w:val="InstructionsTabelleText"/>
                <w:rFonts w:ascii="Times New Roman" w:hAnsi="Times New Roman"/>
                <w:sz w:val="24"/>
              </w:rPr>
              <w:t>tères suivants: Les échelons de débiteurs de ces divers systèmes de notation seront gro</w:t>
            </w:r>
            <w:r>
              <w:rPr>
                <w:rStyle w:val="InstructionsTabelleText"/>
                <w:rFonts w:ascii="Times New Roman" w:hAnsi="Times New Roman"/>
                <w:sz w:val="24"/>
              </w:rPr>
              <w:t>u</w:t>
            </w:r>
            <w:r>
              <w:rPr>
                <w:rStyle w:val="InstructionsTabelleText"/>
                <w:rFonts w:ascii="Times New Roman" w:hAnsi="Times New Roman"/>
                <w:sz w:val="24"/>
              </w:rPr>
              <w:t>pés et classés de la plus petite PD attribuée à chaque débiteur à la plus grande. Lorsque l'établissement recourt à un grand nombre d'échelons ou de catégories, il sera possible de convenir avec les autorités compétentes d'un nombre réduit d'échelons ou de catégories à déclarer.</w:t>
            </w:r>
          </w:p>
          <w:p w:rsidR="001C7AB7" w:rsidRPr="00392FFD" w:rsidRDefault="001C7AB7" w:rsidP="001C7AB7">
            <w:pPr>
              <w:rPr>
                <w:rStyle w:val="InstructionsTabelleText"/>
                <w:rFonts w:ascii="Times New Roman" w:hAnsi="Times New Roman"/>
                <w:sz w:val="24"/>
              </w:rPr>
            </w:pPr>
            <w:r>
              <w:rPr>
                <w:rStyle w:val="InstructionsTabelleText"/>
                <w:rFonts w:ascii="Times New Roman" w:hAnsi="Times New Roman"/>
                <w:sz w:val="24"/>
              </w:rPr>
              <w:t>Les établissements contacteront au préalable leurs autorités compétentes s’ils souhaitent déclarer un autre nombre d’échelons que celui utilisé en interne.</w:t>
            </w:r>
          </w:p>
          <w:p w:rsidR="001C7AB7" w:rsidRPr="00392FFD" w:rsidRDefault="001C7AB7" w:rsidP="001C7AB7">
            <w:pPr>
              <w:rPr>
                <w:rStyle w:val="InstructionsTabelleText"/>
                <w:rFonts w:ascii="Times New Roman" w:hAnsi="Times New Roman"/>
                <w:sz w:val="24"/>
              </w:rPr>
            </w:pPr>
            <w:r>
              <w:rPr>
                <w:rStyle w:val="InstructionsTabelleText"/>
                <w:rFonts w:ascii="Times New Roman" w:hAnsi="Times New Roman"/>
                <w:sz w:val="24"/>
              </w:rPr>
              <w:t>Aux fins de la pondération de la PD moyenne, on utilisera la valeur exposée au risque f</w:t>
            </w:r>
            <w:r>
              <w:rPr>
                <w:rStyle w:val="InstructionsTabelleText"/>
                <w:rFonts w:ascii="Times New Roman" w:hAnsi="Times New Roman"/>
                <w:sz w:val="24"/>
              </w:rPr>
              <w:t>i</w:t>
            </w:r>
            <w:r>
              <w:rPr>
                <w:rStyle w:val="InstructionsTabelleText"/>
                <w:rFonts w:ascii="Times New Roman" w:hAnsi="Times New Roman"/>
                <w:sz w:val="24"/>
              </w:rPr>
              <w:t>gurant dans la colonne 110. Toutes les expositions, y compris celles en défaut, doivent être prises en compte pour le calcul du montant moyen, pondéré en fonction de l’exposition, des PD (par ex. pour le «montant total d’exposition»). Les expositions en défaut sont celles classées dans l’échelon le plus bas, avec une PD de 100 %.</w:t>
            </w:r>
          </w:p>
          <w:p w:rsidR="001C7AB7" w:rsidRPr="00392FFD" w:rsidRDefault="001C7AB7" w:rsidP="001C7AB7">
            <w:pPr>
              <w:rPr>
                <w:rFonts w:ascii="Times New Roman" w:hAnsi="Times New Roman"/>
                <w:sz w:val="24"/>
              </w:rPr>
            </w:pP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t>020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EXPOSITION INITIALE AVANT APPLICATION DES FACTEURS DE CO</w:t>
            </w:r>
            <w:r>
              <w:rPr>
                <w:rFonts w:ascii="Times New Roman" w:hAnsi="Times New Roman"/>
                <w:b/>
                <w:sz w:val="24"/>
                <w:u w:val="single"/>
              </w:rPr>
              <w:t>N</w:t>
            </w:r>
            <w:r>
              <w:rPr>
                <w:rFonts w:ascii="Times New Roman" w:hAnsi="Times New Roman"/>
                <w:b/>
                <w:sz w:val="24"/>
                <w:u w:val="single"/>
              </w:rPr>
              <w:t>VERSION</w:t>
            </w:r>
          </w:p>
          <w:p w:rsidR="001C7AB7" w:rsidRPr="00392FFD" w:rsidRDefault="001C7AB7" w:rsidP="001C7AB7">
            <w:pPr>
              <w:rPr>
                <w:rFonts w:ascii="Times New Roman" w:hAnsi="Times New Roman"/>
                <w:sz w:val="24"/>
              </w:rPr>
            </w:pPr>
            <w:r>
              <w:rPr>
                <w:rFonts w:ascii="Times New Roman" w:hAnsi="Times New Roman"/>
                <w:sz w:val="24"/>
              </w:rPr>
              <w:t xml:space="preserve">Les établissements déclarent la valeur exposée au risque compte non tenu des corrections de valeur, des provisions, des effets dus aux techniques d’atténuation du risque de crédit ou des facteurs de conversion de crédit. </w:t>
            </w:r>
          </w:p>
          <w:p w:rsidR="001C7AB7" w:rsidRPr="00392FFD" w:rsidRDefault="001C7AB7" w:rsidP="001C7AB7">
            <w:pPr>
              <w:rPr>
                <w:rFonts w:ascii="Times New Roman" w:hAnsi="Times New Roman"/>
                <w:sz w:val="24"/>
              </w:rPr>
            </w:pPr>
            <w:r>
              <w:rPr>
                <w:rFonts w:ascii="Times New Roman" w:hAnsi="Times New Roman"/>
                <w:sz w:val="24"/>
              </w:rPr>
              <w:t>La valeur initiale exposée au risque sera déclarée conformément à l’article 24 du CRR et à l’article 166, paragraphes 1 et 2 et 4 à 7, du CRR.</w:t>
            </w:r>
          </w:p>
          <w:p w:rsidR="001C7AB7" w:rsidRPr="00392FFD" w:rsidRDefault="001C7AB7" w:rsidP="001C7AB7">
            <w:pPr>
              <w:rPr>
                <w:rFonts w:ascii="Times New Roman" w:hAnsi="Times New Roman"/>
                <w:sz w:val="24"/>
              </w:rPr>
            </w:pPr>
            <w:r>
              <w:rPr>
                <w:rFonts w:ascii="Times New Roman" w:hAnsi="Times New Roman"/>
                <w:sz w:val="24"/>
              </w:rPr>
              <w:lastRenderedPageBreak/>
              <w:t>L’effet résultant des dispositions de l’article 166, paragraphe 3, du CRR (effet de la co</w:t>
            </w:r>
            <w:r>
              <w:rPr>
                <w:rFonts w:ascii="Times New Roman" w:hAnsi="Times New Roman"/>
                <w:sz w:val="24"/>
              </w:rPr>
              <w:t>m</w:t>
            </w:r>
            <w:r>
              <w:rPr>
                <w:rFonts w:ascii="Times New Roman" w:hAnsi="Times New Roman"/>
                <w:sz w:val="24"/>
              </w:rPr>
              <w:t xml:space="preserve">pensation au bilan des prêts et des dépôts) est déclaré séparément, en tant que protection de crédit financée, et ne réduira donc pas l’exposition initiale. </w:t>
            </w:r>
          </w:p>
          <w:p w:rsidR="001C7AB7" w:rsidRPr="00392FFD" w:rsidRDefault="001C7AB7" w:rsidP="001C7AB7">
            <w:pPr>
              <w:rPr>
                <w:rFonts w:ascii="Times New Roman" w:hAnsi="Times New Roman"/>
                <w:sz w:val="24"/>
              </w:rPr>
            </w:pP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lastRenderedPageBreak/>
              <w:t>030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DONT: ENTITÉS DU SECTEUR FINANCIER DE GRANDE TAILLE ET ENT</w:t>
            </w:r>
            <w:r>
              <w:rPr>
                <w:rFonts w:ascii="Times New Roman" w:hAnsi="Times New Roman"/>
                <w:b/>
                <w:sz w:val="24"/>
                <w:u w:val="single"/>
              </w:rPr>
              <w:t>I</w:t>
            </w:r>
            <w:r>
              <w:rPr>
                <w:rFonts w:ascii="Times New Roman" w:hAnsi="Times New Roman"/>
                <w:b/>
                <w:sz w:val="24"/>
                <w:u w:val="single"/>
              </w:rPr>
              <w:t>TÉS DU SECTEUR FINANCIER NON RÉGLEMENTÉES</w:t>
            </w:r>
          </w:p>
          <w:p w:rsidR="001C7AB7" w:rsidRPr="00392FFD" w:rsidRDefault="001C7AB7" w:rsidP="001C7AB7">
            <w:pPr>
              <w:rPr>
                <w:rFonts w:ascii="Times New Roman" w:hAnsi="Times New Roman"/>
                <w:b/>
                <w:sz w:val="24"/>
                <w:u w:val="single"/>
              </w:rPr>
            </w:pPr>
            <w:r>
              <w:rPr>
                <w:rFonts w:ascii="Times New Roman" w:hAnsi="Times New Roman"/>
                <w:sz w:val="24"/>
              </w:rPr>
              <w:t>Ventilation de l’exposition initiale avant application des facteurs de conversion pour toutes les expositions définies selon l’article 142, paragraphes 4 et 5, du CRR, soumises à une corrélation plus forte, conformément à l’article 153, paragraphe 2, du CRR.</w:t>
            </w:r>
          </w:p>
        </w:tc>
      </w:tr>
      <w:tr w:rsidR="001C7AB7" w:rsidRPr="00392FFD" w:rsidTr="00692B10">
        <w:tc>
          <w:tcPr>
            <w:tcW w:w="1188" w:type="dxa"/>
          </w:tcPr>
          <w:p w:rsidR="001C7AB7" w:rsidRPr="00392FFD" w:rsidRDefault="001C7AB7" w:rsidP="004F2B30">
            <w:pPr>
              <w:rPr>
                <w:rFonts w:ascii="Times New Roman" w:hAnsi="Times New Roman"/>
                <w:sz w:val="24"/>
              </w:rPr>
            </w:pPr>
            <w:r>
              <w:rPr>
                <w:rFonts w:ascii="Times New Roman" w:hAnsi="Times New Roman"/>
                <w:sz w:val="24"/>
              </w:rPr>
              <w:t>040-080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TECHNIQUES D'ATTÉNUATION DU RISQUE DE CRÉDIT (ARC) AVEC E</w:t>
            </w:r>
            <w:r>
              <w:rPr>
                <w:rFonts w:ascii="Times New Roman" w:hAnsi="Times New Roman"/>
                <w:b/>
                <w:sz w:val="24"/>
                <w:u w:val="single"/>
              </w:rPr>
              <w:t>F</w:t>
            </w:r>
            <w:r>
              <w:rPr>
                <w:rFonts w:ascii="Times New Roman" w:hAnsi="Times New Roman"/>
                <w:b/>
                <w:sz w:val="24"/>
                <w:u w:val="single"/>
              </w:rPr>
              <w:t>FETS DE SUBSTITUTION SUR L'EXPOSITION</w:t>
            </w:r>
          </w:p>
          <w:p w:rsidR="001C7AB7" w:rsidRPr="00392FFD" w:rsidRDefault="001C7AB7" w:rsidP="001C7AB7">
            <w:pPr>
              <w:rPr>
                <w:rFonts w:ascii="Times New Roman" w:hAnsi="Times New Roman"/>
                <w:sz w:val="24"/>
              </w:rPr>
            </w:pPr>
            <w:r>
              <w:rPr>
                <w:rFonts w:ascii="Times New Roman" w:hAnsi="Times New Roman"/>
                <w:sz w:val="24"/>
              </w:rPr>
              <w:t>Techniques d'atténuation du risque de crédit, définies à l'article 4, point 57, du CRR, qui permettent de réduire le risque de crédit d'une ou plusieurs expositions par le biais de la substitution d'expositions telle que définie ci-après, au point intitulé «SUBSTITUTION DE L'EXPOSITION DUE À L'ARC».</w:t>
            </w:r>
          </w:p>
          <w:p w:rsidR="001C7AB7" w:rsidRPr="00392FFD" w:rsidRDefault="001C7AB7" w:rsidP="001C7AB7">
            <w:pPr>
              <w:autoSpaceDE w:val="0"/>
              <w:autoSpaceDN w:val="0"/>
              <w:adjustRightInd w:val="0"/>
              <w:spacing w:before="0" w:after="0"/>
              <w:jc w:val="left"/>
              <w:rPr>
                <w:rFonts w:ascii="Times New Roman" w:hAnsi="Times New Roman"/>
                <w:sz w:val="24"/>
              </w:rPr>
            </w:pPr>
          </w:p>
        </w:tc>
      </w:tr>
      <w:tr w:rsidR="001C7AB7" w:rsidRPr="00392FFD" w:rsidTr="00692B10">
        <w:tc>
          <w:tcPr>
            <w:tcW w:w="1188" w:type="dxa"/>
          </w:tcPr>
          <w:p w:rsidR="001C7AB7" w:rsidRPr="00392FFD" w:rsidRDefault="001C7AB7" w:rsidP="004F2B30">
            <w:pPr>
              <w:rPr>
                <w:rFonts w:ascii="Times New Roman" w:hAnsi="Times New Roman"/>
                <w:sz w:val="24"/>
              </w:rPr>
            </w:pPr>
            <w:r>
              <w:rPr>
                <w:rFonts w:ascii="Times New Roman" w:hAnsi="Times New Roman"/>
                <w:sz w:val="24"/>
              </w:rPr>
              <w:t>040-050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PROTECTION DE CRÉDIT NON FINANCÉE</w:t>
            </w:r>
          </w:p>
          <w:p w:rsidR="001C7AB7" w:rsidRPr="00392FFD" w:rsidRDefault="001C7AB7" w:rsidP="001C7AB7">
            <w:pPr>
              <w:rPr>
                <w:rStyle w:val="InstructionsTabelleText"/>
                <w:rFonts w:ascii="Times New Roman" w:hAnsi="Times New Roman"/>
                <w:sz w:val="24"/>
              </w:rPr>
            </w:pPr>
            <w:r>
              <w:rPr>
                <w:rStyle w:val="InstructionsTabelleText"/>
                <w:rFonts w:ascii="Times New Roman" w:hAnsi="Times New Roman"/>
                <w:sz w:val="24"/>
              </w:rPr>
              <w:t>Protection de crédit non financée: Valeurs telles que définies à l'article 4, point 59, du CRR.</w:t>
            </w:r>
          </w:p>
          <w:p w:rsidR="001C7AB7" w:rsidRPr="00392FFD" w:rsidRDefault="001C7AB7" w:rsidP="001C7AB7">
            <w:pPr>
              <w:rPr>
                <w:rFonts w:ascii="Times New Roman" w:hAnsi="Times New Roman"/>
                <w:sz w:val="24"/>
              </w:rPr>
            </w:pPr>
            <w:r>
              <w:rPr>
                <w:rFonts w:ascii="Times New Roman" w:hAnsi="Times New Roman"/>
                <w:sz w:val="24"/>
              </w:rPr>
              <w:t>Lorsqu’une sûreté exerce une influence sur l’exposition (par ex. lorsqu’elle est utilisée dans le cadre de techniques d’atténuation du risque de crédit avec effets de substitution sur l’exposition), elle sera plafonnée à la valeur exposée au risque.</w:t>
            </w: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t>040</w:t>
            </w:r>
          </w:p>
        </w:tc>
        <w:tc>
          <w:tcPr>
            <w:tcW w:w="8843" w:type="dxa"/>
          </w:tcPr>
          <w:p w:rsidR="001C7AB7" w:rsidRPr="00392FFD" w:rsidRDefault="001C7AB7" w:rsidP="001C7AB7">
            <w:pPr>
              <w:jc w:val="left"/>
              <w:rPr>
                <w:rStyle w:val="InstructionsTabelleberschrift"/>
                <w:rFonts w:ascii="Times New Roman" w:hAnsi="Times New Roman"/>
                <w:sz w:val="24"/>
              </w:rPr>
            </w:pPr>
            <w:r>
              <w:rPr>
                <w:rStyle w:val="InstructionsTabelleberschrift"/>
                <w:rFonts w:ascii="Times New Roman" w:hAnsi="Times New Roman"/>
                <w:sz w:val="24"/>
              </w:rPr>
              <w:t>GARANTIES:</w:t>
            </w:r>
          </w:p>
          <w:p w:rsidR="001C7AB7" w:rsidRPr="00392FFD" w:rsidRDefault="001C7AB7" w:rsidP="001C7AB7">
            <w:pPr>
              <w:jc w:val="left"/>
              <w:rPr>
                <w:rFonts w:ascii="Times New Roman" w:hAnsi="Times New Roman"/>
                <w:sz w:val="24"/>
              </w:rPr>
            </w:pPr>
            <w:r>
              <w:rPr>
                <w:rFonts w:ascii="Times New Roman" w:hAnsi="Times New Roman"/>
                <w:sz w:val="24"/>
              </w:rPr>
              <w:t>Lorsqu’il n’est pas fait usage des propres estimations de LGD, la valeur corrigée (Ga) telle que définie à l’article 236 du CRR sera fournie.</w:t>
            </w:r>
          </w:p>
          <w:p w:rsidR="001C7AB7" w:rsidRPr="00392FFD" w:rsidRDefault="001C7AB7" w:rsidP="001C7AB7">
            <w:pPr>
              <w:jc w:val="left"/>
              <w:rPr>
                <w:rFonts w:ascii="Times New Roman" w:hAnsi="Times New Roman"/>
                <w:sz w:val="24"/>
              </w:rPr>
            </w:pPr>
            <w:r>
              <w:rPr>
                <w:rFonts w:ascii="Times New Roman" w:hAnsi="Times New Roman"/>
                <w:sz w:val="24"/>
              </w:rPr>
              <w:t>Lorsqu’il est fait usage des propres estimations de LGD (article 183 du CRR, à l’exception du paragraphe 3), la valeur pertinente utilisée dans le modèle interne sera d</w:t>
            </w:r>
            <w:r>
              <w:rPr>
                <w:rFonts w:ascii="Times New Roman" w:hAnsi="Times New Roman"/>
                <w:sz w:val="24"/>
              </w:rPr>
              <w:t>é</w:t>
            </w:r>
            <w:r>
              <w:rPr>
                <w:rFonts w:ascii="Times New Roman" w:hAnsi="Times New Roman"/>
                <w:sz w:val="24"/>
              </w:rPr>
              <w:t xml:space="preserve">clarée. </w:t>
            </w:r>
          </w:p>
          <w:p w:rsidR="001C7AB7" w:rsidRPr="00392FFD" w:rsidRDefault="001C7AB7" w:rsidP="001C7AB7">
            <w:pPr>
              <w:jc w:val="left"/>
              <w:rPr>
                <w:rFonts w:ascii="Times New Roman" w:hAnsi="Times New Roman"/>
                <w:sz w:val="24"/>
              </w:rPr>
            </w:pPr>
            <w:r>
              <w:rPr>
                <w:rFonts w:ascii="Times New Roman" w:hAnsi="Times New Roman"/>
                <w:sz w:val="24"/>
              </w:rPr>
              <w:t>Les garanties seront déclarées dans la colonne 040 lorsque aucune correction n’est appo</w:t>
            </w:r>
            <w:r>
              <w:rPr>
                <w:rFonts w:ascii="Times New Roman" w:hAnsi="Times New Roman"/>
                <w:sz w:val="24"/>
              </w:rPr>
              <w:t>r</w:t>
            </w:r>
            <w:r>
              <w:rPr>
                <w:rFonts w:ascii="Times New Roman" w:hAnsi="Times New Roman"/>
                <w:sz w:val="24"/>
              </w:rPr>
              <w:t>tée aux LGD. Si des corrections sont apportées aux LGD, le montant de la garantie sera déclaré dans la colonne 150.</w:t>
            </w:r>
          </w:p>
          <w:p w:rsidR="00785F3E" w:rsidRPr="00392FFD" w:rsidRDefault="00785F3E" w:rsidP="001C7AB7">
            <w:pPr>
              <w:jc w:val="left"/>
              <w:rPr>
                <w:rFonts w:ascii="Times New Roman" w:hAnsi="Times New Roman"/>
                <w:sz w:val="24"/>
              </w:rPr>
            </w:pPr>
            <w:r>
              <w:rPr>
                <w:rFonts w:ascii="Times New Roman" w:hAnsi="Times New Roman"/>
                <w:sz w:val="24"/>
              </w:rPr>
              <w:t>En ce qui concerne les expositions soumises à un traitement de double défaut, la valeur de la protection de crédit non financée est déclarée dans la colonne 220.</w:t>
            </w:r>
          </w:p>
          <w:p w:rsidR="001C7AB7" w:rsidRPr="00392FFD" w:rsidRDefault="001C7AB7" w:rsidP="001C7AB7">
            <w:pPr>
              <w:jc w:val="left"/>
              <w:rPr>
                <w:rFonts w:ascii="Times New Roman" w:hAnsi="Times New Roman"/>
                <w:sz w:val="24"/>
              </w:rPr>
            </w:pP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t>050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DÉRIVÉS DE CRÉDIT</w:t>
            </w:r>
          </w:p>
          <w:p w:rsidR="001C7AB7" w:rsidRPr="00392FFD" w:rsidRDefault="001C7AB7" w:rsidP="001C7AB7">
            <w:pPr>
              <w:rPr>
                <w:rFonts w:ascii="Times New Roman" w:hAnsi="Times New Roman"/>
                <w:sz w:val="24"/>
              </w:rPr>
            </w:pPr>
            <w:r>
              <w:rPr>
                <w:rFonts w:ascii="Times New Roman" w:hAnsi="Times New Roman"/>
                <w:sz w:val="24"/>
              </w:rPr>
              <w:t>Lorsqu’il n’est pas fait usage des propres estimations de LGD, la valeur corrigée (Ga) telle que définie à l’article 216 du CRR sera fournie.</w:t>
            </w:r>
          </w:p>
          <w:p w:rsidR="00785F3E" w:rsidRPr="00392FFD" w:rsidRDefault="00785F3E" w:rsidP="001C7AB7">
            <w:pPr>
              <w:rPr>
                <w:rFonts w:ascii="Times New Roman" w:hAnsi="Times New Roman"/>
                <w:sz w:val="24"/>
              </w:rPr>
            </w:pPr>
            <w:r>
              <w:rPr>
                <w:rFonts w:ascii="Times New Roman" w:hAnsi="Times New Roman"/>
                <w:sz w:val="24"/>
              </w:rPr>
              <w:t>Lorsqu’il est fait usage des propres estimations de LGD (article 183 du CRR), la valeur pertinente utilisée pour la modélisation interne sera déclarée.</w:t>
            </w:r>
          </w:p>
          <w:p w:rsidR="001C7AB7" w:rsidRPr="00392FFD" w:rsidRDefault="001C7AB7" w:rsidP="001C7AB7">
            <w:pPr>
              <w:rPr>
                <w:rFonts w:ascii="Times New Roman" w:hAnsi="Times New Roman"/>
                <w:sz w:val="24"/>
              </w:rPr>
            </w:pPr>
            <w:r>
              <w:rPr>
                <w:rFonts w:ascii="Times New Roman" w:hAnsi="Times New Roman"/>
                <w:sz w:val="24"/>
              </w:rPr>
              <w:t xml:space="preserve">Si des corrections sont apportées aux LGD, le montant des dérivés de crédit sera déclaré </w:t>
            </w:r>
            <w:r>
              <w:rPr>
                <w:rFonts w:ascii="Times New Roman" w:hAnsi="Times New Roman"/>
                <w:sz w:val="24"/>
              </w:rPr>
              <w:lastRenderedPageBreak/>
              <w:t>dans la colonne 160.</w:t>
            </w:r>
          </w:p>
          <w:p w:rsidR="001C7AB7" w:rsidRPr="00392FFD" w:rsidRDefault="001C7AB7" w:rsidP="00785F3E">
            <w:pPr>
              <w:jc w:val="left"/>
              <w:rPr>
                <w:rFonts w:ascii="Times New Roman" w:hAnsi="Times New Roman"/>
                <w:sz w:val="24"/>
              </w:rPr>
            </w:pPr>
            <w:r>
              <w:rPr>
                <w:rFonts w:ascii="Times New Roman" w:hAnsi="Times New Roman"/>
                <w:sz w:val="24"/>
              </w:rPr>
              <w:t>En ce qui concerne les expositions soumises à un traitement de double défaut, la valeur de la protection de crédit non financée doit être déclarée dans la colonne 220.</w:t>
            </w: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lastRenderedPageBreak/>
              <w:t>060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AUTRES FORMES DE PROTECTION DE CRÉDIT FINANCÉE</w:t>
            </w:r>
          </w:p>
          <w:p w:rsidR="00785F3E" w:rsidRPr="00392FFD" w:rsidRDefault="00785F3E" w:rsidP="001C7AB7">
            <w:pPr>
              <w:rPr>
                <w:rStyle w:val="InstructionsTabelleText"/>
                <w:rFonts w:ascii="Times New Roman" w:hAnsi="Times New Roman"/>
                <w:sz w:val="24"/>
              </w:rPr>
            </w:pPr>
            <w:r>
              <w:rPr>
                <w:rStyle w:val="InstructionsTabelleText"/>
                <w:rFonts w:ascii="Times New Roman" w:hAnsi="Times New Roman"/>
                <w:sz w:val="24"/>
              </w:rPr>
              <w:t>Lorsqu’une sûreté exerce une influence sur l’exposition (par ex. lorsqu’elle est utilisée dans le cadre de techniques d’atténuation du risque de crédit avec effets de substitution sur l’exposition), elle sera plafonnée à la valeur exposée au risque.</w:t>
            </w:r>
          </w:p>
          <w:p w:rsidR="001C7AB7" w:rsidRPr="00392FFD" w:rsidRDefault="001C7AB7" w:rsidP="001C7AB7">
            <w:pPr>
              <w:rPr>
                <w:rStyle w:val="InstructionsTabelleText"/>
                <w:rFonts w:ascii="Times New Roman" w:hAnsi="Times New Roman"/>
                <w:sz w:val="24"/>
              </w:rPr>
            </w:pPr>
            <w:r>
              <w:rPr>
                <w:rStyle w:val="InstructionsTabelleText"/>
                <w:rFonts w:ascii="Times New Roman" w:hAnsi="Times New Roman"/>
                <w:sz w:val="24"/>
              </w:rPr>
              <w:t>Lorsqu’il n’est pas fait usage des propres estimations de LGD, l’article 232 du CRR s’applique.</w:t>
            </w:r>
          </w:p>
          <w:p w:rsidR="001C7AB7" w:rsidRPr="00392FFD" w:rsidRDefault="001C7AB7" w:rsidP="001C7AB7">
            <w:pPr>
              <w:rPr>
                <w:rStyle w:val="InstructionsTabelleText"/>
                <w:rFonts w:ascii="Times New Roman" w:hAnsi="Times New Roman"/>
                <w:sz w:val="24"/>
              </w:rPr>
            </w:pPr>
            <w:r>
              <w:rPr>
                <w:rStyle w:val="InstructionsTabelleText"/>
                <w:rFonts w:ascii="Times New Roman" w:hAnsi="Times New Roman"/>
                <w:sz w:val="24"/>
              </w:rPr>
              <w:t>Lorsqu’il est fait usage des propres estimations de LGD, les mesures d’atténuation du risque de crédit qui satisfont aux critères de l’article 212 du CRR seront déclarées. La v</w:t>
            </w:r>
            <w:r>
              <w:rPr>
                <w:rStyle w:val="InstructionsTabelleText"/>
                <w:rFonts w:ascii="Times New Roman" w:hAnsi="Times New Roman"/>
                <w:sz w:val="24"/>
              </w:rPr>
              <w:t>a</w:t>
            </w:r>
            <w:r>
              <w:rPr>
                <w:rStyle w:val="InstructionsTabelleText"/>
                <w:rFonts w:ascii="Times New Roman" w:hAnsi="Times New Roman"/>
                <w:sz w:val="24"/>
              </w:rPr>
              <w:t>leur pertinente utilisée dans le modèle interne sera déclarée.</w:t>
            </w:r>
          </w:p>
          <w:p w:rsidR="001C7AB7" w:rsidRPr="00392FFD" w:rsidRDefault="001C7AB7" w:rsidP="001C7AB7">
            <w:pPr>
              <w:rPr>
                <w:rFonts w:ascii="Times New Roman" w:hAnsi="Times New Roman"/>
                <w:sz w:val="24"/>
              </w:rPr>
            </w:pPr>
            <w:r>
              <w:rPr>
                <w:rStyle w:val="InstructionsTabelleText"/>
                <w:rFonts w:ascii="Times New Roman" w:hAnsi="Times New Roman"/>
                <w:sz w:val="24"/>
              </w:rPr>
              <w:t>À déclarer dans la colonne 060 lorsque aucune correction n’est apportée aux LGD. Si une correction est apportée aux LGD, le montant sera déclaré dans la colonne 170.</w:t>
            </w: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t>070-080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SUBSTITUTION DE L’EXPOSITION DUE À L’ARC</w:t>
            </w:r>
          </w:p>
          <w:p w:rsidR="001C7AB7" w:rsidRPr="00392FFD" w:rsidRDefault="001C7AB7" w:rsidP="001C7AB7">
            <w:pPr>
              <w:rPr>
                <w:rFonts w:ascii="Times New Roman" w:hAnsi="Times New Roman"/>
                <w:sz w:val="24"/>
              </w:rPr>
            </w:pPr>
            <w:r>
              <w:rPr>
                <w:rFonts w:ascii="Times New Roman" w:hAnsi="Times New Roman"/>
                <w:sz w:val="24"/>
              </w:rPr>
              <w:t>Les sorties correspondent à la partie couverte de l'exposition initiale avant application des facteurs de conversion, qui est déduite de la catégorie d'expositions du débiteur et, le cas échéant, de l'échelon ou de la catégorie de débiteurs, puis réaffectée à la catégorie d'e</w:t>
            </w:r>
            <w:r>
              <w:rPr>
                <w:rFonts w:ascii="Times New Roman" w:hAnsi="Times New Roman"/>
                <w:sz w:val="24"/>
              </w:rPr>
              <w:t>x</w:t>
            </w:r>
            <w:r>
              <w:rPr>
                <w:rFonts w:ascii="Times New Roman" w:hAnsi="Times New Roman"/>
                <w:sz w:val="24"/>
              </w:rPr>
              <w:t>positions du fournisseur de protection et, le cas échéant, de l'échelon ou de la catégorie de débiteurs. Ce montant sera considéré comme une entrée dans la catégorie d'expositions du fournisseur de protection et, le cas échéant, de l'échelon ou de la catégorie de déb</w:t>
            </w:r>
            <w:r>
              <w:rPr>
                <w:rFonts w:ascii="Times New Roman" w:hAnsi="Times New Roman"/>
                <w:sz w:val="24"/>
              </w:rPr>
              <w:t>i</w:t>
            </w:r>
            <w:r>
              <w:rPr>
                <w:rFonts w:ascii="Times New Roman" w:hAnsi="Times New Roman"/>
                <w:sz w:val="24"/>
              </w:rPr>
              <w:t>teurs.</w:t>
            </w:r>
          </w:p>
          <w:p w:rsidR="001C7AB7" w:rsidRPr="00392FFD" w:rsidRDefault="001C7AB7" w:rsidP="001C7AB7">
            <w:pPr>
              <w:rPr>
                <w:rFonts w:ascii="Times New Roman" w:hAnsi="Times New Roman"/>
                <w:b/>
                <w:sz w:val="24"/>
              </w:rPr>
            </w:pPr>
            <w:r>
              <w:rPr>
                <w:rFonts w:ascii="Times New Roman" w:hAnsi="Times New Roman"/>
                <w:sz w:val="24"/>
              </w:rPr>
              <w:t>On tiendra également compte des entrées et des sorties au sein de la même catégorie d’exposition et, le cas échéant, du même échelon ou de la même catégorie de débiteurs.</w:t>
            </w:r>
          </w:p>
          <w:p w:rsidR="001C7AB7" w:rsidRPr="00392FFD" w:rsidRDefault="001C7AB7" w:rsidP="001C7AB7">
            <w:pPr>
              <w:rPr>
                <w:rFonts w:ascii="Times New Roman" w:hAnsi="Times New Roman"/>
                <w:sz w:val="24"/>
              </w:rPr>
            </w:pPr>
            <w:r>
              <w:rPr>
                <w:rFonts w:ascii="Times New Roman" w:hAnsi="Times New Roman"/>
                <w:sz w:val="24"/>
              </w:rPr>
              <w:t>Les expositions découlant d’éventuelles entrées et sorties depuis et vers d’autres modèles seront prises en considération.</w:t>
            </w: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t>090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EXPOSITION APRÈS EFFETS DE SUBSTITUTION ARC ET AVANT APPL</w:t>
            </w:r>
            <w:r>
              <w:rPr>
                <w:rFonts w:ascii="Times New Roman" w:hAnsi="Times New Roman"/>
                <w:b/>
                <w:sz w:val="24"/>
                <w:u w:val="single"/>
              </w:rPr>
              <w:t>I</w:t>
            </w:r>
            <w:r>
              <w:rPr>
                <w:rFonts w:ascii="Times New Roman" w:hAnsi="Times New Roman"/>
                <w:b/>
                <w:sz w:val="24"/>
                <w:u w:val="single"/>
              </w:rPr>
              <w:t>CATION DES FACTEURS DE CONVERSION</w:t>
            </w:r>
          </w:p>
          <w:p w:rsidR="001C7AB7" w:rsidRPr="00392FFD" w:rsidRDefault="001C7AB7" w:rsidP="001C7AB7">
            <w:pPr>
              <w:rPr>
                <w:rFonts w:ascii="Times New Roman" w:hAnsi="Times New Roman"/>
                <w:sz w:val="24"/>
              </w:rPr>
            </w:pPr>
            <w:r>
              <w:rPr>
                <w:rFonts w:ascii="Times New Roman" w:hAnsi="Times New Roman"/>
                <w:sz w:val="24"/>
              </w:rPr>
              <w:t>Expositions affectées à l’échelon ou à la catégorie de débiteurs et à la catégorie d’expositions correspondants, après prise en compte des sorties et des entrées découlant de techniques d’ARC avec effets de substitution sur l’exposition.</w:t>
            </w: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t>100, 120</w:t>
            </w:r>
          </w:p>
        </w:tc>
        <w:tc>
          <w:tcPr>
            <w:tcW w:w="8843" w:type="dxa"/>
          </w:tcPr>
          <w:p w:rsidR="001C7AB7" w:rsidRPr="00392FFD" w:rsidRDefault="001C7AB7" w:rsidP="001C7AB7">
            <w:pPr>
              <w:rPr>
                <w:rStyle w:val="InstructionsTabelleberschrift"/>
                <w:rFonts w:ascii="Times New Roman" w:hAnsi="Times New Roman"/>
                <w:sz w:val="24"/>
              </w:rPr>
            </w:pPr>
            <w:r>
              <w:rPr>
                <w:rStyle w:val="InstructionsTabelleberschrift"/>
                <w:rFonts w:ascii="Times New Roman" w:hAnsi="Times New Roman"/>
                <w:sz w:val="24"/>
              </w:rPr>
              <w:t xml:space="preserve">Dont: éléments de hors bilan </w:t>
            </w:r>
          </w:p>
          <w:p w:rsidR="001C7AB7" w:rsidRPr="00392FFD" w:rsidRDefault="001C7AB7" w:rsidP="001C7AB7">
            <w:pPr>
              <w:rPr>
                <w:rFonts w:ascii="Times New Roman" w:hAnsi="Times New Roman"/>
                <w:sz w:val="24"/>
              </w:rPr>
            </w:pPr>
            <w:r>
              <w:rPr>
                <w:rFonts w:ascii="Times New Roman" w:hAnsi="Times New Roman"/>
                <w:sz w:val="24"/>
              </w:rPr>
              <w:t>Voir les instructions concernant le modèle CR-SA.</w:t>
            </w: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t>110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VALEUR EXPOSÉE AU RISQUE</w:t>
            </w:r>
          </w:p>
          <w:p w:rsidR="001C7AB7" w:rsidRPr="00392FFD" w:rsidRDefault="001C7AB7" w:rsidP="001C7AB7">
            <w:pPr>
              <w:rPr>
                <w:rFonts w:ascii="Times New Roman" w:hAnsi="Times New Roman"/>
                <w:sz w:val="24"/>
              </w:rPr>
            </w:pPr>
            <w:r>
              <w:rPr>
                <w:rFonts w:ascii="Times New Roman" w:hAnsi="Times New Roman"/>
                <w:sz w:val="24"/>
              </w:rPr>
              <w:t>Les valeurs visées à l’article 166 du CRR et à l’article 230, paragraphe 1, deuxième phrase, du CRR seront déclarées.</w:t>
            </w:r>
          </w:p>
          <w:p w:rsidR="001C7AB7" w:rsidRPr="00392FFD" w:rsidRDefault="001C7AB7" w:rsidP="001C7AB7">
            <w:pPr>
              <w:rPr>
                <w:rFonts w:ascii="Times New Roman" w:hAnsi="Times New Roman"/>
                <w:sz w:val="24"/>
              </w:rPr>
            </w:pPr>
            <w:r>
              <w:rPr>
                <w:rFonts w:ascii="Times New Roman" w:hAnsi="Times New Roman"/>
                <w:sz w:val="24"/>
              </w:rPr>
              <w:t xml:space="preserve">Pour les instruments définis à l’annexe I, les facteurs de conversion de crédit (article 166, paragraphes 8 à 10, du CRR) seront appliqués, quelle que soit l’approche retenue par l’établissement. </w:t>
            </w:r>
          </w:p>
          <w:p w:rsidR="001C7AB7" w:rsidRPr="00392FFD" w:rsidRDefault="001C7AB7" w:rsidP="001C7AB7">
            <w:pPr>
              <w:rPr>
                <w:rFonts w:ascii="Times New Roman" w:hAnsi="Times New Roman"/>
                <w:sz w:val="24"/>
              </w:rPr>
            </w:pPr>
            <w:r>
              <w:rPr>
                <w:rStyle w:val="InstructionsTabelleText"/>
                <w:rFonts w:ascii="Times New Roman" w:hAnsi="Times New Roman"/>
                <w:sz w:val="24"/>
              </w:rPr>
              <w:t>Pour les lignes 040 à 060 (opérations de financement sur titres, dérivés et opérations à r</w:t>
            </w:r>
            <w:r>
              <w:rPr>
                <w:rStyle w:val="InstructionsTabelleText"/>
                <w:rFonts w:ascii="Times New Roman" w:hAnsi="Times New Roman"/>
                <w:sz w:val="24"/>
              </w:rPr>
              <w:t>è</w:t>
            </w:r>
            <w:r>
              <w:rPr>
                <w:rStyle w:val="InstructionsTabelleText"/>
                <w:rFonts w:ascii="Times New Roman" w:hAnsi="Times New Roman"/>
                <w:sz w:val="24"/>
              </w:rPr>
              <w:lastRenderedPageBreak/>
              <w:t>glement différé et expositions issues d’une convention de compensation multiproduits), soumises à la troisième partie, titre II, chapitre 6 du CRR, la valeur exposée au risque s</w:t>
            </w:r>
            <w:r>
              <w:rPr>
                <w:rStyle w:val="InstructionsTabelleText"/>
                <w:rFonts w:ascii="Times New Roman" w:hAnsi="Times New Roman"/>
                <w:sz w:val="24"/>
              </w:rPr>
              <w:t>e</w:t>
            </w:r>
            <w:r>
              <w:rPr>
                <w:rStyle w:val="InstructionsTabelleText"/>
                <w:rFonts w:ascii="Times New Roman" w:hAnsi="Times New Roman"/>
                <w:sz w:val="24"/>
              </w:rPr>
              <w:t>ra identique à la valeur pour risque de crédit de contrepartie, calculée selon les méthodes énoncées dans la troisième partie, titre II, chapitre 6, sections 3, 4, 5, 6 et 7 du CRR. Ces valeurs sont déclarées dans cette colonne et non dans la colonne 130 «Dont: résultant du risque de crédit de contrepartie».</w:t>
            </w: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lastRenderedPageBreak/>
              <w:t>130</w:t>
            </w:r>
          </w:p>
        </w:tc>
        <w:tc>
          <w:tcPr>
            <w:tcW w:w="8843" w:type="dxa"/>
          </w:tcPr>
          <w:p w:rsidR="001C7AB7" w:rsidRPr="00392FFD" w:rsidRDefault="001C7AB7" w:rsidP="001C7AB7">
            <w:pPr>
              <w:rPr>
                <w:rStyle w:val="InstructionsTabelleberschrift"/>
                <w:rFonts w:ascii="Times New Roman" w:hAnsi="Times New Roman"/>
                <w:sz w:val="24"/>
              </w:rPr>
            </w:pPr>
            <w:r>
              <w:rPr>
                <w:rStyle w:val="InstructionsTabelleberschrift"/>
                <w:rFonts w:ascii="Times New Roman" w:hAnsi="Times New Roman"/>
                <w:sz w:val="24"/>
              </w:rPr>
              <w:t xml:space="preserve">Dont: résultant du risque de crédit de contrepartie </w:t>
            </w:r>
          </w:p>
          <w:p w:rsidR="001C7AB7" w:rsidRPr="00392FFD" w:rsidRDefault="001C7AB7" w:rsidP="00FD6CCB">
            <w:pPr>
              <w:rPr>
                <w:rFonts w:ascii="Times New Roman" w:hAnsi="Times New Roman"/>
                <w:sz w:val="24"/>
              </w:rPr>
            </w:pPr>
            <w:r>
              <w:rPr>
                <w:rFonts w:ascii="Times New Roman" w:hAnsi="Times New Roman"/>
                <w:sz w:val="24"/>
              </w:rPr>
              <w:t>Voir les instructions concernant le modèle CR SA.</w:t>
            </w:r>
            <w:r>
              <w:rPr>
                <w:rStyle w:val="InstructionsTabelleText"/>
                <w:rFonts w:ascii="Times New Roman" w:hAnsi="Times New Roman"/>
                <w:sz w:val="24"/>
              </w:rPr>
              <w:t xml:space="preserve"> </w:t>
            </w: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t>140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DONT: ENTITÉS DU SECTEUR FINANCIER DE GRANDE TAILLE ET ENT</w:t>
            </w:r>
            <w:r>
              <w:rPr>
                <w:rFonts w:ascii="Times New Roman" w:hAnsi="Times New Roman"/>
                <w:b/>
                <w:sz w:val="24"/>
                <w:u w:val="single"/>
              </w:rPr>
              <w:t>I</w:t>
            </w:r>
            <w:r>
              <w:rPr>
                <w:rFonts w:ascii="Times New Roman" w:hAnsi="Times New Roman"/>
                <w:b/>
                <w:sz w:val="24"/>
                <w:u w:val="single"/>
              </w:rPr>
              <w:t>TÉS DU SECTEUR FINANCIER NON RÉGLEMENTÉES</w:t>
            </w:r>
          </w:p>
          <w:p w:rsidR="001C7AB7" w:rsidRPr="00392FFD" w:rsidRDefault="001C7AB7" w:rsidP="001C7AB7">
            <w:pPr>
              <w:rPr>
                <w:rFonts w:ascii="Times New Roman" w:hAnsi="Times New Roman"/>
                <w:b/>
                <w:sz w:val="24"/>
                <w:u w:val="single"/>
              </w:rPr>
            </w:pPr>
            <w:r>
              <w:rPr>
                <w:rFonts w:ascii="Times New Roman" w:hAnsi="Times New Roman"/>
                <w:sz w:val="24"/>
              </w:rPr>
              <w:t>Ventilation de la valeur exposée au risque pour toutes les expositions définies conform</w:t>
            </w:r>
            <w:r>
              <w:rPr>
                <w:rFonts w:ascii="Times New Roman" w:hAnsi="Times New Roman"/>
                <w:sz w:val="24"/>
              </w:rPr>
              <w:t>é</w:t>
            </w:r>
            <w:r>
              <w:rPr>
                <w:rFonts w:ascii="Times New Roman" w:hAnsi="Times New Roman"/>
                <w:sz w:val="24"/>
              </w:rPr>
              <w:t>ment à l’article 142, paragraphes 4 et 5, du CRR soumises à une corrélation plus forte, conformément à l’article 153, paragraphe 2, du CRR.</w:t>
            </w:r>
          </w:p>
        </w:tc>
      </w:tr>
      <w:tr w:rsidR="001C7AB7" w:rsidRPr="00392FFD" w:rsidTr="00692B10">
        <w:trPr>
          <w:trHeight w:val="2109"/>
        </w:trPr>
        <w:tc>
          <w:tcPr>
            <w:tcW w:w="1188" w:type="dxa"/>
          </w:tcPr>
          <w:p w:rsidR="001C7AB7" w:rsidRPr="00392FFD" w:rsidDel="001D4BE0" w:rsidRDefault="001C7AB7" w:rsidP="001C7AB7">
            <w:pPr>
              <w:rPr>
                <w:rFonts w:ascii="Times New Roman" w:hAnsi="Times New Roman"/>
                <w:sz w:val="24"/>
              </w:rPr>
            </w:pPr>
            <w:r>
              <w:rPr>
                <w:rFonts w:ascii="Times New Roman" w:hAnsi="Times New Roman"/>
                <w:sz w:val="24"/>
              </w:rPr>
              <w:t>150-210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TECHNIQUES D’ATTÉNUATION DU RISQUE DE CRÉDIT PRISES EN COMPTE DANS LES ESTIMATIONS DE LGD HORS TRAITEMENT DES E</w:t>
            </w:r>
            <w:r>
              <w:rPr>
                <w:rFonts w:ascii="Times New Roman" w:hAnsi="Times New Roman"/>
                <w:b/>
                <w:sz w:val="24"/>
                <w:u w:val="single"/>
              </w:rPr>
              <w:t>F</w:t>
            </w:r>
            <w:r>
              <w:rPr>
                <w:rFonts w:ascii="Times New Roman" w:hAnsi="Times New Roman"/>
                <w:b/>
                <w:sz w:val="24"/>
                <w:u w:val="single"/>
              </w:rPr>
              <w:t>FETS DE DOUBLE DÉFAUT</w:t>
            </w:r>
          </w:p>
          <w:p w:rsidR="001C7AB7" w:rsidRPr="00392FFD" w:rsidRDefault="001C7AB7" w:rsidP="001C7AB7">
            <w:pPr>
              <w:rPr>
                <w:rFonts w:ascii="Times New Roman" w:hAnsi="Times New Roman"/>
                <w:sz w:val="24"/>
              </w:rPr>
            </w:pPr>
            <w:r>
              <w:rPr>
                <w:rFonts w:ascii="Times New Roman" w:hAnsi="Times New Roman"/>
                <w:sz w:val="24"/>
              </w:rPr>
              <w:t xml:space="preserve">Les techniques d’atténuation du risque de crédit qui ont un impact sur les LGD à la suite de l’application de l’effet de substitution des techniques d’ARC ne figureront pas dans ces colonnes. </w:t>
            </w:r>
          </w:p>
          <w:p w:rsidR="001C7AB7" w:rsidRPr="00392FFD" w:rsidRDefault="00C61FF5" w:rsidP="001C7AB7">
            <w:pPr>
              <w:rPr>
                <w:rFonts w:ascii="Times New Roman" w:hAnsi="Times New Roman"/>
                <w:sz w:val="24"/>
              </w:rPr>
            </w:pPr>
            <w:r>
              <w:rPr>
                <w:rFonts w:ascii="Times New Roman" w:hAnsi="Times New Roman"/>
                <w:sz w:val="24"/>
              </w:rPr>
              <w:t>Lorsqu'il n'est pas fait usage des propres estimations de LGD: Article 228, paragraphe 2, article 230, paragraphes 1 et 2, et article 231 du CRR.</w:t>
            </w:r>
          </w:p>
          <w:p w:rsidR="001C7AB7" w:rsidRPr="00392FFD" w:rsidRDefault="00C61FF5" w:rsidP="001C7AB7">
            <w:pPr>
              <w:rPr>
                <w:rFonts w:ascii="Times New Roman" w:hAnsi="Times New Roman"/>
                <w:sz w:val="24"/>
              </w:rPr>
            </w:pPr>
            <w:r>
              <w:rPr>
                <w:rFonts w:ascii="Times New Roman" w:hAnsi="Times New Roman"/>
                <w:sz w:val="24"/>
              </w:rPr>
              <w:t xml:space="preserve">Lorsqu’il est fait usage des propres estimations de LGD: </w:t>
            </w:r>
          </w:p>
          <w:p w:rsidR="001C7AB7" w:rsidRPr="00392FFD" w:rsidRDefault="001C7AB7" w:rsidP="001C7AB7">
            <w:pPr>
              <w:rPr>
                <w:rFonts w:ascii="Times New Roman" w:hAnsi="Times New Roman"/>
                <w:sz w:val="24"/>
              </w:rPr>
            </w:pPr>
            <w:r>
              <w:rPr>
                <w:rFonts w:ascii="Times New Roman" w:hAnsi="Times New Roman"/>
                <w:sz w:val="24"/>
              </w:rPr>
              <w:t>- concernant la protection de crédit non financée, pour les expositions sur les administr</w:t>
            </w:r>
            <w:r>
              <w:rPr>
                <w:rFonts w:ascii="Times New Roman" w:hAnsi="Times New Roman"/>
                <w:sz w:val="24"/>
              </w:rPr>
              <w:t>a</w:t>
            </w:r>
            <w:r>
              <w:rPr>
                <w:rFonts w:ascii="Times New Roman" w:hAnsi="Times New Roman"/>
                <w:sz w:val="24"/>
              </w:rPr>
              <w:t>tions centrales et les banques centrales, les établissements et les entreprises: Article 161, paragraphe 3, du CRR. Pour les expositions sur la clientèle de détail: article 164, par</w:t>
            </w:r>
            <w:r>
              <w:rPr>
                <w:rFonts w:ascii="Times New Roman" w:hAnsi="Times New Roman"/>
                <w:sz w:val="24"/>
              </w:rPr>
              <w:t>a</w:t>
            </w:r>
            <w:r>
              <w:rPr>
                <w:rFonts w:ascii="Times New Roman" w:hAnsi="Times New Roman"/>
                <w:sz w:val="24"/>
              </w:rPr>
              <w:t xml:space="preserve">graphe 2, du CRR. </w:t>
            </w:r>
          </w:p>
          <w:p w:rsidR="001C7AB7" w:rsidRPr="00392FFD" w:rsidRDefault="001C7AB7" w:rsidP="001C7AB7">
            <w:pPr>
              <w:rPr>
                <w:rFonts w:ascii="Times New Roman" w:hAnsi="Times New Roman"/>
                <w:b/>
                <w:sz w:val="24"/>
                <w:u w:val="single"/>
              </w:rPr>
            </w:pPr>
            <w:r>
              <w:rPr>
                <w:rFonts w:ascii="Times New Roman" w:hAnsi="Times New Roman"/>
                <w:sz w:val="24"/>
              </w:rPr>
              <w:t>- concernant la protection de crédit financée prise en considération pour les estimations des LGD conformément à l’article 181, paragraphe 1, points e) et f), du CRR.</w:t>
            </w:r>
          </w:p>
        </w:tc>
      </w:tr>
      <w:tr w:rsidR="001C7AB7" w:rsidRPr="00392FFD" w:rsidTr="00692B10">
        <w:trPr>
          <w:trHeight w:val="957"/>
        </w:trPr>
        <w:tc>
          <w:tcPr>
            <w:tcW w:w="1188" w:type="dxa"/>
          </w:tcPr>
          <w:p w:rsidR="001C7AB7" w:rsidRPr="00392FFD" w:rsidRDefault="001C7AB7" w:rsidP="001C7AB7">
            <w:pPr>
              <w:rPr>
                <w:rFonts w:ascii="Times New Roman" w:hAnsi="Times New Roman"/>
                <w:sz w:val="24"/>
              </w:rPr>
            </w:pPr>
            <w:r>
              <w:rPr>
                <w:rFonts w:ascii="Times New Roman" w:hAnsi="Times New Roman"/>
                <w:sz w:val="24"/>
              </w:rPr>
              <w:t>150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 xml:space="preserve">GARANTIES </w:t>
            </w:r>
          </w:p>
          <w:p w:rsidR="001C7AB7" w:rsidRPr="00392FFD" w:rsidRDefault="001C7AB7" w:rsidP="001C7AB7">
            <w:pPr>
              <w:jc w:val="left"/>
              <w:rPr>
                <w:rFonts w:ascii="Times New Roman" w:hAnsi="Times New Roman"/>
                <w:b/>
                <w:sz w:val="24"/>
                <w:u w:val="single"/>
              </w:rPr>
            </w:pPr>
            <w:r>
              <w:rPr>
                <w:rFonts w:ascii="Times New Roman" w:hAnsi="Times New Roman"/>
                <w:sz w:val="24"/>
              </w:rPr>
              <w:t>Voir les instructions concernant la colonne 040.</w:t>
            </w: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t>160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 xml:space="preserve">DÉRIVÉS DE CRÉDIT </w:t>
            </w:r>
          </w:p>
          <w:p w:rsidR="001C7AB7" w:rsidRPr="00392FFD" w:rsidRDefault="001C7AB7" w:rsidP="001C7AB7">
            <w:pPr>
              <w:rPr>
                <w:rFonts w:ascii="Times New Roman" w:hAnsi="Times New Roman"/>
                <w:sz w:val="24"/>
              </w:rPr>
            </w:pPr>
            <w:r>
              <w:rPr>
                <w:rFonts w:ascii="Times New Roman" w:hAnsi="Times New Roman"/>
                <w:sz w:val="24"/>
              </w:rPr>
              <w:t>Voir les instructions concernant la colonne 050.</w:t>
            </w: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t>170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UTILISATION DES PROPRES ESTIMATIONS DES PERTES EN CAS DE D</w:t>
            </w:r>
            <w:r>
              <w:rPr>
                <w:rFonts w:ascii="Times New Roman" w:hAnsi="Times New Roman"/>
                <w:b/>
                <w:sz w:val="24"/>
                <w:u w:val="single"/>
              </w:rPr>
              <w:t>É</w:t>
            </w:r>
            <w:r>
              <w:rPr>
                <w:rFonts w:ascii="Times New Roman" w:hAnsi="Times New Roman"/>
                <w:b/>
                <w:sz w:val="24"/>
                <w:u w:val="single"/>
              </w:rPr>
              <w:t xml:space="preserve">FAUT (LGD): AUTRES FORMES DE PROTECTION DE CRÉDIT FINANCÉE </w:t>
            </w:r>
          </w:p>
          <w:p w:rsidR="001C7AB7" w:rsidRPr="00392FFD" w:rsidRDefault="001C7AB7" w:rsidP="001C7AB7">
            <w:pPr>
              <w:rPr>
                <w:rStyle w:val="InstructionsTabelleText"/>
                <w:rFonts w:ascii="Times New Roman" w:hAnsi="Times New Roman"/>
                <w:sz w:val="24"/>
              </w:rPr>
            </w:pPr>
            <w:r>
              <w:rPr>
                <w:rStyle w:val="InstructionsTabelleText"/>
                <w:rFonts w:ascii="Times New Roman" w:hAnsi="Times New Roman"/>
                <w:sz w:val="24"/>
              </w:rPr>
              <w:t>Valeur pertinente utilisée pour la modélisation interne de l’établissement.</w:t>
            </w:r>
          </w:p>
          <w:p w:rsidR="001C7AB7" w:rsidRPr="00392FFD" w:rsidRDefault="001C7AB7" w:rsidP="001C7AB7">
            <w:pPr>
              <w:rPr>
                <w:rFonts w:ascii="Times New Roman" w:hAnsi="Times New Roman"/>
                <w:sz w:val="24"/>
              </w:rPr>
            </w:pPr>
            <w:r>
              <w:rPr>
                <w:rFonts w:ascii="Times New Roman" w:hAnsi="Times New Roman"/>
                <w:sz w:val="24"/>
              </w:rPr>
              <w:t xml:space="preserve">Mesures d’atténuation du risque de crédit qui satisfont aux critères de l’article 212 du CRR. </w:t>
            </w: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t>180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SÛRETÉS FINANCIÈRES ÉLIGIBLES</w:t>
            </w:r>
          </w:p>
          <w:p w:rsidR="001C7AB7" w:rsidRPr="00392FFD" w:rsidRDefault="001C7AB7" w:rsidP="001C7AB7">
            <w:pPr>
              <w:rPr>
                <w:rFonts w:ascii="Times New Roman" w:hAnsi="Times New Roman"/>
                <w:sz w:val="24"/>
              </w:rPr>
            </w:pPr>
            <w:r>
              <w:rPr>
                <w:rFonts w:ascii="Times New Roman" w:hAnsi="Times New Roman"/>
                <w:sz w:val="24"/>
              </w:rPr>
              <w:lastRenderedPageBreak/>
              <w:t>Pour les opérations du portefeuille de négociation, cela comprend les instruments fina</w:t>
            </w:r>
            <w:r>
              <w:rPr>
                <w:rFonts w:ascii="Times New Roman" w:hAnsi="Times New Roman"/>
                <w:sz w:val="24"/>
              </w:rPr>
              <w:t>n</w:t>
            </w:r>
            <w:r>
              <w:rPr>
                <w:rFonts w:ascii="Times New Roman" w:hAnsi="Times New Roman"/>
                <w:sz w:val="24"/>
              </w:rPr>
              <w:t>ciers et les matières premières éligibles en tant qu’expositions du portefeuille de négoci</w:t>
            </w:r>
            <w:r>
              <w:rPr>
                <w:rFonts w:ascii="Times New Roman" w:hAnsi="Times New Roman"/>
                <w:sz w:val="24"/>
              </w:rPr>
              <w:t>a</w:t>
            </w:r>
            <w:r>
              <w:rPr>
                <w:rFonts w:ascii="Times New Roman" w:hAnsi="Times New Roman"/>
                <w:sz w:val="24"/>
              </w:rPr>
              <w:t>tion, conformément à l’article 299, paragraphe 2, points  c) à f) du CRR. Les titres liés à un crédit et les compensations au bilan, conformément à la troisième partie, titre II, ch</w:t>
            </w:r>
            <w:r>
              <w:rPr>
                <w:rFonts w:ascii="Times New Roman" w:hAnsi="Times New Roman"/>
                <w:sz w:val="24"/>
              </w:rPr>
              <w:t>a</w:t>
            </w:r>
            <w:r>
              <w:rPr>
                <w:rFonts w:ascii="Times New Roman" w:hAnsi="Times New Roman"/>
                <w:sz w:val="24"/>
              </w:rPr>
              <w:t>pitre 4, section 4 du CRR, seront traités comme des sûretés en espèces.</w:t>
            </w:r>
          </w:p>
          <w:p w:rsidR="001C7AB7" w:rsidRPr="00392FFD" w:rsidRDefault="001C7AB7" w:rsidP="001C7AB7">
            <w:pPr>
              <w:rPr>
                <w:rFonts w:ascii="Times New Roman" w:hAnsi="Times New Roman"/>
                <w:sz w:val="24"/>
              </w:rPr>
            </w:pPr>
            <w:r>
              <w:rPr>
                <w:rFonts w:ascii="Times New Roman" w:hAnsi="Times New Roman"/>
                <w:sz w:val="24"/>
              </w:rPr>
              <w:t>Lorsqu'il n'est pas fait usage des propres estimations de LGD: valeurs conformément à l'article 193, paragraphes 1 à 4, et à l'article 194, paragraphe 1, du CRR. La valeur corr</w:t>
            </w:r>
            <w:r>
              <w:rPr>
                <w:rFonts w:ascii="Times New Roman" w:hAnsi="Times New Roman"/>
                <w:sz w:val="24"/>
              </w:rPr>
              <w:t>i</w:t>
            </w:r>
            <w:r>
              <w:rPr>
                <w:rFonts w:ascii="Times New Roman" w:hAnsi="Times New Roman"/>
                <w:sz w:val="24"/>
              </w:rPr>
              <w:t>gée (Cvam) définie à l’article 223, paragraphe 2, du CRR est déclarée.</w:t>
            </w:r>
          </w:p>
          <w:p w:rsidR="001C7AB7" w:rsidRPr="00392FFD" w:rsidRDefault="001C7AB7" w:rsidP="00902EFC">
            <w:pPr>
              <w:rPr>
                <w:rFonts w:ascii="Times New Roman" w:hAnsi="Times New Roman"/>
                <w:b/>
                <w:sz w:val="24"/>
                <w:u w:val="single"/>
              </w:rPr>
            </w:pPr>
            <w:r>
              <w:rPr>
                <w:rFonts w:ascii="Times New Roman" w:hAnsi="Times New Roman"/>
                <w:sz w:val="24"/>
              </w:rPr>
              <w:t>Lorsqu'il est fait usage des propres estimations de LGD: sûretés financières prises en considération pour les estimations des LGD conformément à l'article 181, paragraphe 1, points e) et f), du CRR. Le montant à déclarer sera la valeur de marché estimée des sûr</w:t>
            </w:r>
            <w:r>
              <w:rPr>
                <w:rFonts w:ascii="Times New Roman" w:hAnsi="Times New Roman"/>
                <w:sz w:val="24"/>
              </w:rPr>
              <w:t>e</w:t>
            </w:r>
            <w:r>
              <w:rPr>
                <w:rFonts w:ascii="Times New Roman" w:hAnsi="Times New Roman"/>
                <w:sz w:val="24"/>
              </w:rPr>
              <w:t>tés.</w:t>
            </w:r>
          </w:p>
        </w:tc>
      </w:tr>
      <w:tr w:rsidR="001C7AB7" w:rsidRPr="00392FFD" w:rsidTr="00692B10">
        <w:tc>
          <w:tcPr>
            <w:tcW w:w="1188" w:type="dxa"/>
          </w:tcPr>
          <w:p w:rsidR="001C7AB7" w:rsidRPr="00392FFD" w:rsidDel="001D4BE0" w:rsidRDefault="001C7AB7" w:rsidP="001C7AB7">
            <w:pPr>
              <w:rPr>
                <w:rFonts w:ascii="Times New Roman" w:hAnsi="Times New Roman"/>
                <w:sz w:val="24"/>
              </w:rPr>
            </w:pPr>
            <w:r>
              <w:rPr>
                <w:rFonts w:ascii="Times New Roman" w:hAnsi="Times New Roman"/>
                <w:sz w:val="24"/>
              </w:rPr>
              <w:lastRenderedPageBreak/>
              <w:t>190-210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AUTRES SÛRETÉS ÉLIGIBLES</w:t>
            </w:r>
          </w:p>
          <w:p w:rsidR="001C7AB7" w:rsidRPr="00392FFD" w:rsidRDefault="00C61FF5" w:rsidP="001C7AB7">
            <w:pPr>
              <w:rPr>
                <w:rFonts w:ascii="Times New Roman" w:hAnsi="Times New Roman"/>
                <w:sz w:val="24"/>
              </w:rPr>
            </w:pPr>
            <w:r>
              <w:rPr>
                <w:rFonts w:ascii="Times New Roman" w:hAnsi="Times New Roman"/>
                <w:sz w:val="24"/>
              </w:rPr>
              <w:t>Lorsqu'il n'est pas fait usage des propres estimations de LGD: Article 199, paragraphes 1 à 8, et article 229 du CRR.</w:t>
            </w:r>
          </w:p>
          <w:p w:rsidR="001C7AB7" w:rsidRPr="00392FFD" w:rsidRDefault="00C61FF5" w:rsidP="00C61FF5">
            <w:pPr>
              <w:rPr>
                <w:rFonts w:ascii="Times New Roman" w:hAnsi="Times New Roman"/>
                <w:b/>
                <w:sz w:val="24"/>
                <w:u w:val="single"/>
              </w:rPr>
            </w:pPr>
            <w:r>
              <w:rPr>
                <w:rFonts w:ascii="Times New Roman" w:hAnsi="Times New Roman"/>
                <w:sz w:val="24"/>
              </w:rPr>
              <w:t>Lorsqu’il est fait usage des propres estimations de LGD: autres sûretés prises en consid</w:t>
            </w:r>
            <w:r>
              <w:rPr>
                <w:rFonts w:ascii="Times New Roman" w:hAnsi="Times New Roman"/>
                <w:sz w:val="24"/>
              </w:rPr>
              <w:t>é</w:t>
            </w:r>
            <w:r>
              <w:rPr>
                <w:rFonts w:ascii="Times New Roman" w:hAnsi="Times New Roman"/>
                <w:sz w:val="24"/>
              </w:rPr>
              <w:t>ration pour les estimations des LGD conformément à l'article 181, paragraphe 1, points e) et f), du CRR.</w:t>
            </w:r>
          </w:p>
        </w:tc>
      </w:tr>
      <w:tr w:rsidR="001C7AB7" w:rsidRPr="00392FFD" w:rsidTr="00692B10">
        <w:tc>
          <w:tcPr>
            <w:tcW w:w="1188" w:type="dxa"/>
          </w:tcPr>
          <w:p w:rsidR="001C7AB7" w:rsidRPr="00392FFD" w:rsidRDefault="001C7AB7" w:rsidP="00C61FF5">
            <w:pPr>
              <w:spacing w:line="240" w:lineRule="exact"/>
              <w:rPr>
                <w:rFonts w:ascii="Times New Roman" w:hAnsi="Times New Roman"/>
                <w:sz w:val="24"/>
              </w:rPr>
            </w:pPr>
            <w:r>
              <w:rPr>
                <w:rFonts w:ascii="Times New Roman" w:hAnsi="Times New Roman"/>
                <w:sz w:val="24"/>
              </w:rPr>
              <w:t>190</w:t>
            </w:r>
          </w:p>
        </w:tc>
        <w:tc>
          <w:tcPr>
            <w:tcW w:w="8843" w:type="dxa"/>
          </w:tcPr>
          <w:p w:rsidR="001C7AB7" w:rsidRPr="00392FFD" w:rsidRDefault="001C7AB7" w:rsidP="00C61FF5">
            <w:pPr>
              <w:spacing w:line="240" w:lineRule="exact"/>
              <w:rPr>
                <w:rFonts w:ascii="Times New Roman" w:hAnsi="Times New Roman"/>
                <w:sz w:val="24"/>
              </w:rPr>
            </w:pPr>
            <w:r>
              <w:rPr>
                <w:rFonts w:ascii="Times New Roman" w:hAnsi="Times New Roman"/>
                <w:b/>
                <w:sz w:val="24"/>
                <w:u w:val="single"/>
              </w:rPr>
              <w:t>BIENS IMMOBILIERS</w:t>
            </w:r>
          </w:p>
          <w:p w:rsidR="001C7AB7" w:rsidRPr="00392FFD" w:rsidRDefault="00C61FF5" w:rsidP="00C61FF5">
            <w:pPr>
              <w:spacing w:line="240" w:lineRule="exact"/>
              <w:rPr>
                <w:rFonts w:ascii="Times New Roman" w:hAnsi="Times New Roman"/>
                <w:sz w:val="24"/>
              </w:rPr>
            </w:pPr>
            <w:r>
              <w:rPr>
                <w:rFonts w:ascii="Times New Roman" w:hAnsi="Times New Roman"/>
                <w:sz w:val="24"/>
              </w:rPr>
              <w:t>Lorsqu’il n’est pas fait usage des propres estimations de LGD, les valeurs conformément à l’article 199, paragraphes 2 à 4, du CRR sont déclarées. La location ou le crédit-bail de biens immobiliers sont également inclus (voir l’article 199, paragraphe 7, du CRR). Voir également l’article 229 du CRR.</w:t>
            </w:r>
          </w:p>
          <w:p w:rsidR="001C7AB7" w:rsidRPr="00392FFD" w:rsidRDefault="001C7AB7" w:rsidP="00C61FF5">
            <w:pPr>
              <w:spacing w:line="240" w:lineRule="exact"/>
              <w:rPr>
                <w:rFonts w:ascii="Times New Roman" w:hAnsi="Times New Roman"/>
                <w:sz w:val="24"/>
              </w:rPr>
            </w:pPr>
            <w:r>
              <w:rPr>
                <w:rFonts w:ascii="Times New Roman" w:hAnsi="Times New Roman"/>
                <w:sz w:val="24"/>
              </w:rPr>
              <w:t>Lorsqu’il est fait usage des propres estimations de LGD, le montant à déclarer sera la v</w:t>
            </w:r>
            <w:r>
              <w:rPr>
                <w:rFonts w:ascii="Times New Roman" w:hAnsi="Times New Roman"/>
                <w:sz w:val="24"/>
              </w:rPr>
              <w:t>a</w:t>
            </w:r>
            <w:r>
              <w:rPr>
                <w:rFonts w:ascii="Times New Roman" w:hAnsi="Times New Roman"/>
                <w:sz w:val="24"/>
              </w:rPr>
              <w:t>leur de marché estimée.</w:t>
            </w: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t>200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AUTRES SÛRETÉS RÉELLES</w:t>
            </w:r>
          </w:p>
          <w:p w:rsidR="001C7AB7" w:rsidRPr="00392FFD" w:rsidRDefault="00C61FF5" w:rsidP="001C7AB7">
            <w:pPr>
              <w:rPr>
                <w:rFonts w:ascii="Times New Roman" w:hAnsi="Times New Roman"/>
                <w:sz w:val="24"/>
              </w:rPr>
            </w:pPr>
            <w:r>
              <w:rPr>
                <w:rFonts w:ascii="Times New Roman" w:hAnsi="Times New Roman"/>
                <w:sz w:val="24"/>
              </w:rPr>
              <w:t xml:space="preserve">Lorsqu’il n’est pas fait usage des propres estimations de LGD, les valeurs conformément à l’article 199, paragraphes 6 et 8, du CRR seront déclarées. La location ou le crédit-bail de biens autres qu’immobiliers est également incluse (voir l’article 199, paragraphe 7, du CRR). Voir également l’article 229, paragraphe 3, du CRR. </w:t>
            </w:r>
          </w:p>
          <w:p w:rsidR="001C7AB7" w:rsidRPr="00392FFD" w:rsidRDefault="00C61FF5" w:rsidP="00C61FF5">
            <w:pPr>
              <w:rPr>
                <w:rFonts w:ascii="Times New Roman" w:hAnsi="Times New Roman"/>
                <w:b/>
                <w:sz w:val="24"/>
                <w:u w:val="single"/>
              </w:rPr>
            </w:pPr>
            <w:r>
              <w:rPr>
                <w:rFonts w:ascii="Times New Roman" w:hAnsi="Times New Roman"/>
                <w:sz w:val="24"/>
              </w:rPr>
              <w:t>Lorsqu’il est fait usage des propres estimations de LGD, le montant à déclarer sera la v</w:t>
            </w:r>
            <w:r>
              <w:rPr>
                <w:rFonts w:ascii="Times New Roman" w:hAnsi="Times New Roman"/>
                <w:sz w:val="24"/>
              </w:rPr>
              <w:t>a</w:t>
            </w:r>
            <w:r>
              <w:rPr>
                <w:rFonts w:ascii="Times New Roman" w:hAnsi="Times New Roman"/>
                <w:sz w:val="24"/>
              </w:rPr>
              <w:t>leur de marché estimée des sûretés.</w:t>
            </w: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t>210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CRÉANCES</w:t>
            </w:r>
          </w:p>
          <w:p w:rsidR="001C7AB7" w:rsidRPr="00392FFD" w:rsidRDefault="001C7AB7" w:rsidP="001C7AB7">
            <w:pPr>
              <w:rPr>
                <w:rFonts w:ascii="Times New Roman" w:hAnsi="Times New Roman"/>
                <w:sz w:val="24"/>
              </w:rPr>
            </w:pPr>
            <w:r>
              <w:rPr>
                <w:rFonts w:ascii="Times New Roman" w:hAnsi="Times New Roman"/>
                <w:sz w:val="24"/>
              </w:rPr>
              <w:t>Lorsqu’il n’est pas fait usage des propres estimations de LGD, les valeurs conformément à l’article 199, paragraphe 5, et à l’article 229, paragraphe 2, du CRR seront déclarées.</w:t>
            </w:r>
          </w:p>
          <w:p w:rsidR="001C7AB7" w:rsidRPr="00392FFD" w:rsidRDefault="001C7AB7" w:rsidP="001C7AB7">
            <w:pPr>
              <w:rPr>
                <w:rFonts w:ascii="Times New Roman" w:hAnsi="Times New Roman"/>
                <w:b/>
                <w:sz w:val="24"/>
                <w:u w:val="single"/>
              </w:rPr>
            </w:pPr>
            <w:r>
              <w:rPr>
                <w:rFonts w:ascii="Times New Roman" w:hAnsi="Times New Roman"/>
                <w:sz w:val="24"/>
              </w:rPr>
              <w:t>Lorsqu’il est fait usage des propres estimations de LGD, le montant à déclarer sera la v</w:t>
            </w:r>
            <w:r>
              <w:rPr>
                <w:rFonts w:ascii="Times New Roman" w:hAnsi="Times New Roman"/>
                <w:sz w:val="24"/>
              </w:rPr>
              <w:t>a</w:t>
            </w:r>
            <w:r>
              <w:rPr>
                <w:rFonts w:ascii="Times New Roman" w:hAnsi="Times New Roman"/>
                <w:sz w:val="24"/>
              </w:rPr>
              <w:t>leur de marché estimée des sûretés.</w:t>
            </w: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t>220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SOUMIS AU TRAITEMENT DES EFFETS DE DOUBLE DÉFAUT: PROTE</w:t>
            </w:r>
            <w:r>
              <w:rPr>
                <w:rFonts w:ascii="Times New Roman" w:hAnsi="Times New Roman"/>
                <w:b/>
                <w:sz w:val="24"/>
                <w:u w:val="single"/>
              </w:rPr>
              <w:t>C</w:t>
            </w:r>
            <w:r>
              <w:rPr>
                <w:rFonts w:ascii="Times New Roman" w:hAnsi="Times New Roman"/>
                <w:b/>
                <w:sz w:val="24"/>
                <w:u w:val="single"/>
              </w:rPr>
              <w:t>TION DE CRÉDIT NON FINANCÉE</w:t>
            </w:r>
          </w:p>
          <w:p w:rsidR="001C7AB7" w:rsidRPr="00392FFD" w:rsidRDefault="001C7AB7" w:rsidP="00902EFC">
            <w:pPr>
              <w:rPr>
                <w:rFonts w:ascii="Times New Roman" w:hAnsi="Times New Roman"/>
                <w:b/>
                <w:sz w:val="24"/>
                <w:u w:val="single"/>
              </w:rPr>
            </w:pPr>
            <w:r>
              <w:rPr>
                <w:rFonts w:ascii="Times New Roman" w:hAnsi="Times New Roman"/>
                <w:sz w:val="24"/>
              </w:rPr>
              <w:t>Garanties et dérivés de crédit couvrant des expositions soumises à un traitement de double défaut reflétant l’article 202 et l’article 217, paragraphe 1, du CRR. Voir égal</w:t>
            </w:r>
            <w:r>
              <w:rPr>
                <w:rFonts w:ascii="Times New Roman" w:hAnsi="Times New Roman"/>
                <w:sz w:val="24"/>
              </w:rPr>
              <w:t>e</w:t>
            </w:r>
            <w:r>
              <w:rPr>
                <w:rFonts w:ascii="Times New Roman" w:hAnsi="Times New Roman"/>
                <w:sz w:val="24"/>
              </w:rPr>
              <w:lastRenderedPageBreak/>
              <w:t xml:space="preserve">ment les colonnes 040 «Garanties» et 050 «Dérivés de crédit». </w:t>
            </w: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lastRenderedPageBreak/>
              <w:t>230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LGD MOYENNE, PONDÉRÉE (%)</w:t>
            </w:r>
          </w:p>
          <w:p w:rsidR="001C7AB7" w:rsidRPr="00392FFD" w:rsidRDefault="001C7AB7" w:rsidP="001C7AB7">
            <w:pPr>
              <w:rPr>
                <w:rFonts w:ascii="Times New Roman" w:hAnsi="Times New Roman"/>
                <w:sz w:val="24"/>
              </w:rPr>
            </w:pPr>
            <w:r>
              <w:rPr>
                <w:rFonts w:ascii="Times New Roman" w:hAnsi="Times New Roman"/>
                <w:sz w:val="24"/>
              </w:rPr>
              <w:t>L’intégralité de l’impact des techniques d’atténuation du risque de crédit sur les valeurs des LGD visées dans la troisième partie, titre II, chapitres 3 et 4 du CRR sera prise en considération. Dans le cas des expositions soumises au traitement de double défaut, les LGD à déclarer correspondront à celles qui ont été sélectionnées conformément à l'article 161, paragraphe 4, du CRR.</w:t>
            </w:r>
          </w:p>
          <w:p w:rsidR="001C7AB7" w:rsidRPr="00392FFD" w:rsidRDefault="001C7AB7" w:rsidP="001C7AB7">
            <w:pPr>
              <w:rPr>
                <w:rFonts w:ascii="Times New Roman" w:hAnsi="Times New Roman"/>
                <w:sz w:val="24"/>
              </w:rPr>
            </w:pPr>
            <w:r>
              <w:rPr>
                <w:rFonts w:ascii="Times New Roman" w:hAnsi="Times New Roman"/>
                <w:sz w:val="24"/>
              </w:rPr>
              <w:t>Pour les expositions en défaut, les dispositions de l’article 181, paragraphe 1, point h), du CRR seront prises en considérations.</w:t>
            </w:r>
          </w:p>
          <w:p w:rsidR="001C7AB7" w:rsidRPr="00392FFD" w:rsidRDefault="001C7AB7" w:rsidP="001C7AB7">
            <w:pPr>
              <w:rPr>
                <w:rFonts w:ascii="Times New Roman" w:hAnsi="Times New Roman"/>
                <w:sz w:val="24"/>
              </w:rPr>
            </w:pPr>
            <w:r>
              <w:rPr>
                <w:rFonts w:ascii="Times New Roman" w:hAnsi="Times New Roman"/>
                <w:sz w:val="24"/>
              </w:rPr>
              <w:t>La définition de la valeur exposée au risque visée à la colonne 110 sera utilisée pour le calcul des moyennes pondérées.</w:t>
            </w:r>
          </w:p>
          <w:p w:rsidR="001C7AB7" w:rsidRPr="00392FFD" w:rsidRDefault="001C7AB7" w:rsidP="001C7AB7">
            <w:pPr>
              <w:rPr>
                <w:rFonts w:ascii="Times New Roman" w:hAnsi="Times New Roman"/>
                <w:sz w:val="24"/>
              </w:rPr>
            </w:pPr>
            <w:r>
              <w:rPr>
                <w:rFonts w:ascii="Times New Roman" w:hAnsi="Times New Roman"/>
                <w:sz w:val="24"/>
              </w:rPr>
              <w:t>Tous les effets seront pris en compte (de sorte que le plancher applicable aux hyp</w:t>
            </w:r>
            <w:r>
              <w:rPr>
                <w:rFonts w:ascii="Times New Roman" w:hAnsi="Times New Roman"/>
                <w:sz w:val="24"/>
              </w:rPr>
              <w:t>o</w:t>
            </w:r>
            <w:r>
              <w:rPr>
                <w:rFonts w:ascii="Times New Roman" w:hAnsi="Times New Roman"/>
                <w:sz w:val="24"/>
              </w:rPr>
              <w:t>thèques soit inclus dans la déclaration).</w:t>
            </w:r>
          </w:p>
          <w:p w:rsidR="001C7AB7" w:rsidRPr="00392FFD" w:rsidRDefault="001C7AB7" w:rsidP="001C7AB7">
            <w:pPr>
              <w:rPr>
                <w:rFonts w:ascii="Times New Roman" w:hAnsi="Times New Roman"/>
                <w:sz w:val="24"/>
              </w:rPr>
            </w:pPr>
            <w:r>
              <w:rPr>
                <w:rFonts w:ascii="Times New Roman" w:hAnsi="Times New Roman"/>
                <w:sz w:val="24"/>
              </w:rPr>
              <w:t>Pour les établissements qui appliquent l’approche NI mais qui n’utilisent pas leurs propres estimations de LGD, les effets d’atténuation du risque des sûretés financières se reflèteront dans la valeur exposée au risque pleinement ajustée E*, puis dans les LGD*, conformément à l’article 228, paragraphe 2, du CRR.</w:t>
            </w:r>
          </w:p>
          <w:p w:rsidR="001C7AB7" w:rsidRPr="00392FFD" w:rsidRDefault="001C7AB7" w:rsidP="001C7AB7">
            <w:pPr>
              <w:rPr>
                <w:rFonts w:ascii="Times New Roman" w:hAnsi="Times New Roman"/>
                <w:sz w:val="24"/>
              </w:rPr>
            </w:pPr>
            <w:r>
              <w:rPr>
                <w:rFonts w:ascii="Times New Roman" w:hAnsi="Times New Roman"/>
                <w:sz w:val="24"/>
              </w:rPr>
              <w:t>La valeur moyenne, pondérée en fonction de l'exposition, des pertes en cas de défaut a</w:t>
            </w:r>
            <w:r>
              <w:rPr>
                <w:rFonts w:ascii="Times New Roman" w:hAnsi="Times New Roman"/>
                <w:sz w:val="24"/>
              </w:rPr>
              <w:t>s</w:t>
            </w:r>
            <w:r>
              <w:rPr>
                <w:rFonts w:ascii="Times New Roman" w:hAnsi="Times New Roman"/>
                <w:sz w:val="24"/>
              </w:rPr>
              <w:t>sociée à chaque échelon ou catégorie de débiteurs affichant une probabilité de défaut, s</w:t>
            </w:r>
            <w:r>
              <w:rPr>
                <w:rFonts w:ascii="Times New Roman" w:hAnsi="Times New Roman"/>
                <w:sz w:val="24"/>
              </w:rPr>
              <w:t>e</w:t>
            </w:r>
            <w:r>
              <w:rPr>
                <w:rFonts w:ascii="Times New Roman" w:hAnsi="Times New Roman"/>
                <w:sz w:val="24"/>
              </w:rPr>
              <w:t>ra obtenue à partir de la moyenne des LGD prudentielles attribuées aux expositions de cet échelon/catégorie de débiteurs affichant une probabilité de défaut, pondérée par la valeur exposée au risque respective de la colonne 110.</w:t>
            </w:r>
          </w:p>
          <w:p w:rsidR="001C7AB7" w:rsidRPr="00392FFD" w:rsidRDefault="001C7AB7" w:rsidP="001C7AB7">
            <w:pPr>
              <w:rPr>
                <w:rFonts w:ascii="Times New Roman" w:hAnsi="Times New Roman"/>
                <w:sz w:val="24"/>
              </w:rPr>
            </w:pPr>
            <w:r>
              <w:rPr>
                <w:rFonts w:ascii="Times New Roman" w:hAnsi="Times New Roman"/>
                <w:sz w:val="24"/>
              </w:rPr>
              <w:t>Lorsque les propres estimations de LGD sont appliquées, on tiendra compte de l’article 175 et de l’article 181, paragraphes 1 et 2, du CRR.</w:t>
            </w:r>
          </w:p>
          <w:p w:rsidR="001C7AB7" w:rsidRPr="00392FFD" w:rsidRDefault="001C7AB7" w:rsidP="001C7AB7">
            <w:pPr>
              <w:rPr>
                <w:rFonts w:ascii="Times New Roman" w:hAnsi="Times New Roman"/>
                <w:sz w:val="24"/>
              </w:rPr>
            </w:pPr>
            <w:r>
              <w:rPr>
                <w:rFonts w:ascii="Times New Roman" w:hAnsi="Times New Roman"/>
                <w:sz w:val="24"/>
              </w:rPr>
              <w:t>Dans le cas des expositions soumises au traitement de double défaut, les LGD à déclarer correspondront à celles qui ont été sélectionnées conformément à l'article 161, par</w:t>
            </w:r>
            <w:r>
              <w:rPr>
                <w:rFonts w:ascii="Times New Roman" w:hAnsi="Times New Roman"/>
                <w:sz w:val="24"/>
              </w:rPr>
              <w:t>a</w:t>
            </w:r>
            <w:r>
              <w:rPr>
                <w:rFonts w:ascii="Times New Roman" w:hAnsi="Times New Roman"/>
                <w:sz w:val="24"/>
              </w:rPr>
              <w:t>graphe 4, du CRR.</w:t>
            </w:r>
          </w:p>
          <w:p w:rsidR="001C7AB7" w:rsidRPr="00392FFD" w:rsidRDefault="001C7AB7" w:rsidP="001C7AB7">
            <w:pPr>
              <w:rPr>
                <w:rFonts w:ascii="Times New Roman" w:hAnsi="Times New Roman"/>
                <w:sz w:val="24"/>
              </w:rPr>
            </w:pPr>
            <w:r>
              <w:rPr>
                <w:rFonts w:ascii="Times New Roman" w:hAnsi="Times New Roman"/>
                <w:sz w:val="24"/>
              </w:rPr>
              <w:t>Le calcul de la valeur moyenne, pondérée en fonction de l’exposition, des pertes en cas de défaut sera basé sur les paramètres de risque réellement utilisés dans le système de n</w:t>
            </w:r>
            <w:r>
              <w:rPr>
                <w:rFonts w:ascii="Times New Roman" w:hAnsi="Times New Roman"/>
                <w:sz w:val="24"/>
              </w:rPr>
              <w:t>o</w:t>
            </w:r>
            <w:r>
              <w:rPr>
                <w:rFonts w:ascii="Times New Roman" w:hAnsi="Times New Roman"/>
                <w:sz w:val="24"/>
              </w:rPr>
              <w:t>tations internes approuvé par les autorités compétentes respectives.</w:t>
            </w:r>
          </w:p>
          <w:p w:rsidR="001C7AB7" w:rsidRPr="00392FFD" w:rsidRDefault="00224FE5" w:rsidP="001C7AB7">
            <w:pPr>
              <w:rPr>
                <w:rFonts w:ascii="Times New Roman" w:hAnsi="Times New Roman"/>
                <w:sz w:val="24"/>
              </w:rPr>
            </w:pPr>
            <w:r>
              <w:rPr>
                <w:rFonts w:ascii="Times New Roman" w:hAnsi="Times New Roman"/>
                <w:sz w:val="24"/>
              </w:rPr>
              <w:t>Les données ne seront pas déclarées pour les expositions de financement spécialisé visées à l’article 153, paragraphe 5.</w:t>
            </w:r>
          </w:p>
          <w:p w:rsidR="001C7AB7" w:rsidRPr="00392FFD" w:rsidRDefault="001C7AB7" w:rsidP="001C7AB7">
            <w:pPr>
              <w:rPr>
                <w:rFonts w:ascii="Times New Roman" w:hAnsi="Times New Roman"/>
                <w:sz w:val="24"/>
              </w:rPr>
            </w:pPr>
            <w:r>
              <w:rPr>
                <w:rFonts w:ascii="Times New Roman" w:hAnsi="Times New Roman"/>
                <w:sz w:val="24"/>
              </w:rPr>
              <w:t xml:space="preserve">Les expositions et les LGD respectives pour les entités du secteur financier de grande taille et les entités financières non règlementées ne seront pas intégrées au calcul de la colonne 230. Elles ne feront partie que du calcul de la colonne 240. </w:t>
            </w: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t>240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LGD MOYENNE, PONDÉRÉE (%) POUR ENTITÉS DU SECTEUR FINANCIER DE GRANDE TAILLE ET ENTITÉS DU SECTEUR FINANCIER NON RÉGL</w:t>
            </w:r>
            <w:r>
              <w:rPr>
                <w:rFonts w:ascii="Times New Roman" w:hAnsi="Times New Roman"/>
                <w:b/>
                <w:sz w:val="24"/>
                <w:u w:val="single"/>
              </w:rPr>
              <w:t>E</w:t>
            </w:r>
            <w:r>
              <w:rPr>
                <w:rFonts w:ascii="Times New Roman" w:hAnsi="Times New Roman"/>
                <w:b/>
                <w:sz w:val="24"/>
                <w:u w:val="single"/>
              </w:rPr>
              <w:t>MENTÉES</w:t>
            </w:r>
          </w:p>
          <w:p w:rsidR="001C7AB7" w:rsidRPr="00392FFD" w:rsidRDefault="001C7AB7" w:rsidP="001C7AB7">
            <w:pPr>
              <w:rPr>
                <w:rFonts w:ascii="Times New Roman" w:hAnsi="Times New Roman"/>
                <w:sz w:val="24"/>
              </w:rPr>
            </w:pPr>
            <w:r>
              <w:rPr>
                <w:rFonts w:ascii="Times New Roman" w:hAnsi="Times New Roman"/>
                <w:sz w:val="24"/>
              </w:rPr>
              <w:t>Valeur moyenne, pondérée en fonction de l’exposition, des pertes en cas de défaut (%) pour toutes les expositions définies conformément à l’article 142, paragraphes 4 et 5, du CRR soumises à une corrélation plus forte, conformément à l’article 153, paragraphe 2, du CRR.</w:t>
            </w: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lastRenderedPageBreak/>
              <w:t>250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VALEUR D’ÉCHÉANCE MOYENNE PONDÉRÉE (JOURS)</w:t>
            </w:r>
          </w:p>
          <w:p w:rsidR="001C7AB7" w:rsidRPr="00392FFD" w:rsidRDefault="001C7AB7" w:rsidP="001C7AB7">
            <w:pPr>
              <w:rPr>
                <w:rFonts w:ascii="Times New Roman" w:hAnsi="Times New Roman"/>
                <w:sz w:val="24"/>
              </w:rPr>
            </w:pPr>
            <w:r>
              <w:rPr>
                <w:rFonts w:ascii="Times New Roman" w:hAnsi="Times New Roman"/>
                <w:sz w:val="24"/>
              </w:rPr>
              <w:t>La valeur déclarée reflète les dispositions de l’article 162 du CRR. La valeur exposée au risque (colonne 110) sera utilisée pour le calcul des moyennes pondérées. L’échéance moyenne est exprimée en jours.</w:t>
            </w:r>
          </w:p>
          <w:p w:rsidR="001C7AB7" w:rsidRPr="00392FFD" w:rsidRDefault="001C7AB7" w:rsidP="00FD6CCB">
            <w:pPr>
              <w:rPr>
                <w:rFonts w:ascii="Times New Roman" w:hAnsi="Times New Roman"/>
                <w:sz w:val="24"/>
              </w:rPr>
            </w:pPr>
            <w:r>
              <w:rPr>
                <w:rFonts w:ascii="Times New Roman" w:hAnsi="Times New Roman"/>
                <w:sz w:val="24"/>
              </w:rPr>
              <w:t xml:space="preserve">Ces données ne seront pas déclarées pour les valeurs exposées au risque pour lesquelles l’échéance ne constitue pas un élément du calcul des </w:t>
            </w:r>
            <w:r>
              <w:rPr>
                <w:rStyle w:val="InstructionsTabelleText"/>
                <w:rFonts w:ascii="Times New Roman" w:hAnsi="Times New Roman"/>
                <w:sz w:val="24"/>
              </w:rPr>
              <w:t>montants d’exposition pondérés</w:t>
            </w:r>
            <w:r>
              <w:rPr>
                <w:rFonts w:ascii="Times New Roman" w:hAnsi="Times New Roman"/>
                <w:sz w:val="24"/>
              </w:rPr>
              <w:t>. Cela signifie que cette colonne ne sera pas remplie pour la catégorie d’expositions «clie</w:t>
            </w:r>
            <w:r>
              <w:rPr>
                <w:rFonts w:ascii="Times New Roman" w:hAnsi="Times New Roman"/>
                <w:sz w:val="24"/>
              </w:rPr>
              <w:t>n</w:t>
            </w:r>
            <w:r>
              <w:rPr>
                <w:rFonts w:ascii="Times New Roman" w:hAnsi="Times New Roman"/>
                <w:sz w:val="24"/>
              </w:rPr>
              <w:t>tèle de détail».</w:t>
            </w: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t>255</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MONTANT D'EXPOSITION PONDÉRÉ  AVANT APPLICATION DU FA</w:t>
            </w:r>
            <w:r>
              <w:rPr>
                <w:rFonts w:ascii="Times New Roman" w:hAnsi="Times New Roman"/>
                <w:b/>
                <w:sz w:val="24"/>
                <w:u w:val="single"/>
              </w:rPr>
              <w:t>C</w:t>
            </w:r>
            <w:r>
              <w:rPr>
                <w:rFonts w:ascii="Times New Roman" w:hAnsi="Times New Roman"/>
                <w:b/>
                <w:sz w:val="24"/>
                <w:u w:val="single"/>
              </w:rPr>
              <w:t>TEUR SUPPLÉTIF EN FAVEUR DES PME</w:t>
            </w:r>
          </w:p>
          <w:p w:rsidR="001C7AB7" w:rsidRPr="00392FFD" w:rsidRDefault="001C7AB7" w:rsidP="001C7AB7">
            <w:pPr>
              <w:rPr>
                <w:rFonts w:ascii="Times New Roman" w:hAnsi="Times New Roman"/>
                <w:sz w:val="24"/>
              </w:rPr>
            </w:pPr>
            <w:r>
              <w:rPr>
                <w:rFonts w:ascii="Times New Roman" w:hAnsi="Times New Roman"/>
                <w:sz w:val="24"/>
              </w:rPr>
              <w:t>Pour les administrations centrales et les banques centrales, les entreprises et les établi</w:t>
            </w:r>
            <w:r>
              <w:rPr>
                <w:rFonts w:ascii="Times New Roman" w:hAnsi="Times New Roman"/>
                <w:sz w:val="24"/>
              </w:rPr>
              <w:t>s</w:t>
            </w:r>
            <w:r>
              <w:rPr>
                <w:rFonts w:ascii="Times New Roman" w:hAnsi="Times New Roman"/>
                <w:sz w:val="24"/>
              </w:rPr>
              <w:t xml:space="preserve">sements, voir l’article 153, paragraphes 1 et 3, du CRR. Pour la clientèle de détail, voir l’article 154, paragraphe 1, du CRR. </w:t>
            </w:r>
          </w:p>
          <w:p w:rsidR="001C7AB7" w:rsidRPr="00392FFD" w:rsidRDefault="001C7AB7" w:rsidP="00FD6CCB">
            <w:pPr>
              <w:rPr>
                <w:rFonts w:ascii="Times New Roman" w:hAnsi="Times New Roman"/>
                <w:b/>
                <w:sz w:val="24"/>
                <w:u w:val="single"/>
              </w:rPr>
            </w:pPr>
            <w:r>
              <w:rPr>
                <w:rFonts w:ascii="Times New Roman" w:hAnsi="Times New Roman"/>
                <w:sz w:val="24"/>
              </w:rPr>
              <w:t>Le facteur supplétif pour les PME visé à l’article 501 du CRR ne sera pas pris en cons</w:t>
            </w:r>
            <w:r>
              <w:rPr>
                <w:rFonts w:ascii="Times New Roman" w:hAnsi="Times New Roman"/>
                <w:sz w:val="24"/>
              </w:rPr>
              <w:t>i</w:t>
            </w:r>
            <w:r>
              <w:rPr>
                <w:rFonts w:ascii="Times New Roman" w:hAnsi="Times New Roman"/>
                <w:sz w:val="24"/>
              </w:rPr>
              <w:t>dération.</w:t>
            </w:r>
          </w:p>
        </w:tc>
      </w:tr>
      <w:tr w:rsidR="001C7AB7" w:rsidRPr="00392FFD" w:rsidTr="00692B10">
        <w:tc>
          <w:tcPr>
            <w:tcW w:w="1188" w:type="dxa"/>
            <w:shd w:val="clear" w:color="auto" w:fill="auto"/>
          </w:tcPr>
          <w:p w:rsidR="001C7AB7" w:rsidRPr="00392FFD" w:rsidRDefault="001C7AB7" w:rsidP="001C7AB7">
            <w:pPr>
              <w:rPr>
                <w:rFonts w:ascii="Times New Roman" w:hAnsi="Times New Roman"/>
                <w:sz w:val="24"/>
              </w:rPr>
            </w:pPr>
            <w:r>
              <w:rPr>
                <w:rFonts w:ascii="Times New Roman" w:hAnsi="Times New Roman"/>
                <w:sz w:val="24"/>
              </w:rPr>
              <w:t>260</w:t>
            </w:r>
          </w:p>
        </w:tc>
        <w:tc>
          <w:tcPr>
            <w:tcW w:w="8843" w:type="dxa"/>
            <w:shd w:val="clear" w:color="auto" w:fill="auto"/>
          </w:tcPr>
          <w:p w:rsidR="001C7AB7" w:rsidRPr="00392FFD" w:rsidRDefault="001C7AB7" w:rsidP="001C7AB7">
            <w:pPr>
              <w:rPr>
                <w:rFonts w:ascii="Times New Roman" w:hAnsi="Times New Roman"/>
                <w:b/>
                <w:sz w:val="24"/>
                <w:u w:val="single"/>
              </w:rPr>
            </w:pPr>
            <w:r>
              <w:rPr>
                <w:rFonts w:ascii="Times New Roman" w:hAnsi="Times New Roman"/>
                <w:b/>
                <w:sz w:val="24"/>
                <w:u w:val="single"/>
              </w:rPr>
              <w:t>MONTANT D'EXPOSITION PONDÉRÉ APRÈS APPLICATION DU FACTEUR SUPPLÉTIF EN FAVEUR DES PME</w:t>
            </w:r>
          </w:p>
          <w:p w:rsidR="001C7AB7" w:rsidRPr="00392FFD" w:rsidRDefault="001C7AB7" w:rsidP="001C7AB7">
            <w:pPr>
              <w:rPr>
                <w:rFonts w:ascii="Times New Roman" w:hAnsi="Times New Roman"/>
                <w:sz w:val="24"/>
              </w:rPr>
            </w:pPr>
            <w:r>
              <w:rPr>
                <w:rFonts w:ascii="Times New Roman" w:hAnsi="Times New Roman"/>
                <w:sz w:val="24"/>
              </w:rPr>
              <w:t>Pour les administrations centrales et les banques centrales, les entreprises et les établi</w:t>
            </w:r>
            <w:r>
              <w:rPr>
                <w:rFonts w:ascii="Times New Roman" w:hAnsi="Times New Roman"/>
                <w:sz w:val="24"/>
              </w:rPr>
              <w:t>s</w:t>
            </w:r>
            <w:r>
              <w:rPr>
                <w:rFonts w:ascii="Times New Roman" w:hAnsi="Times New Roman"/>
                <w:sz w:val="24"/>
              </w:rPr>
              <w:t>sements, voir l’article 153, paragraphes 1 et 3, du CRR. Pour la clientèle de détail, voir l’article 154, paragraphe 1, du CRR.</w:t>
            </w:r>
          </w:p>
          <w:p w:rsidR="001C7AB7" w:rsidRPr="00392FFD" w:rsidRDefault="001C7AB7" w:rsidP="00FD6CCB">
            <w:pPr>
              <w:rPr>
                <w:rFonts w:ascii="Times New Roman" w:hAnsi="Times New Roman"/>
                <w:b/>
                <w:sz w:val="24"/>
                <w:u w:val="single"/>
              </w:rPr>
            </w:pPr>
            <w:r>
              <w:rPr>
                <w:rFonts w:ascii="Times New Roman" w:hAnsi="Times New Roman"/>
                <w:sz w:val="24"/>
              </w:rPr>
              <w:t>Le facteur supplétif pour les PME visé à l’article 501 du CRR sera pris en considération.</w:t>
            </w:r>
          </w:p>
        </w:tc>
      </w:tr>
      <w:tr w:rsidR="001C7AB7" w:rsidRPr="00392FFD" w:rsidTr="00692B10">
        <w:tc>
          <w:tcPr>
            <w:tcW w:w="1188" w:type="dxa"/>
            <w:shd w:val="clear" w:color="auto" w:fill="auto"/>
          </w:tcPr>
          <w:p w:rsidR="001C7AB7" w:rsidRPr="00392FFD" w:rsidRDefault="001C7AB7" w:rsidP="001C7AB7">
            <w:pPr>
              <w:rPr>
                <w:rFonts w:ascii="Times New Roman" w:hAnsi="Times New Roman"/>
                <w:sz w:val="24"/>
              </w:rPr>
            </w:pPr>
            <w:r>
              <w:rPr>
                <w:rFonts w:ascii="Times New Roman" w:hAnsi="Times New Roman"/>
                <w:sz w:val="24"/>
              </w:rPr>
              <w:t>270</w:t>
            </w:r>
          </w:p>
        </w:tc>
        <w:tc>
          <w:tcPr>
            <w:tcW w:w="8843" w:type="dxa"/>
            <w:shd w:val="clear" w:color="auto" w:fill="auto"/>
          </w:tcPr>
          <w:p w:rsidR="001C7AB7" w:rsidRPr="00392FFD" w:rsidRDefault="001C7AB7" w:rsidP="001C7AB7">
            <w:pPr>
              <w:rPr>
                <w:rFonts w:ascii="Times New Roman" w:hAnsi="Times New Roman"/>
                <w:b/>
                <w:sz w:val="24"/>
                <w:u w:val="single"/>
              </w:rPr>
            </w:pPr>
            <w:r>
              <w:rPr>
                <w:rFonts w:ascii="Times New Roman" w:hAnsi="Times New Roman"/>
                <w:b/>
                <w:sz w:val="24"/>
                <w:u w:val="single"/>
              </w:rPr>
              <w:t>DONT: ENTITÉS DU SECTEUR FINANCIER DE GRANDE TAILLE ET ENT</w:t>
            </w:r>
            <w:r>
              <w:rPr>
                <w:rFonts w:ascii="Times New Roman" w:hAnsi="Times New Roman"/>
                <w:b/>
                <w:sz w:val="24"/>
                <w:u w:val="single"/>
              </w:rPr>
              <w:t>I</w:t>
            </w:r>
            <w:r>
              <w:rPr>
                <w:rFonts w:ascii="Times New Roman" w:hAnsi="Times New Roman"/>
                <w:b/>
                <w:sz w:val="24"/>
                <w:u w:val="single"/>
              </w:rPr>
              <w:t>TÉS DU SECTEUR FINANCIER NON RÉGLEMENTÉES</w:t>
            </w:r>
          </w:p>
          <w:p w:rsidR="001C7AB7" w:rsidRPr="00392FFD" w:rsidDel="005A2363" w:rsidRDefault="001C7AB7" w:rsidP="00FD6CCB">
            <w:pPr>
              <w:rPr>
                <w:rFonts w:ascii="Times New Roman" w:hAnsi="Times New Roman"/>
                <w:sz w:val="24"/>
              </w:rPr>
            </w:pPr>
            <w:r>
              <w:rPr>
                <w:rFonts w:ascii="Times New Roman" w:hAnsi="Times New Roman"/>
                <w:sz w:val="24"/>
              </w:rPr>
              <w:t>Ventilation du montant d’exposition pondéré après application du facteur supplétif pour les PME, pour toutes les expositions définies conformément à l’article 142, paragraphes 4 et 5, du CRR, soumises à une corrélation plus forte, conformément à l’article 153, par</w:t>
            </w:r>
            <w:r>
              <w:rPr>
                <w:rFonts w:ascii="Times New Roman" w:hAnsi="Times New Roman"/>
                <w:sz w:val="24"/>
              </w:rPr>
              <w:t>a</w:t>
            </w:r>
            <w:r>
              <w:rPr>
                <w:rFonts w:ascii="Times New Roman" w:hAnsi="Times New Roman"/>
                <w:sz w:val="24"/>
              </w:rPr>
              <w:t>graphe 2, du CRR.</w:t>
            </w: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t>280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MONTANT DES PERTES ANTICIPÉES</w:t>
            </w:r>
          </w:p>
          <w:p w:rsidR="001C7AB7" w:rsidRPr="00392FFD" w:rsidRDefault="001C7AB7" w:rsidP="00FD6CCB">
            <w:pPr>
              <w:jc w:val="left"/>
              <w:rPr>
                <w:rFonts w:ascii="Times New Roman" w:hAnsi="Times New Roman"/>
                <w:sz w:val="24"/>
              </w:rPr>
            </w:pPr>
            <w:r>
              <w:rPr>
                <w:rFonts w:ascii="Times New Roman" w:hAnsi="Times New Roman"/>
                <w:sz w:val="24"/>
              </w:rPr>
              <w:t>Pour la définition des pertes anticipées, consultez l’article 5, point 3, du CRR. Pour le calcul, reportez-vous à l’article 158 du CRR. Le montant des pertes anticipées à décl</w:t>
            </w:r>
            <w:r>
              <w:rPr>
                <w:rFonts w:ascii="Times New Roman" w:hAnsi="Times New Roman"/>
                <w:sz w:val="24"/>
              </w:rPr>
              <w:t>a</w:t>
            </w:r>
            <w:r>
              <w:rPr>
                <w:rFonts w:ascii="Times New Roman" w:hAnsi="Times New Roman"/>
                <w:sz w:val="24"/>
              </w:rPr>
              <w:t>rer sera basé sur les paramètres de risque réellement utilisés dans le système de notation i</w:t>
            </w:r>
            <w:r>
              <w:rPr>
                <w:rFonts w:ascii="Times New Roman" w:hAnsi="Times New Roman"/>
                <w:sz w:val="24"/>
              </w:rPr>
              <w:t>n</w:t>
            </w:r>
            <w:r>
              <w:rPr>
                <w:rFonts w:ascii="Times New Roman" w:hAnsi="Times New Roman"/>
                <w:sz w:val="24"/>
              </w:rPr>
              <w:t>terne approuvé par les autorités compétentes respectives.</w:t>
            </w:r>
          </w:p>
        </w:tc>
      </w:tr>
      <w:tr w:rsidR="001C7AB7" w:rsidRPr="00392FFD" w:rsidTr="00692B10">
        <w:tc>
          <w:tcPr>
            <w:tcW w:w="1188" w:type="dxa"/>
          </w:tcPr>
          <w:p w:rsidR="001C7AB7" w:rsidRPr="00392FFD" w:rsidRDefault="001C7AB7" w:rsidP="001C7AB7">
            <w:pPr>
              <w:rPr>
                <w:rFonts w:ascii="Times New Roman" w:hAnsi="Times New Roman"/>
                <w:sz w:val="24"/>
              </w:rPr>
            </w:pPr>
            <w:r>
              <w:rPr>
                <w:rFonts w:ascii="Times New Roman" w:hAnsi="Times New Roman"/>
                <w:sz w:val="24"/>
              </w:rPr>
              <w:t>290</w:t>
            </w:r>
          </w:p>
        </w:tc>
        <w:tc>
          <w:tcPr>
            <w:tcW w:w="8843"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 CORRECTIONS DE VALEUR ET PROVISIONS</w:t>
            </w:r>
          </w:p>
          <w:p w:rsidR="001C7AB7" w:rsidRPr="00392FFD" w:rsidRDefault="001C7AB7" w:rsidP="00FD6CCB">
            <w:pPr>
              <w:rPr>
                <w:rFonts w:ascii="Times New Roman" w:hAnsi="Times New Roman"/>
                <w:sz w:val="24"/>
              </w:rPr>
            </w:pPr>
            <w:r>
              <w:rPr>
                <w:rFonts w:ascii="Times New Roman" w:hAnsi="Times New Roman"/>
                <w:sz w:val="24"/>
              </w:rPr>
              <w:t>Les corrections de valeur ainsi que les provisions générales et spécifiques visées à l’article 159 du CRR seront déclarées. Les provisions générales seront déclarées en ind</w:t>
            </w:r>
            <w:r>
              <w:rPr>
                <w:rFonts w:ascii="Times New Roman" w:hAnsi="Times New Roman"/>
                <w:sz w:val="24"/>
              </w:rPr>
              <w:t>i</w:t>
            </w:r>
            <w:r>
              <w:rPr>
                <w:rFonts w:ascii="Times New Roman" w:hAnsi="Times New Roman"/>
                <w:sz w:val="24"/>
              </w:rPr>
              <w:t>quant le montant au prorata de la perte anticipée pour les différents échelons de débiteurs.</w:t>
            </w:r>
          </w:p>
        </w:tc>
      </w:tr>
      <w:tr w:rsidR="001C7AB7" w:rsidRPr="00392FFD" w:rsidTr="00692B10">
        <w:tc>
          <w:tcPr>
            <w:tcW w:w="1188" w:type="dxa"/>
          </w:tcPr>
          <w:p w:rsidR="001C7AB7" w:rsidRPr="00392FFD" w:rsidRDefault="001C7AB7" w:rsidP="001C7AB7">
            <w:pPr>
              <w:ind w:right="-288"/>
              <w:rPr>
                <w:rFonts w:ascii="Times New Roman" w:hAnsi="Times New Roman"/>
                <w:sz w:val="24"/>
              </w:rPr>
            </w:pPr>
            <w:r>
              <w:rPr>
                <w:rFonts w:ascii="Times New Roman" w:hAnsi="Times New Roman"/>
                <w:sz w:val="24"/>
              </w:rPr>
              <w:t>300</w:t>
            </w:r>
          </w:p>
        </w:tc>
        <w:tc>
          <w:tcPr>
            <w:tcW w:w="8843" w:type="dxa"/>
          </w:tcPr>
          <w:p w:rsidR="001C7AB7" w:rsidRPr="00392FFD" w:rsidRDefault="001C7AB7" w:rsidP="001C7AB7">
            <w:pPr>
              <w:ind w:right="-288"/>
              <w:rPr>
                <w:rFonts w:ascii="Times New Roman" w:hAnsi="Times New Roman"/>
                <w:b/>
                <w:sz w:val="24"/>
                <w:u w:val="single"/>
              </w:rPr>
            </w:pPr>
            <w:r>
              <w:rPr>
                <w:rFonts w:ascii="Times New Roman" w:hAnsi="Times New Roman"/>
                <w:b/>
                <w:sz w:val="24"/>
                <w:u w:val="single"/>
              </w:rPr>
              <w:t>NOMBRE DE DÉBITEURS</w:t>
            </w:r>
          </w:p>
          <w:p w:rsidR="001C7AB7" w:rsidRPr="00392FFD" w:rsidRDefault="001C7AB7" w:rsidP="001C7AB7">
            <w:pPr>
              <w:rPr>
                <w:rFonts w:ascii="Times New Roman" w:hAnsi="Times New Roman"/>
                <w:sz w:val="24"/>
              </w:rPr>
            </w:pPr>
            <w:r>
              <w:rPr>
                <w:rFonts w:ascii="Times New Roman" w:hAnsi="Times New Roman"/>
                <w:sz w:val="24"/>
              </w:rPr>
              <w:t>Article 172, paragraphes 1 et 2, du CRR</w:t>
            </w:r>
          </w:p>
          <w:p w:rsidR="001C7AB7" w:rsidRPr="00392FFD" w:rsidRDefault="001C7AB7" w:rsidP="001C7AB7">
            <w:pPr>
              <w:rPr>
                <w:rFonts w:ascii="Times New Roman" w:hAnsi="Times New Roman"/>
                <w:sz w:val="24"/>
              </w:rPr>
            </w:pPr>
            <w:r>
              <w:rPr>
                <w:rFonts w:ascii="Times New Roman" w:hAnsi="Times New Roman"/>
                <w:sz w:val="24"/>
              </w:rPr>
              <w:t xml:space="preserve">Pour toutes les catégories d’expositions à l’exception de la catégorie «clientèle de détail» </w:t>
            </w:r>
            <w:r>
              <w:rPr>
                <w:rFonts w:ascii="Times New Roman" w:hAnsi="Times New Roman"/>
                <w:sz w:val="24"/>
              </w:rPr>
              <w:lastRenderedPageBreak/>
              <w:t>et des cas mentionnés à l’article 172, paragraphe 1, point e), deuxième phrase du CRR, l’établissement déclare le nombre d’entités légales/de débiteurs qui ont été notés sépar</w:t>
            </w:r>
            <w:r>
              <w:rPr>
                <w:rFonts w:ascii="Times New Roman" w:hAnsi="Times New Roman"/>
                <w:sz w:val="24"/>
              </w:rPr>
              <w:t>é</w:t>
            </w:r>
            <w:r>
              <w:rPr>
                <w:rFonts w:ascii="Times New Roman" w:hAnsi="Times New Roman"/>
                <w:sz w:val="24"/>
              </w:rPr>
              <w:t xml:space="preserve">ment, quel que soit le nombre des différents prêts ou expositions accordés. </w:t>
            </w:r>
          </w:p>
          <w:p w:rsidR="001C7AB7" w:rsidRPr="00392FFD" w:rsidRDefault="001C7AB7" w:rsidP="001C7AB7">
            <w:pPr>
              <w:rPr>
                <w:rFonts w:ascii="Times New Roman" w:hAnsi="Times New Roman"/>
                <w:sz w:val="24"/>
              </w:rPr>
            </w:pPr>
            <w:r>
              <w:rPr>
                <w:rFonts w:ascii="Times New Roman" w:hAnsi="Times New Roman"/>
                <w:sz w:val="24"/>
              </w:rPr>
              <w:t>Au sein de la catégorie d’exposition «clientèle de détail», ou si des expositions distinctes sur un même débiteur sont affectées à des échelons de débiteurs différents conformément à l’article 172, paragraphe 1, point e), deuxième phrase, du CRR dans d’autres catégories d’expositions, l’établissement déclare le nombre d’expositions qui ont été affectées sép</w:t>
            </w:r>
            <w:r>
              <w:rPr>
                <w:rFonts w:ascii="Times New Roman" w:hAnsi="Times New Roman"/>
                <w:sz w:val="24"/>
              </w:rPr>
              <w:t>a</w:t>
            </w:r>
            <w:r>
              <w:rPr>
                <w:rFonts w:ascii="Times New Roman" w:hAnsi="Times New Roman"/>
                <w:sz w:val="24"/>
              </w:rPr>
              <w:t xml:space="preserve">rément à un échelon ou catégorie de notation donné. Lorsque l’article 172, paragraphe 2, du CRR s’applique, il se peut qu’un débiteur fasse partie de plusieurs échelons. </w:t>
            </w:r>
          </w:p>
          <w:p w:rsidR="001C7AB7" w:rsidRPr="00392FFD" w:rsidRDefault="001C7AB7" w:rsidP="00241845">
            <w:pPr>
              <w:rPr>
                <w:rFonts w:ascii="Times New Roman" w:hAnsi="Times New Roman"/>
                <w:sz w:val="24"/>
              </w:rPr>
            </w:pPr>
            <w:r>
              <w:rPr>
                <w:rStyle w:val="InstructionsTabelleText"/>
                <w:rFonts w:ascii="Times New Roman" w:hAnsi="Times New Roman"/>
                <w:sz w:val="24"/>
              </w:rPr>
              <w:t>Étant donné que cette colonne concerne un élément de la structure des systèmes de not</w:t>
            </w:r>
            <w:r>
              <w:rPr>
                <w:rStyle w:val="InstructionsTabelleText"/>
                <w:rFonts w:ascii="Times New Roman" w:hAnsi="Times New Roman"/>
                <w:sz w:val="24"/>
              </w:rPr>
              <w:t>a</w:t>
            </w:r>
            <w:r>
              <w:rPr>
                <w:rStyle w:val="InstructionsTabelleText"/>
                <w:rFonts w:ascii="Times New Roman" w:hAnsi="Times New Roman"/>
                <w:sz w:val="24"/>
              </w:rPr>
              <w:t>tions, elle traite des expositions initiales avant application des facteurs de conversion a</w:t>
            </w:r>
            <w:r>
              <w:rPr>
                <w:rStyle w:val="InstructionsTabelleText"/>
                <w:rFonts w:ascii="Times New Roman" w:hAnsi="Times New Roman"/>
                <w:sz w:val="24"/>
              </w:rPr>
              <w:t>t</w:t>
            </w:r>
            <w:r>
              <w:rPr>
                <w:rStyle w:val="InstructionsTabelleText"/>
                <w:rFonts w:ascii="Times New Roman" w:hAnsi="Times New Roman"/>
                <w:sz w:val="24"/>
              </w:rPr>
              <w:t>tribuées à chaque échelon ou catégorie de débiteurs, compte non tenu de l’effet des tec</w:t>
            </w:r>
            <w:r>
              <w:rPr>
                <w:rStyle w:val="InstructionsTabelleText"/>
                <w:rFonts w:ascii="Times New Roman" w:hAnsi="Times New Roman"/>
                <w:sz w:val="24"/>
              </w:rPr>
              <w:t>h</w:t>
            </w:r>
            <w:r>
              <w:rPr>
                <w:rStyle w:val="InstructionsTabelleText"/>
                <w:rFonts w:ascii="Times New Roman" w:hAnsi="Times New Roman"/>
                <w:sz w:val="24"/>
              </w:rPr>
              <w:t>niques d’atténuation du risque de crédit (plus particulièrement les effets de la redistrib</w:t>
            </w:r>
            <w:r>
              <w:rPr>
                <w:rStyle w:val="InstructionsTabelleText"/>
                <w:rFonts w:ascii="Times New Roman" w:hAnsi="Times New Roman"/>
                <w:sz w:val="24"/>
              </w:rPr>
              <w:t>u</w:t>
            </w:r>
            <w:r>
              <w:rPr>
                <w:rStyle w:val="InstructionsTabelleText"/>
                <w:rFonts w:ascii="Times New Roman" w:hAnsi="Times New Roman"/>
                <w:sz w:val="24"/>
              </w:rPr>
              <w:t>tion).</w:t>
            </w:r>
          </w:p>
        </w:tc>
      </w:tr>
    </w:tbl>
    <w:p w:rsidR="001C7AB7" w:rsidRPr="00392FFD" w:rsidRDefault="001C7AB7" w:rsidP="001C7AB7">
      <w:pPr>
        <w:rPr>
          <w:rFonts w:ascii="Times New Roman" w:hAnsi="Times New Roman"/>
          <w:sz w:val="24"/>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2"/>
        <w:gridCol w:w="8789"/>
      </w:tblGrid>
      <w:tr w:rsidR="001C7AB7" w:rsidRPr="00392FFD" w:rsidTr="00692B10">
        <w:tc>
          <w:tcPr>
            <w:tcW w:w="1242" w:type="dxa"/>
            <w:shd w:val="clear" w:color="auto" w:fill="CCCCCC"/>
          </w:tcPr>
          <w:p w:rsidR="001C7AB7" w:rsidRPr="00392FFD" w:rsidRDefault="001C7AB7" w:rsidP="001C7AB7">
            <w:pPr>
              <w:rPr>
                <w:rFonts w:ascii="Times New Roman" w:hAnsi="Times New Roman"/>
                <w:sz w:val="24"/>
              </w:rPr>
            </w:pPr>
            <w:r>
              <w:rPr>
                <w:rFonts w:ascii="Times New Roman" w:hAnsi="Times New Roman"/>
                <w:sz w:val="24"/>
              </w:rPr>
              <w:t>Lignes</w:t>
            </w:r>
          </w:p>
        </w:tc>
        <w:tc>
          <w:tcPr>
            <w:tcW w:w="8789" w:type="dxa"/>
            <w:shd w:val="clear" w:color="auto" w:fill="CCCCCC"/>
          </w:tcPr>
          <w:p w:rsidR="001C7AB7" w:rsidRPr="00392FFD" w:rsidRDefault="001C7AB7" w:rsidP="001C7AB7">
            <w:pPr>
              <w:ind w:left="72"/>
              <w:rPr>
                <w:rFonts w:ascii="Times New Roman" w:hAnsi="Times New Roman"/>
                <w:sz w:val="24"/>
              </w:rPr>
            </w:pPr>
            <w:r>
              <w:rPr>
                <w:rFonts w:ascii="Times New Roman" w:hAnsi="Times New Roman"/>
                <w:sz w:val="24"/>
              </w:rPr>
              <w:t>Instructions</w:t>
            </w:r>
          </w:p>
        </w:tc>
      </w:tr>
      <w:tr w:rsidR="001C7AB7" w:rsidRPr="00392FFD" w:rsidTr="00692B10">
        <w:tc>
          <w:tcPr>
            <w:tcW w:w="1242" w:type="dxa"/>
          </w:tcPr>
          <w:p w:rsidR="001C7AB7" w:rsidRPr="00392FFD" w:rsidRDefault="001C7AB7" w:rsidP="001C7AB7">
            <w:pPr>
              <w:rPr>
                <w:rFonts w:ascii="Times New Roman" w:hAnsi="Times New Roman"/>
                <w:sz w:val="24"/>
              </w:rPr>
            </w:pPr>
            <w:r>
              <w:rPr>
                <w:rFonts w:ascii="Times New Roman" w:hAnsi="Times New Roman"/>
                <w:sz w:val="24"/>
              </w:rPr>
              <w:t>010</w:t>
            </w:r>
          </w:p>
        </w:tc>
        <w:tc>
          <w:tcPr>
            <w:tcW w:w="8789" w:type="dxa"/>
          </w:tcPr>
          <w:p w:rsidR="001C7AB7" w:rsidRPr="00392FFD" w:rsidRDefault="001C7AB7" w:rsidP="00FD6CCB">
            <w:pPr>
              <w:rPr>
                <w:rFonts w:ascii="Times New Roman" w:hAnsi="Times New Roman"/>
                <w:sz w:val="24"/>
              </w:rPr>
            </w:pPr>
            <w:r>
              <w:rPr>
                <w:rFonts w:ascii="Times New Roman" w:hAnsi="Times New Roman"/>
                <w:b/>
                <w:sz w:val="24"/>
                <w:u w:val="single"/>
              </w:rPr>
              <w:t>TOTAL DES EXPOSITIONS</w:t>
            </w:r>
          </w:p>
        </w:tc>
      </w:tr>
      <w:tr w:rsidR="00785F3E" w:rsidRPr="00392FFD" w:rsidTr="00692B10">
        <w:tc>
          <w:tcPr>
            <w:tcW w:w="1242" w:type="dxa"/>
          </w:tcPr>
          <w:p w:rsidR="00785F3E" w:rsidRPr="00392FFD" w:rsidRDefault="003C3168" w:rsidP="001C7AB7">
            <w:pPr>
              <w:rPr>
                <w:rFonts w:ascii="Times New Roman" w:hAnsi="Times New Roman"/>
                <w:sz w:val="24"/>
              </w:rPr>
            </w:pPr>
            <w:r>
              <w:rPr>
                <w:rFonts w:ascii="Times New Roman" w:hAnsi="Times New Roman"/>
                <w:sz w:val="24"/>
              </w:rPr>
              <w:t>015</w:t>
            </w:r>
          </w:p>
        </w:tc>
        <w:tc>
          <w:tcPr>
            <w:tcW w:w="8789" w:type="dxa"/>
          </w:tcPr>
          <w:p w:rsidR="00785F3E" w:rsidRPr="00392FFD" w:rsidRDefault="00785F3E" w:rsidP="00785F3E">
            <w:pPr>
              <w:rPr>
                <w:rFonts w:ascii="Times New Roman" w:hAnsi="Times New Roman"/>
                <w:b/>
                <w:sz w:val="24"/>
                <w:u w:val="single"/>
              </w:rPr>
            </w:pPr>
            <w:r>
              <w:rPr>
                <w:rFonts w:ascii="Times New Roman" w:hAnsi="Times New Roman"/>
                <w:b/>
                <w:sz w:val="24"/>
                <w:u w:val="single"/>
              </w:rPr>
              <w:t>dont: Expositions soumises à l'application du facteur supplétif en faveur des PME</w:t>
            </w:r>
          </w:p>
          <w:p w:rsidR="00785F3E" w:rsidRPr="00392FFD" w:rsidRDefault="00785F3E" w:rsidP="00785F3E">
            <w:pPr>
              <w:rPr>
                <w:rFonts w:ascii="Times New Roman" w:hAnsi="Times New Roman"/>
                <w:sz w:val="24"/>
              </w:rPr>
            </w:pPr>
            <w:r>
              <w:rPr>
                <w:rFonts w:ascii="Times New Roman" w:hAnsi="Times New Roman"/>
                <w:sz w:val="24"/>
              </w:rPr>
              <w:t>Seules les expositions qui satisfont aux exigences de l’article 501 du CRR seront décl</w:t>
            </w:r>
            <w:r>
              <w:rPr>
                <w:rFonts w:ascii="Times New Roman" w:hAnsi="Times New Roman"/>
                <w:sz w:val="24"/>
              </w:rPr>
              <w:t>a</w:t>
            </w:r>
            <w:r>
              <w:rPr>
                <w:rFonts w:ascii="Times New Roman" w:hAnsi="Times New Roman"/>
                <w:sz w:val="24"/>
              </w:rPr>
              <w:t>rées ici.</w:t>
            </w:r>
          </w:p>
        </w:tc>
      </w:tr>
      <w:tr w:rsidR="001C7AB7" w:rsidRPr="00392FFD" w:rsidTr="00692B10">
        <w:tc>
          <w:tcPr>
            <w:tcW w:w="1242" w:type="dxa"/>
          </w:tcPr>
          <w:p w:rsidR="001C7AB7" w:rsidRPr="00392FFD" w:rsidRDefault="001C7AB7" w:rsidP="001C7AB7">
            <w:pPr>
              <w:rPr>
                <w:rFonts w:ascii="Times New Roman" w:hAnsi="Times New Roman"/>
                <w:sz w:val="24"/>
              </w:rPr>
            </w:pPr>
            <w:r>
              <w:rPr>
                <w:rFonts w:ascii="Times New Roman" w:hAnsi="Times New Roman"/>
                <w:sz w:val="24"/>
              </w:rPr>
              <w:t>020-060</w:t>
            </w:r>
          </w:p>
        </w:tc>
        <w:tc>
          <w:tcPr>
            <w:tcW w:w="8789" w:type="dxa"/>
          </w:tcPr>
          <w:p w:rsidR="001C7AB7" w:rsidRPr="00392FFD" w:rsidRDefault="001C7AB7" w:rsidP="001C7AB7">
            <w:pPr>
              <w:rPr>
                <w:rFonts w:ascii="Times New Roman" w:hAnsi="Times New Roman"/>
                <w:sz w:val="24"/>
              </w:rPr>
            </w:pPr>
            <w:r>
              <w:rPr>
                <w:rFonts w:ascii="Times New Roman" w:hAnsi="Times New Roman"/>
                <w:sz w:val="24"/>
              </w:rPr>
              <w:t>RÉPARTITION DES EXPOSITIONS TOTALES PAR TYPE D’EXPOSITION</w:t>
            </w:r>
          </w:p>
        </w:tc>
      </w:tr>
      <w:tr w:rsidR="001C7AB7" w:rsidRPr="00392FFD" w:rsidTr="00692B10">
        <w:tc>
          <w:tcPr>
            <w:tcW w:w="1242" w:type="dxa"/>
          </w:tcPr>
          <w:p w:rsidR="001C7AB7" w:rsidRPr="00392FFD" w:rsidRDefault="001C7AB7" w:rsidP="001C7AB7">
            <w:pPr>
              <w:rPr>
                <w:rFonts w:ascii="Times New Roman" w:hAnsi="Times New Roman"/>
                <w:sz w:val="24"/>
              </w:rPr>
            </w:pPr>
            <w:r>
              <w:rPr>
                <w:rFonts w:ascii="Times New Roman" w:hAnsi="Times New Roman"/>
                <w:sz w:val="24"/>
              </w:rPr>
              <w:t>020</w:t>
            </w:r>
          </w:p>
        </w:tc>
        <w:tc>
          <w:tcPr>
            <w:tcW w:w="8789"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 xml:space="preserve">Éléments de bilan soumis au risque de crédit </w:t>
            </w:r>
          </w:p>
          <w:p w:rsidR="001C7AB7" w:rsidRPr="00392FFD" w:rsidRDefault="001C7AB7" w:rsidP="00FC20DD">
            <w:pPr>
              <w:rPr>
                <w:rStyle w:val="InstructionsTabelleText"/>
                <w:rFonts w:ascii="Times New Roman" w:hAnsi="Times New Roman"/>
                <w:sz w:val="24"/>
              </w:rPr>
            </w:pPr>
            <w:r>
              <w:rPr>
                <w:rStyle w:val="InstructionsTabelleText"/>
                <w:rFonts w:ascii="Times New Roman" w:hAnsi="Times New Roman"/>
                <w:sz w:val="24"/>
              </w:rPr>
              <w:t>Les actifs visés à l’article 24 du CRR non inclus dans une autre catégorie.</w:t>
            </w:r>
          </w:p>
          <w:p w:rsidR="001C7AB7" w:rsidRPr="00392FFD" w:rsidRDefault="001C7AB7" w:rsidP="00FC20DD">
            <w:pPr>
              <w:rPr>
                <w:rStyle w:val="InstructionsTabelleText"/>
                <w:rFonts w:ascii="Times New Roman" w:hAnsi="Times New Roman"/>
                <w:sz w:val="24"/>
              </w:rPr>
            </w:pPr>
            <w:r>
              <w:rPr>
                <w:rStyle w:val="InstructionsTabelleText"/>
                <w:rFonts w:ascii="Times New Roman" w:hAnsi="Times New Roman"/>
                <w:sz w:val="24"/>
              </w:rPr>
              <w:t>Les expositions qui sont des éléments au bilan et sont comptabilisées comme des opér</w:t>
            </w:r>
            <w:r>
              <w:rPr>
                <w:rStyle w:val="InstructionsTabelleText"/>
                <w:rFonts w:ascii="Times New Roman" w:hAnsi="Times New Roman"/>
                <w:sz w:val="24"/>
              </w:rPr>
              <w:t>a</w:t>
            </w:r>
            <w:r>
              <w:rPr>
                <w:rStyle w:val="InstructionsTabelleText"/>
                <w:rFonts w:ascii="Times New Roman" w:hAnsi="Times New Roman"/>
                <w:sz w:val="24"/>
              </w:rPr>
              <w:t>tions de financement sur titres, des dérivés et opérations à règlement différé, ou qui sont issues d’une convention de compensation multiproduits, seront déclarées aux lignes 040-060 et ne figureront par conséquent pas dans cette ligne.</w:t>
            </w:r>
          </w:p>
          <w:p w:rsidR="001C7AB7" w:rsidRPr="00392FFD" w:rsidRDefault="001C7AB7" w:rsidP="00FC20DD">
            <w:pPr>
              <w:rPr>
                <w:rStyle w:val="InstructionsTabelleText"/>
                <w:rFonts w:ascii="Times New Roman" w:hAnsi="Times New Roman"/>
                <w:sz w:val="24"/>
              </w:rPr>
            </w:pPr>
            <w:r>
              <w:rPr>
                <w:rStyle w:val="InstructionsTabelleText"/>
                <w:rFonts w:ascii="Times New Roman" w:hAnsi="Times New Roman"/>
                <w:sz w:val="24"/>
              </w:rPr>
              <w:t>Les positions de négociation non dénouées, conformément à l’article 379, paragraphe 1, du CRR (lorsqu’elles ne sont pas déduites) ne constituent pas un élément au bilan, mais devront néanmoins être déclarées dans cette ligne.</w:t>
            </w:r>
          </w:p>
          <w:p w:rsidR="001C7AB7" w:rsidRPr="00392FFD" w:rsidRDefault="001C7AB7" w:rsidP="001C7AB7">
            <w:pPr>
              <w:rPr>
                <w:rFonts w:ascii="Times New Roman" w:hAnsi="Times New Roman"/>
                <w:sz w:val="24"/>
              </w:rPr>
            </w:pPr>
            <w:r>
              <w:rPr>
                <w:rStyle w:val="InstructionsTabelleText"/>
                <w:rFonts w:ascii="Times New Roman" w:hAnsi="Times New Roman"/>
                <w:sz w:val="24"/>
              </w:rPr>
              <w:t xml:space="preserve">Les expositions issues d'actifs donnés à une CCP conformément à l'article 4, point 91, du CRR ainsi que les expositions aux fonds de défaillance au sens de l'article 4, point 89, du CRR seront incluses lorsqu'elles n'ont pas été déclarées à la ligne 030. </w:t>
            </w:r>
          </w:p>
        </w:tc>
      </w:tr>
      <w:tr w:rsidR="001C7AB7" w:rsidRPr="00392FFD" w:rsidTr="00692B10">
        <w:tc>
          <w:tcPr>
            <w:tcW w:w="1242" w:type="dxa"/>
          </w:tcPr>
          <w:p w:rsidR="001C7AB7" w:rsidRPr="00392FFD" w:rsidRDefault="001C7AB7" w:rsidP="001C7AB7">
            <w:pPr>
              <w:rPr>
                <w:rFonts w:ascii="Times New Roman" w:hAnsi="Times New Roman"/>
                <w:sz w:val="24"/>
              </w:rPr>
            </w:pPr>
            <w:r>
              <w:rPr>
                <w:rFonts w:ascii="Times New Roman" w:hAnsi="Times New Roman"/>
                <w:sz w:val="24"/>
              </w:rPr>
              <w:t>030</w:t>
            </w:r>
          </w:p>
        </w:tc>
        <w:tc>
          <w:tcPr>
            <w:tcW w:w="8789"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Éléments de hors bilan soumis au risque de crédit</w:t>
            </w:r>
          </w:p>
          <w:p w:rsidR="001C7AB7" w:rsidRPr="00392FFD" w:rsidRDefault="001C7AB7" w:rsidP="001C7AB7">
            <w:pPr>
              <w:rPr>
                <w:rStyle w:val="InstructionsTabelleText"/>
                <w:rFonts w:ascii="Times New Roman" w:hAnsi="Times New Roman"/>
                <w:sz w:val="24"/>
              </w:rPr>
            </w:pPr>
            <w:r>
              <w:rPr>
                <w:rStyle w:val="InstructionsTabelleText"/>
                <w:rFonts w:ascii="Times New Roman" w:hAnsi="Times New Roman"/>
                <w:sz w:val="24"/>
              </w:rPr>
              <w:t>Les positions hors bilan comprennent les éléments figurant sur la liste de l’annexe I du CRR.</w:t>
            </w:r>
          </w:p>
          <w:p w:rsidR="001C7AB7" w:rsidRPr="00392FFD" w:rsidRDefault="001C7AB7" w:rsidP="001C7AB7">
            <w:pPr>
              <w:rPr>
                <w:rStyle w:val="InstructionsTabelleText"/>
                <w:rFonts w:ascii="Times New Roman" w:hAnsi="Times New Roman"/>
                <w:sz w:val="24"/>
              </w:rPr>
            </w:pPr>
            <w:r>
              <w:rPr>
                <w:rStyle w:val="InstructionsTabelleText"/>
                <w:rFonts w:ascii="Times New Roman" w:hAnsi="Times New Roman"/>
                <w:sz w:val="24"/>
              </w:rPr>
              <w:t>Les expositions qui sont des éléments hors bilan et sont comptabilisées comme des op</w:t>
            </w:r>
            <w:r>
              <w:rPr>
                <w:rStyle w:val="InstructionsTabelleText"/>
                <w:rFonts w:ascii="Times New Roman" w:hAnsi="Times New Roman"/>
                <w:sz w:val="24"/>
              </w:rPr>
              <w:t>é</w:t>
            </w:r>
            <w:r>
              <w:rPr>
                <w:rStyle w:val="InstructionsTabelleText"/>
                <w:rFonts w:ascii="Times New Roman" w:hAnsi="Times New Roman"/>
                <w:sz w:val="24"/>
              </w:rPr>
              <w:t xml:space="preserve">rations de financement sur titres, des dérivés et opérations à règlement différé ou issues d’une convention de compensation multiproduits, seront déclarées aux lignes 040-060 et </w:t>
            </w:r>
            <w:r>
              <w:rPr>
                <w:rStyle w:val="InstructionsTabelleText"/>
                <w:rFonts w:ascii="Times New Roman" w:hAnsi="Times New Roman"/>
                <w:sz w:val="24"/>
              </w:rPr>
              <w:lastRenderedPageBreak/>
              <w:t>ne figureront par conséquent pas dans cette ligne.</w:t>
            </w:r>
          </w:p>
          <w:p w:rsidR="001C7AB7" w:rsidRPr="00392FFD" w:rsidRDefault="001C7AB7" w:rsidP="001C7AB7">
            <w:pPr>
              <w:rPr>
                <w:rFonts w:ascii="Times New Roman" w:hAnsi="Times New Roman"/>
                <w:sz w:val="24"/>
              </w:rPr>
            </w:pPr>
            <w:r>
              <w:rPr>
                <w:rStyle w:val="InstructionsTabelleText"/>
                <w:rFonts w:ascii="Times New Roman" w:hAnsi="Times New Roman"/>
                <w:sz w:val="24"/>
              </w:rPr>
              <w:t xml:space="preserve">Les expositions issues d’actifs donnés à une CCP conformément à l’article 4, point 91, du CRR ainsi que les expositions aux fonds de défaillance au sens de l’article 4, point 89, du CRR seront incluses dès lors qu’elles sont considérées comme des éléments hors bilan. </w:t>
            </w:r>
          </w:p>
        </w:tc>
      </w:tr>
      <w:tr w:rsidR="001C7AB7" w:rsidRPr="00392FFD" w:rsidTr="00692B10">
        <w:tc>
          <w:tcPr>
            <w:tcW w:w="1242" w:type="dxa"/>
          </w:tcPr>
          <w:p w:rsidR="001C7AB7" w:rsidRPr="00392FFD" w:rsidRDefault="001C7AB7" w:rsidP="001C7AB7">
            <w:pPr>
              <w:rPr>
                <w:rFonts w:ascii="Times New Roman" w:hAnsi="Times New Roman"/>
                <w:sz w:val="24"/>
              </w:rPr>
            </w:pPr>
            <w:r>
              <w:rPr>
                <w:rStyle w:val="InstructionsTabelleText"/>
                <w:rFonts w:ascii="Times New Roman" w:hAnsi="Times New Roman"/>
                <w:sz w:val="24"/>
              </w:rPr>
              <w:lastRenderedPageBreak/>
              <w:t>040-060</w:t>
            </w:r>
          </w:p>
        </w:tc>
        <w:tc>
          <w:tcPr>
            <w:tcW w:w="8789" w:type="dxa"/>
          </w:tcPr>
          <w:p w:rsidR="001C7AB7" w:rsidRPr="00392FFD" w:rsidRDefault="001C7AB7" w:rsidP="001C7AB7">
            <w:pPr>
              <w:rPr>
                <w:rFonts w:ascii="Times New Roman" w:hAnsi="Times New Roman"/>
                <w:b/>
                <w:sz w:val="24"/>
                <w:u w:val="single"/>
              </w:rPr>
            </w:pPr>
            <w:r>
              <w:rPr>
                <w:rStyle w:val="InstructionsTabelleberschrift"/>
                <w:rFonts w:ascii="Times New Roman" w:hAnsi="Times New Roman"/>
                <w:sz w:val="24"/>
              </w:rPr>
              <w:t>Expositions/Opérations soumises au risque de crédit de contrepartie</w:t>
            </w:r>
          </w:p>
        </w:tc>
      </w:tr>
      <w:tr w:rsidR="001C7AB7" w:rsidRPr="00392FFD" w:rsidTr="00692B10">
        <w:tc>
          <w:tcPr>
            <w:tcW w:w="1242" w:type="dxa"/>
          </w:tcPr>
          <w:p w:rsidR="001C7AB7" w:rsidRPr="00392FFD" w:rsidRDefault="001C7AB7" w:rsidP="001C7AB7">
            <w:pPr>
              <w:rPr>
                <w:rFonts w:ascii="Times New Roman" w:hAnsi="Times New Roman"/>
                <w:sz w:val="24"/>
              </w:rPr>
            </w:pPr>
            <w:r>
              <w:rPr>
                <w:rFonts w:ascii="Times New Roman" w:hAnsi="Times New Roman"/>
                <w:sz w:val="24"/>
              </w:rPr>
              <w:t>040</w:t>
            </w:r>
          </w:p>
        </w:tc>
        <w:tc>
          <w:tcPr>
            <w:tcW w:w="8789" w:type="dxa"/>
          </w:tcPr>
          <w:p w:rsidR="001C7AB7" w:rsidRPr="00392FFD" w:rsidRDefault="001C7AB7" w:rsidP="001C7AB7">
            <w:pPr>
              <w:ind w:left="72"/>
              <w:rPr>
                <w:rStyle w:val="InstructionsTabelleberschrift"/>
                <w:rFonts w:ascii="Times New Roman" w:hAnsi="Times New Roman"/>
                <w:sz w:val="24"/>
              </w:rPr>
            </w:pPr>
            <w:r>
              <w:rPr>
                <w:rStyle w:val="InstructionsTabelleberschrift"/>
                <w:rFonts w:ascii="Times New Roman" w:hAnsi="Times New Roman"/>
                <w:sz w:val="24"/>
              </w:rPr>
              <w:t xml:space="preserve">Opérations de financement sur titres </w:t>
            </w:r>
          </w:p>
          <w:p w:rsidR="001C7AB7" w:rsidRPr="00392FFD" w:rsidRDefault="001C7AB7" w:rsidP="001C7AB7">
            <w:pPr>
              <w:ind w:left="72"/>
              <w:rPr>
                <w:rStyle w:val="InstructionsTabelleText"/>
                <w:rFonts w:ascii="Times New Roman" w:hAnsi="Times New Roman"/>
                <w:sz w:val="24"/>
              </w:rPr>
            </w:pPr>
            <w:r>
              <w:rPr>
                <w:rStyle w:val="InstructionsTabelleText"/>
                <w:rFonts w:ascii="Times New Roman" w:hAnsi="Times New Roman"/>
                <w:sz w:val="24"/>
              </w:rPr>
              <w:t>Les opérations de financement sur titres, telles que définies au paragraphe 17 du doc</w:t>
            </w:r>
            <w:r>
              <w:rPr>
                <w:rStyle w:val="InstructionsTabelleText"/>
                <w:rFonts w:ascii="Times New Roman" w:hAnsi="Times New Roman"/>
                <w:sz w:val="24"/>
              </w:rPr>
              <w:t>u</w:t>
            </w:r>
            <w:r>
              <w:rPr>
                <w:rStyle w:val="InstructionsTabelleText"/>
                <w:rFonts w:ascii="Times New Roman" w:hAnsi="Times New Roman"/>
                <w:sz w:val="24"/>
              </w:rPr>
              <w:t>ment du comité de Bâle intitulé «The Application of Basel II to Trading Activities and the Treatment of Double Default Effects» (Application de Bâle II aux activités de nég</w:t>
            </w:r>
            <w:r>
              <w:rPr>
                <w:rStyle w:val="InstructionsTabelleText"/>
                <w:rFonts w:ascii="Times New Roman" w:hAnsi="Times New Roman"/>
                <w:sz w:val="24"/>
              </w:rPr>
              <w:t>o</w:t>
            </w:r>
            <w:r>
              <w:rPr>
                <w:rStyle w:val="InstructionsTabelleText"/>
                <w:rFonts w:ascii="Times New Roman" w:hAnsi="Times New Roman"/>
                <w:sz w:val="24"/>
              </w:rPr>
              <w:t>ciation et au traitement des effets de double défaut), se composent des transactions su</w:t>
            </w:r>
            <w:r>
              <w:rPr>
                <w:rStyle w:val="InstructionsTabelleText"/>
                <w:rFonts w:ascii="Times New Roman" w:hAnsi="Times New Roman"/>
                <w:sz w:val="24"/>
              </w:rPr>
              <w:t>i</w:t>
            </w:r>
            <w:r>
              <w:rPr>
                <w:rStyle w:val="InstructionsTabelleText"/>
                <w:rFonts w:ascii="Times New Roman" w:hAnsi="Times New Roman"/>
                <w:sz w:val="24"/>
              </w:rPr>
              <w:t>vantes: (i) les accords de mise en pension et de prise en pension définis à l'article 4, point 82, du CRR, ainsi que les opérations de prêt ou d'emprunt de titres ou de matières premières; et (ii) les opérations de prêt avec appel de marge telles que définies à l'article 272, point 3, du CRR.</w:t>
            </w:r>
          </w:p>
          <w:p w:rsidR="001C7AB7" w:rsidRPr="00392FFD" w:rsidRDefault="001C7AB7" w:rsidP="00FD6CCB">
            <w:pPr>
              <w:rPr>
                <w:rFonts w:ascii="Times New Roman" w:hAnsi="Times New Roman"/>
                <w:sz w:val="24"/>
              </w:rPr>
            </w:pPr>
            <w:r>
              <w:rPr>
                <w:rStyle w:val="InstructionsTabelleText"/>
                <w:rFonts w:ascii="Times New Roman" w:hAnsi="Times New Roman"/>
                <w:sz w:val="24"/>
              </w:rPr>
              <w:t>Les opérations de financement sur titres faisant partie d’une convention de compensation multiproduits, et qui sont dès lors déclarées à la ligne 060, ne figureront pas dans cette ligne.</w:t>
            </w:r>
          </w:p>
        </w:tc>
      </w:tr>
      <w:tr w:rsidR="001C7AB7" w:rsidRPr="00392FFD" w:rsidTr="00692B10">
        <w:tc>
          <w:tcPr>
            <w:tcW w:w="1242" w:type="dxa"/>
          </w:tcPr>
          <w:p w:rsidR="001C7AB7" w:rsidRPr="00392FFD" w:rsidRDefault="001C7AB7" w:rsidP="001C7AB7">
            <w:pPr>
              <w:rPr>
                <w:rFonts w:ascii="Times New Roman" w:hAnsi="Times New Roman"/>
                <w:sz w:val="24"/>
              </w:rPr>
            </w:pPr>
            <w:r>
              <w:rPr>
                <w:rFonts w:ascii="Times New Roman" w:hAnsi="Times New Roman"/>
                <w:sz w:val="24"/>
              </w:rPr>
              <w:t>050</w:t>
            </w:r>
          </w:p>
        </w:tc>
        <w:tc>
          <w:tcPr>
            <w:tcW w:w="8789"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 xml:space="preserve">Dérivés </w:t>
            </w:r>
            <w:r>
              <w:rPr>
                <w:rStyle w:val="InstructionsTabelleberschrift"/>
                <w:rFonts w:ascii="Times New Roman" w:hAnsi="Times New Roman"/>
                <w:sz w:val="24"/>
              </w:rPr>
              <w:t>et opérations à règlement différé</w:t>
            </w:r>
          </w:p>
          <w:p w:rsidR="001C7AB7" w:rsidRPr="00392FFD" w:rsidRDefault="001C7AB7" w:rsidP="00FD6CCB">
            <w:pPr>
              <w:ind w:left="72"/>
              <w:rPr>
                <w:rFonts w:ascii="Times New Roman" w:hAnsi="Times New Roman"/>
                <w:sz w:val="24"/>
              </w:rPr>
            </w:pPr>
            <w:r>
              <w:rPr>
                <w:rStyle w:val="InstructionsTabelleText"/>
                <w:rFonts w:ascii="Times New Roman" w:hAnsi="Times New Roman"/>
                <w:sz w:val="24"/>
              </w:rPr>
              <w:t>Les dérivés comprennent les contrats figurant sur la liste de l’annexe II du CRR. Les d</w:t>
            </w:r>
            <w:r>
              <w:rPr>
                <w:rStyle w:val="InstructionsTabelleText"/>
                <w:rFonts w:ascii="Times New Roman" w:hAnsi="Times New Roman"/>
                <w:sz w:val="24"/>
              </w:rPr>
              <w:t>é</w:t>
            </w:r>
            <w:r>
              <w:rPr>
                <w:rStyle w:val="InstructionsTabelleText"/>
                <w:rFonts w:ascii="Times New Roman" w:hAnsi="Times New Roman"/>
                <w:sz w:val="24"/>
              </w:rPr>
              <w:t>rivés et les opérations à règlement différé faisant partie d’une convention de compens</w:t>
            </w:r>
            <w:r>
              <w:rPr>
                <w:rStyle w:val="InstructionsTabelleText"/>
                <w:rFonts w:ascii="Times New Roman" w:hAnsi="Times New Roman"/>
                <w:sz w:val="24"/>
              </w:rPr>
              <w:t>a</w:t>
            </w:r>
            <w:r>
              <w:rPr>
                <w:rStyle w:val="InstructionsTabelleText"/>
                <w:rFonts w:ascii="Times New Roman" w:hAnsi="Times New Roman"/>
                <w:sz w:val="24"/>
              </w:rPr>
              <w:t>tion multiproduits, et qui sont dès lors déclarés à la ligne 060, ne figureront pas dans cette ligne.</w:t>
            </w:r>
          </w:p>
        </w:tc>
      </w:tr>
      <w:tr w:rsidR="001C7AB7" w:rsidRPr="00392FFD" w:rsidTr="00692B10">
        <w:tc>
          <w:tcPr>
            <w:tcW w:w="1242" w:type="dxa"/>
          </w:tcPr>
          <w:p w:rsidR="001C7AB7" w:rsidRPr="00392FFD" w:rsidRDefault="001C7AB7" w:rsidP="001C7AB7">
            <w:pPr>
              <w:rPr>
                <w:rFonts w:ascii="Times New Roman" w:hAnsi="Times New Roman"/>
                <w:sz w:val="24"/>
              </w:rPr>
            </w:pPr>
            <w:r>
              <w:rPr>
                <w:rFonts w:ascii="Times New Roman" w:hAnsi="Times New Roman"/>
                <w:sz w:val="24"/>
              </w:rPr>
              <w:t>060</w:t>
            </w:r>
          </w:p>
        </w:tc>
        <w:tc>
          <w:tcPr>
            <w:tcW w:w="8789"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Issues d’une convention de compensation multiproduits</w:t>
            </w:r>
          </w:p>
          <w:p w:rsidR="001C7AB7" w:rsidRPr="00392FFD" w:rsidRDefault="00FD6CCB" w:rsidP="001C7AB7">
            <w:pPr>
              <w:rPr>
                <w:rFonts w:ascii="Times New Roman" w:hAnsi="Times New Roman"/>
                <w:sz w:val="24"/>
              </w:rPr>
            </w:pPr>
            <w:r>
              <w:rPr>
                <w:rFonts w:ascii="Times New Roman" w:hAnsi="Times New Roman"/>
                <w:sz w:val="24"/>
              </w:rPr>
              <w:t>Voir les instructions concernant le modèle CR SA</w:t>
            </w:r>
          </w:p>
        </w:tc>
      </w:tr>
      <w:tr w:rsidR="001C7AB7" w:rsidRPr="00392FFD" w:rsidTr="00692B10">
        <w:tc>
          <w:tcPr>
            <w:tcW w:w="1242" w:type="dxa"/>
          </w:tcPr>
          <w:p w:rsidR="001C7AB7" w:rsidRPr="00392FFD" w:rsidRDefault="001C7AB7" w:rsidP="001C7AB7">
            <w:pPr>
              <w:rPr>
                <w:rFonts w:ascii="Times New Roman" w:hAnsi="Times New Roman"/>
                <w:sz w:val="24"/>
              </w:rPr>
            </w:pPr>
            <w:r>
              <w:rPr>
                <w:rFonts w:ascii="Times New Roman" w:hAnsi="Times New Roman"/>
                <w:sz w:val="24"/>
              </w:rPr>
              <w:t>070</w:t>
            </w:r>
          </w:p>
        </w:tc>
        <w:tc>
          <w:tcPr>
            <w:tcW w:w="8789" w:type="dxa"/>
          </w:tcPr>
          <w:p w:rsidR="001C7AB7" w:rsidRPr="00392FFD" w:rsidRDefault="001C7AB7" w:rsidP="001C7AB7">
            <w:pPr>
              <w:rPr>
                <w:rFonts w:ascii="Times New Roman" w:hAnsi="Times New Roman"/>
                <w:b/>
                <w:sz w:val="24"/>
                <w:u w:val="single"/>
              </w:rPr>
            </w:pPr>
            <w:r>
              <w:rPr>
                <w:rFonts w:ascii="Times New Roman" w:hAnsi="Times New Roman"/>
                <w:b/>
                <w:sz w:val="24"/>
                <w:u w:val="single"/>
              </w:rPr>
              <w:t>EXPOSITIONS AFFECTÉES AUX ÉCHELONS OU CATÉGORIES DE DÉB</w:t>
            </w:r>
            <w:r>
              <w:rPr>
                <w:rFonts w:ascii="Times New Roman" w:hAnsi="Times New Roman"/>
                <w:b/>
                <w:sz w:val="24"/>
                <w:u w:val="single"/>
              </w:rPr>
              <w:t>I</w:t>
            </w:r>
            <w:r>
              <w:rPr>
                <w:rFonts w:ascii="Times New Roman" w:hAnsi="Times New Roman"/>
                <w:b/>
                <w:sz w:val="24"/>
                <w:u w:val="single"/>
              </w:rPr>
              <w:t>TEURS: TOTAL</w:t>
            </w:r>
          </w:p>
          <w:p w:rsidR="001C7AB7" w:rsidRPr="00392FFD" w:rsidRDefault="001C7AB7" w:rsidP="001C7AB7">
            <w:pPr>
              <w:rPr>
                <w:rFonts w:ascii="Times New Roman" w:hAnsi="Times New Roman"/>
                <w:sz w:val="24"/>
              </w:rPr>
            </w:pPr>
            <w:r>
              <w:rPr>
                <w:rFonts w:ascii="Times New Roman" w:hAnsi="Times New Roman"/>
                <w:sz w:val="24"/>
              </w:rPr>
              <w:t>Pour les expositions sur les entreprises, les établissements, et les administrations ce</w:t>
            </w:r>
            <w:r>
              <w:rPr>
                <w:rFonts w:ascii="Times New Roman" w:hAnsi="Times New Roman"/>
                <w:sz w:val="24"/>
              </w:rPr>
              <w:t>n</w:t>
            </w:r>
            <w:r>
              <w:rPr>
                <w:rFonts w:ascii="Times New Roman" w:hAnsi="Times New Roman"/>
                <w:sz w:val="24"/>
              </w:rPr>
              <w:t>trales et banques centrales, voir l'article 142, paragraphe 1, point 6, et l'article 170, par</w:t>
            </w:r>
            <w:r>
              <w:rPr>
                <w:rFonts w:ascii="Times New Roman" w:hAnsi="Times New Roman"/>
                <w:sz w:val="24"/>
              </w:rPr>
              <w:t>a</w:t>
            </w:r>
            <w:r>
              <w:rPr>
                <w:rFonts w:ascii="Times New Roman" w:hAnsi="Times New Roman"/>
                <w:sz w:val="24"/>
              </w:rPr>
              <w:t xml:space="preserve">graphe 1, point c), du CRR. </w:t>
            </w:r>
          </w:p>
          <w:p w:rsidR="001C7AB7" w:rsidRPr="00392FFD" w:rsidRDefault="001C7AB7" w:rsidP="001C7AB7">
            <w:pPr>
              <w:rPr>
                <w:rFonts w:ascii="Times New Roman" w:hAnsi="Times New Roman"/>
                <w:sz w:val="24"/>
              </w:rPr>
            </w:pPr>
            <w:r>
              <w:rPr>
                <w:rFonts w:ascii="Times New Roman" w:hAnsi="Times New Roman"/>
                <w:sz w:val="24"/>
              </w:rPr>
              <w:t xml:space="preserve">Pour les expositions sur la clientèle de détail, voir l'article 170, paragraphe 3, point b), du CRR. Pour les expositions provenant de créances achetées, voir l’article 166, paragraphe 6, du CRR. </w:t>
            </w:r>
          </w:p>
          <w:p w:rsidR="001C7AB7" w:rsidRPr="00392FFD" w:rsidRDefault="001C7AB7" w:rsidP="001C7AB7">
            <w:pPr>
              <w:rPr>
                <w:rFonts w:ascii="Times New Roman" w:hAnsi="Times New Roman"/>
                <w:sz w:val="24"/>
              </w:rPr>
            </w:pPr>
            <w:r>
              <w:rPr>
                <w:rFonts w:ascii="Times New Roman" w:hAnsi="Times New Roman"/>
                <w:sz w:val="24"/>
              </w:rPr>
              <w:t>Les expositions pour risque de dilution de créances achetées ne seront pas déclarées en fonction des échelons ou catégories de débiteurs. Elles figureront à la ligne 180.</w:t>
            </w:r>
          </w:p>
          <w:p w:rsidR="001C7AB7" w:rsidRPr="00392FFD" w:rsidRDefault="001C7AB7" w:rsidP="001C7AB7">
            <w:pPr>
              <w:rPr>
                <w:rFonts w:ascii="Times New Roman" w:hAnsi="Times New Roman"/>
                <w:sz w:val="24"/>
              </w:rPr>
            </w:pPr>
            <w:r>
              <w:rPr>
                <w:rFonts w:ascii="Times New Roman" w:hAnsi="Times New Roman"/>
                <w:sz w:val="24"/>
              </w:rPr>
              <w:t xml:space="preserve">Lorsque l'établissement recourt à un grand nombre d'échelons ou de catégories, il sera possible de convenir avec les autorités compétentes d'un nombre réduit d'échelons ou de catégories à déclarer. </w:t>
            </w:r>
          </w:p>
          <w:p w:rsidR="001C7AB7" w:rsidRPr="00392FFD" w:rsidRDefault="00C93697" w:rsidP="00FD6CCB">
            <w:pPr>
              <w:rPr>
                <w:rFonts w:ascii="Times New Roman" w:hAnsi="Times New Roman"/>
                <w:sz w:val="24"/>
              </w:rPr>
            </w:pPr>
            <w:r>
              <w:rPr>
                <w:rFonts w:ascii="Times New Roman" w:hAnsi="Times New Roman"/>
                <w:sz w:val="24"/>
              </w:rPr>
              <w:t>On ne recourra pas à une échelle standardisée. En revanche, les établissements déterm</w:t>
            </w:r>
            <w:r>
              <w:rPr>
                <w:rFonts w:ascii="Times New Roman" w:hAnsi="Times New Roman"/>
                <w:sz w:val="24"/>
              </w:rPr>
              <w:t>i</w:t>
            </w:r>
            <w:r>
              <w:rPr>
                <w:rFonts w:ascii="Times New Roman" w:hAnsi="Times New Roman"/>
                <w:sz w:val="24"/>
              </w:rPr>
              <w:t xml:space="preserve">neront eux-mêmes l’échelle à utiliser. </w:t>
            </w:r>
          </w:p>
        </w:tc>
      </w:tr>
      <w:tr w:rsidR="001C7AB7" w:rsidRPr="00392FFD" w:rsidTr="00692B10">
        <w:tc>
          <w:tcPr>
            <w:tcW w:w="1242" w:type="dxa"/>
          </w:tcPr>
          <w:p w:rsidR="001C7AB7" w:rsidRPr="00392FFD" w:rsidRDefault="001C7AB7" w:rsidP="001C7AB7">
            <w:pPr>
              <w:rPr>
                <w:rFonts w:ascii="Times New Roman" w:hAnsi="Times New Roman"/>
                <w:sz w:val="24"/>
              </w:rPr>
            </w:pPr>
            <w:r>
              <w:rPr>
                <w:rFonts w:ascii="Times New Roman" w:hAnsi="Times New Roman"/>
                <w:sz w:val="24"/>
              </w:rPr>
              <w:lastRenderedPageBreak/>
              <w:t>080</w:t>
            </w:r>
          </w:p>
        </w:tc>
        <w:tc>
          <w:tcPr>
            <w:tcW w:w="8789" w:type="dxa"/>
          </w:tcPr>
          <w:p w:rsidR="001C7AB7" w:rsidRPr="00392FFD" w:rsidRDefault="001C7AB7" w:rsidP="001C7AB7">
            <w:pPr>
              <w:rPr>
                <w:rFonts w:ascii="Times New Roman" w:hAnsi="Times New Roman"/>
                <w:sz w:val="24"/>
              </w:rPr>
            </w:pPr>
            <w:r>
              <w:rPr>
                <w:rFonts w:ascii="Times New Roman" w:hAnsi="Times New Roman"/>
                <w:b/>
                <w:sz w:val="24"/>
                <w:u w:val="single"/>
              </w:rPr>
              <w:t>CRITÈRES DE RÉFÉRENCEMENT DES FINANCEMENTS SPÉCIALISÉS: TOTAL</w:t>
            </w:r>
          </w:p>
          <w:p w:rsidR="001C7AB7" w:rsidRPr="00392FFD" w:rsidRDefault="001C7AB7" w:rsidP="00FD6CCB">
            <w:pPr>
              <w:rPr>
                <w:rFonts w:ascii="Times New Roman" w:hAnsi="Times New Roman"/>
                <w:sz w:val="24"/>
              </w:rPr>
            </w:pPr>
            <w:r>
              <w:rPr>
                <w:rFonts w:ascii="Times New Roman" w:hAnsi="Times New Roman"/>
                <w:sz w:val="24"/>
              </w:rPr>
              <w:t xml:space="preserve">Article 153, paragraphe 5, du CRR. Cela s’applique uniquement aux catégories d’expositions entreprises, établissements, administrations centrales et banques centrales. </w:t>
            </w:r>
          </w:p>
        </w:tc>
      </w:tr>
      <w:tr w:rsidR="001C7AB7" w:rsidRPr="00392FFD" w:rsidTr="00692B10">
        <w:tc>
          <w:tcPr>
            <w:tcW w:w="1242" w:type="dxa"/>
          </w:tcPr>
          <w:p w:rsidR="001C7AB7" w:rsidRPr="00392FFD" w:rsidRDefault="001C7AB7" w:rsidP="004F2B30">
            <w:pPr>
              <w:rPr>
                <w:rFonts w:ascii="Times New Roman" w:hAnsi="Times New Roman"/>
                <w:sz w:val="24"/>
              </w:rPr>
            </w:pPr>
            <w:r>
              <w:rPr>
                <w:rFonts w:ascii="Times New Roman" w:hAnsi="Times New Roman"/>
                <w:sz w:val="24"/>
              </w:rPr>
              <w:t>090-150</w:t>
            </w:r>
          </w:p>
        </w:tc>
        <w:tc>
          <w:tcPr>
            <w:tcW w:w="8789" w:type="dxa"/>
          </w:tcPr>
          <w:p w:rsidR="001C7AB7" w:rsidRPr="00392FFD" w:rsidRDefault="001C7AB7" w:rsidP="001C7AB7">
            <w:pPr>
              <w:rPr>
                <w:rStyle w:val="InstructionsTabelleberschrift"/>
                <w:rFonts w:ascii="Times New Roman" w:hAnsi="Times New Roman"/>
                <w:sz w:val="24"/>
              </w:rPr>
            </w:pPr>
            <w:r>
              <w:rPr>
                <w:rStyle w:val="InstructionsTabelleberschrift"/>
                <w:rFonts w:ascii="Times New Roman" w:hAnsi="Times New Roman"/>
                <w:sz w:val="24"/>
              </w:rPr>
              <w:t>VENTILATION PAR PONDÉRATION DU RISQUE DE L’EXPOSITION T</w:t>
            </w:r>
            <w:r>
              <w:rPr>
                <w:rStyle w:val="InstructionsTabelleberschrift"/>
                <w:rFonts w:ascii="Times New Roman" w:hAnsi="Times New Roman"/>
                <w:sz w:val="24"/>
              </w:rPr>
              <w:t>O</w:t>
            </w:r>
            <w:r>
              <w:rPr>
                <w:rStyle w:val="InstructionsTabelleberschrift"/>
                <w:rFonts w:ascii="Times New Roman" w:hAnsi="Times New Roman"/>
                <w:sz w:val="24"/>
              </w:rPr>
              <w:t>TALE, SELON LES CRITÈRES DE RÉFÉRENCEMENT DES FINANC</w:t>
            </w:r>
            <w:r>
              <w:rPr>
                <w:rStyle w:val="InstructionsTabelleberschrift"/>
                <w:rFonts w:ascii="Times New Roman" w:hAnsi="Times New Roman"/>
                <w:sz w:val="24"/>
              </w:rPr>
              <w:t>E</w:t>
            </w:r>
            <w:r>
              <w:rPr>
                <w:rStyle w:val="InstructionsTabelleberschrift"/>
                <w:rFonts w:ascii="Times New Roman" w:hAnsi="Times New Roman"/>
                <w:sz w:val="24"/>
              </w:rPr>
              <w:t>MENTS SPÉCIALISÉS:</w:t>
            </w:r>
          </w:p>
        </w:tc>
      </w:tr>
      <w:tr w:rsidR="001C7AB7" w:rsidRPr="00392FFD" w:rsidTr="00692B10">
        <w:tc>
          <w:tcPr>
            <w:tcW w:w="1242" w:type="dxa"/>
          </w:tcPr>
          <w:p w:rsidR="001C7AB7" w:rsidRPr="00392FFD" w:rsidRDefault="001C7AB7" w:rsidP="001C7AB7">
            <w:pPr>
              <w:rPr>
                <w:rFonts w:ascii="Times New Roman" w:hAnsi="Times New Roman"/>
                <w:sz w:val="24"/>
              </w:rPr>
            </w:pPr>
            <w:r>
              <w:rPr>
                <w:rFonts w:ascii="Times New Roman" w:hAnsi="Times New Roman"/>
                <w:sz w:val="24"/>
              </w:rPr>
              <w:t>120</w:t>
            </w:r>
          </w:p>
        </w:tc>
        <w:tc>
          <w:tcPr>
            <w:tcW w:w="8789" w:type="dxa"/>
          </w:tcPr>
          <w:p w:rsidR="001C7AB7" w:rsidRPr="00392FFD" w:rsidRDefault="001C7AB7" w:rsidP="001C7AB7">
            <w:pPr>
              <w:rPr>
                <w:rStyle w:val="InstructionsTabelleberschrift"/>
                <w:rFonts w:ascii="Times New Roman" w:hAnsi="Times New Roman"/>
                <w:sz w:val="24"/>
              </w:rPr>
            </w:pPr>
            <w:r>
              <w:rPr>
                <w:rStyle w:val="InstructionsTabelleberschrift"/>
                <w:rFonts w:ascii="Times New Roman" w:hAnsi="Times New Roman"/>
                <w:sz w:val="24"/>
              </w:rPr>
              <w:t xml:space="preserve">Dont: en catégorie 1 </w:t>
            </w:r>
          </w:p>
          <w:p w:rsidR="001C7AB7" w:rsidRPr="00392FFD" w:rsidRDefault="001C7AB7" w:rsidP="001C7AB7">
            <w:pPr>
              <w:rPr>
                <w:rFonts w:ascii="Times New Roman" w:hAnsi="Times New Roman"/>
                <w:sz w:val="24"/>
              </w:rPr>
            </w:pPr>
            <w:r>
              <w:rPr>
                <w:rFonts w:ascii="Times New Roman" w:hAnsi="Times New Roman"/>
                <w:sz w:val="24"/>
              </w:rPr>
              <w:t>Article 153, paragraphe 5, tableau 1 du CRR.</w:t>
            </w:r>
          </w:p>
        </w:tc>
      </w:tr>
      <w:tr w:rsidR="001C7AB7" w:rsidRPr="00392FFD" w:rsidTr="00692B10">
        <w:tc>
          <w:tcPr>
            <w:tcW w:w="1242" w:type="dxa"/>
          </w:tcPr>
          <w:p w:rsidR="001C7AB7" w:rsidRPr="00392FFD" w:rsidRDefault="001C7AB7" w:rsidP="001C7AB7">
            <w:pPr>
              <w:rPr>
                <w:rFonts w:ascii="Times New Roman" w:hAnsi="Times New Roman"/>
                <w:sz w:val="24"/>
              </w:rPr>
            </w:pPr>
            <w:r>
              <w:rPr>
                <w:rFonts w:ascii="Times New Roman" w:hAnsi="Times New Roman"/>
                <w:sz w:val="24"/>
              </w:rPr>
              <w:t>160</w:t>
            </w:r>
          </w:p>
        </w:tc>
        <w:tc>
          <w:tcPr>
            <w:tcW w:w="8789" w:type="dxa"/>
          </w:tcPr>
          <w:p w:rsidR="001C7AB7" w:rsidRPr="00392FFD" w:rsidRDefault="001C7AB7" w:rsidP="001C7AB7">
            <w:pPr>
              <w:rPr>
                <w:rStyle w:val="InstructionsTabelleberschrift"/>
                <w:rFonts w:ascii="Times New Roman" w:hAnsi="Times New Roman"/>
                <w:sz w:val="24"/>
              </w:rPr>
            </w:pPr>
            <w:r>
              <w:rPr>
                <w:rStyle w:val="InstructionsTabelleberschrift"/>
                <w:rFonts w:ascii="Times New Roman" w:hAnsi="Times New Roman"/>
                <w:sz w:val="24"/>
              </w:rPr>
              <w:t>TRAITEMENT ALTERNATIF: GARANTI PAR UN BIEN IMMOBILIER</w:t>
            </w:r>
          </w:p>
          <w:p w:rsidR="001C7AB7" w:rsidRPr="00392FFD" w:rsidRDefault="001C7AB7" w:rsidP="001C7AB7">
            <w:pPr>
              <w:rPr>
                <w:rFonts w:ascii="Times New Roman" w:hAnsi="Times New Roman"/>
                <w:sz w:val="24"/>
              </w:rPr>
            </w:pPr>
            <w:r>
              <w:rPr>
                <w:rFonts w:ascii="Times New Roman" w:hAnsi="Times New Roman"/>
                <w:sz w:val="24"/>
              </w:rPr>
              <w:t>Article 193, paragraphes 1 et 2, article 194, paragraphes 1 à 7, et article 230, paragraphe 3, du CRR</w:t>
            </w:r>
          </w:p>
        </w:tc>
      </w:tr>
      <w:tr w:rsidR="001C7AB7" w:rsidRPr="00392FFD" w:rsidTr="00692B10">
        <w:tc>
          <w:tcPr>
            <w:tcW w:w="1242" w:type="dxa"/>
          </w:tcPr>
          <w:p w:rsidR="001C7AB7" w:rsidRPr="00392FFD" w:rsidRDefault="001C7AB7" w:rsidP="001C7AB7">
            <w:pPr>
              <w:rPr>
                <w:rFonts w:ascii="Times New Roman" w:hAnsi="Times New Roman"/>
                <w:sz w:val="24"/>
              </w:rPr>
            </w:pPr>
            <w:r>
              <w:rPr>
                <w:rFonts w:ascii="Times New Roman" w:hAnsi="Times New Roman"/>
                <w:sz w:val="24"/>
              </w:rPr>
              <w:t>170</w:t>
            </w:r>
          </w:p>
        </w:tc>
        <w:tc>
          <w:tcPr>
            <w:tcW w:w="8789" w:type="dxa"/>
          </w:tcPr>
          <w:p w:rsidR="001C7AB7" w:rsidRPr="00392FFD" w:rsidRDefault="001C7AB7" w:rsidP="001C7AB7">
            <w:pPr>
              <w:rPr>
                <w:rStyle w:val="InstructionsTabelleberschrift"/>
                <w:rFonts w:ascii="Times New Roman" w:hAnsi="Times New Roman"/>
                <w:sz w:val="24"/>
              </w:rPr>
            </w:pPr>
            <w:r>
              <w:rPr>
                <w:rStyle w:val="InstructionsTabelleberschrift"/>
                <w:rFonts w:ascii="Times New Roman" w:hAnsi="Times New Roman"/>
                <w:sz w:val="24"/>
              </w:rPr>
              <w:t>EXPOSITIONS DÉCOULANT DE POSITIONS DE NÉGOCIATION NON D</w:t>
            </w:r>
            <w:r>
              <w:rPr>
                <w:rStyle w:val="InstructionsTabelleberschrift"/>
                <w:rFonts w:ascii="Times New Roman" w:hAnsi="Times New Roman"/>
                <w:sz w:val="24"/>
              </w:rPr>
              <w:t>É</w:t>
            </w:r>
            <w:r>
              <w:rPr>
                <w:rStyle w:val="InstructionsTabelleberschrift"/>
                <w:rFonts w:ascii="Times New Roman" w:hAnsi="Times New Roman"/>
                <w:sz w:val="24"/>
              </w:rPr>
              <w:t>NOUÉES AVEC APPLICATION DES PONDÉRATIONS DU RISQUE SELON LE TRAITEMENT ALTERNATIF OU D’UNE PONDÉRATION DE 100 % ET AUTRES EXPOSITIONS SOUMISES À PONDÉRATIONS</w:t>
            </w:r>
          </w:p>
          <w:p w:rsidR="001C7AB7" w:rsidRPr="00392FFD" w:rsidRDefault="001C7AB7" w:rsidP="00417984">
            <w:pPr>
              <w:rPr>
                <w:rFonts w:ascii="Times New Roman" w:hAnsi="Times New Roman"/>
                <w:sz w:val="24"/>
              </w:rPr>
            </w:pPr>
            <w:r>
              <w:rPr>
                <w:rFonts w:ascii="Times New Roman" w:hAnsi="Times New Roman"/>
                <w:sz w:val="24"/>
              </w:rPr>
              <w:t>Expositions découlant de positions de négociation non dénouées pour lesquelles le tra</w:t>
            </w:r>
            <w:r>
              <w:rPr>
                <w:rFonts w:ascii="Times New Roman" w:hAnsi="Times New Roman"/>
                <w:sz w:val="24"/>
              </w:rPr>
              <w:t>i</w:t>
            </w:r>
            <w:r>
              <w:rPr>
                <w:rFonts w:ascii="Times New Roman" w:hAnsi="Times New Roman"/>
                <w:sz w:val="24"/>
              </w:rPr>
              <w:t>tement alternatif visé à l’article 379, paragraphe 2, premier alinéa, dernière phrase, du CRR est utilisé, ou pour lesquelles une pondération de 100 % est appliquée, conform</w:t>
            </w:r>
            <w:r>
              <w:rPr>
                <w:rFonts w:ascii="Times New Roman" w:hAnsi="Times New Roman"/>
                <w:sz w:val="24"/>
              </w:rPr>
              <w:t>é</w:t>
            </w:r>
            <w:r>
              <w:rPr>
                <w:rFonts w:ascii="Times New Roman" w:hAnsi="Times New Roman"/>
                <w:sz w:val="24"/>
              </w:rPr>
              <w:t>ment à l’article 379, paragraphe 2, dernier alinéa, du CRR. Les dérivés de crédit au nième défaut non notés, visés à l’article 153, paragraphe 8, du CRR, ainsi que toute autre exposition soumise à une pondération de risque et non déclarée dans une autre ligne, s</w:t>
            </w:r>
            <w:r>
              <w:rPr>
                <w:rFonts w:ascii="Times New Roman" w:hAnsi="Times New Roman"/>
                <w:sz w:val="24"/>
              </w:rPr>
              <w:t>e</w:t>
            </w:r>
            <w:r>
              <w:rPr>
                <w:rFonts w:ascii="Times New Roman" w:hAnsi="Times New Roman"/>
                <w:sz w:val="24"/>
              </w:rPr>
              <w:t>ront déclarés dans cette ligne.</w:t>
            </w:r>
          </w:p>
        </w:tc>
      </w:tr>
      <w:tr w:rsidR="001C7AB7" w:rsidRPr="00392FFD" w:rsidTr="00692B10">
        <w:tc>
          <w:tcPr>
            <w:tcW w:w="1242" w:type="dxa"/>
          </w:tcPr>
          <w:p w:rsidR="001C7AB7" w:rsidRPr="00392FFD" w:rsidRDefault="001C7AB7" w:rsidP="001C7AB7">
            <w:pPr>
              <w:rPr>
                <w:rFonts w:ascii="Times New Roman" w:hAnsi="Times New Roman"/>
                <w:sz w:val="24"/>
              </w:rPr>
            </w:pPr>
            <w:r>
              <w:rPr>
                <w:rFonts w:ascii="Times New Roman" w:hAnsi="Times New Roman"/>
                <w:sz w:val="24"/>
              </w:rPr>
              <w:t>180</w:t>
            </w:r>
          </w:p>
        </w:tc>
        <w:tc>
          <w:tcPr>
            <w:tcW w:w="8789" w:type="dxa"/>
          </w:tcPr>
          <w:p w:rsidR="001C7AB7" w:rsidRPr="00392FFD" w:rsidRDefault="001C7AB7" w:rsidP="001C7AB7">
            <w:pPr>
              <w:rPr>
                <w:rStyle w:val="InstructionsTabelleberschrift"/>
                <w:rFonts w:ascii="Times New Roman" w:hAnsi="Times New Roman"/>
                <w:sz w:val="24"/>
              </w:rPr>
            </w:pPr>
            <w:r>
              <w:rPr>
                <w:rStyle w:val="InstructionsTabelleberschrift"/>
                <w:rFonts w:ascii="Times New Roman" w:hAnsi="Times New Roman"/>
                <w:sz w:val="24"/>
              </w:rPr>
              <w:t>RISQUE DE DILUTION: TOTAL DES CRÉANCES ACHETÉES</w:t>
            </w:r>
          </w:p>
          <w:p w:rsidR="001C7AB7" w:rsidRPr="00392FFD" w:rsidRDefault="001C7AB7" w:rsidP="001C7AB7">
            <w:pPr>
              <w:rPr>
                <w:rFonts w:ascii="Times New Roman" w:hAnsi="Times New Roman"/>
                <w:sz w:val="24"/>
              </w:rPr>
            </w:pPr>
            <w:r>
              <w:rPr>
                <w:rFonts w:ascii="Times New Roman" w:hAnsi="Times New Roman"/>
                <w:sz w:val="24"/>
              </w:rPr>
              <w:t>Pour une définition du risque de dilution, voir l’article 4, point 53, du CRR. Pour le ca</w:t>
            </w:r>
            <w:r>
              <w:rPr>
                <w:rFonts w:ascii="Times New Roman" w:hAnsi="Times New Roman"/>
                <w:sz w:val="24"/>
              </w:rPr>
              <w:t>l</w:t>
            </w:r>
            <w:r>
              <w:rPr>
                <w:rFonts w:ascii="Times New Roman" w:hAnsi="Times New Roman"/>
                <w:sz w:val="24"/>
              </w:rPr>
              <w:t>cul de la pondération pour risque de dilution, voir l’article 157, paragraphe 1, du CRR.</w:t>
            </w:r>
          </w:p>
          <w:p w:rsidR="001C7AB7" w:rsidRPr="00392FFD" w:rsidRDefault="001C7AB7" w:rsidP="00FD6CCB">
            <w:pPr>
              <w:rPr>
                <w:rFonts w:ascii="Times New Roman" w:hAnsi="Times New Roman"/>
                <w:sz w:val="24"/>
              </w:rPr>
            </w:pPr>
            <w:r>
              <w:rPr>
                <w:rFonts w:ascii="Times New Roman" w:hAnsi="Times New Roman"/>
                <w:sz w:val="24"/>
              </w:rPr>
              <w:t xml:space="preserve">Conformément à l'article 166, paragraphe 6, du CRR, la valeur exposée au risque des créances achetées correspondra au montant de l'encours moins les </w:t>
            </w:r>
            <w:r>
              <w:rPr>
                <w:rStyle w:val="InstructionsTabelleText"/>
                <w:rFonts w:ascii="Times New Roman" w:hAnsi="Times New Roman"/>
                <w:sz w:val="24"/>
              </w:rPr>
              <w:t>montants d'exposition pondérés</w:t>
            </w:r>
            <w:r>
              <w:rPr>
                <w:rFonts w:ascii="Times New Roman" w:hAnsi="Times New Roman"/>
                <w:sz w:val="24"/>
              </w:rPr>
              <w:t xml:space="preserve"> pour risque de dilution, avant atténuation du risque de crédit.</w:t>
            </w:r>
          </w:p>
        </w:tc>
      </w:tr>
    </w:tbl>
    <w:p w:rsidR="004357B9" w:rsidRPr="00392FFD" w:rsidRDefault="004357B9" w:rsidP="004357B9">
      <w:pPr>
        <w:autoSpaceDE w:val="0"/>
        <w:autoSpaceDN w:val="0"/>
        <w:adjustRightInd w:val="0"/>
        <w:spacing w:before="0" w:after="0"/>
        <w:ind w:left="284"/>
        <w:jc w:val="left"/>
        <w:rPr>
          <w:rFonts w:ascii="Times New Roman" w:hAnsi="Times New Roman"/>
          <w:sz w:val="24"/>
        </w:rPr>
      </w:pPr>
      <w:bookmarkStart w:id="241" w:name="_Toc120327823"/>
      <w:bookmarkStart w:id="242" w:name="_Toc120072325"/>
      <w:bookmarkStart w:id="243" w:name="_Toc294280272"/>
      <w:bookmarkStart w:id="244" w:name="_Toc294281597"/>
      <w:bookmarkStart w:id="245" w:name="_Toc294281817"/>
      <w:bookmarkStart w:id="246" w:name="_Toc294282031"/>
      <w:bookmarkStart w:id="247" w:name="_Toc294282234"/>
      <w:bookmarkStart w:id="248" w:name="_Toc294714169"/>
      <w:bookmarkStart w:id="249" w:name="_Toc295314195"/>
      <w:bookmarkStart w:id="250" w:name="_Toc295829584"/>
      <w:bookmarkStart w:id="251" w:name="_Toc295829867"/>
      <w:bookmarkStart w:id="252" w:name="_Toc301772755"/>
      <w:bookmarkStart w:id="253" w:name="_Toc301772833"/>
      <w:bookmarkStart w:id="254" w:name="_Toc302657772"/>
      <w:bookmarkStart w:id="255" w:name="_Toc302657891"/>
      <w:bookmarkStart w:id="256" w:name="_Toc294280294"/>
      <w:bookmarkStart w:id="257" w:name="_Toc294281619"/>
      <w:bookmarkStart w:id="258" w:name="_Toc294281839"/>
      <w:bookmarkStart w:id="259" w:name="_Toc294282053"/>
      <w:bookmarkStart w:id="260" w:name="_Toc294282256"/>
      <w:bookmarkStart w:id="261" w:name="_Toc294714191"/>
      <w:bookmarkStart w:id="262" w:name="_Toc295314217"/>
      <w:bookmarkStart w:id="263" w:name="_Toc295829606"/>
      <w:bookmarkStart w:id="264" w:name="_Toc295829889"/>
      <w:bookmarkStart w:id="265" w:name="_Toc301772777"/>
      <w:bookmarkStart w:id="266" w:name="_Toc301772855"/>
      <w:bookmarkStart w:id="267" w:name="_Toc302657794"/>
      <w:bookmarkStart w:id="268" w:name="_Toc302657913"/>
      <w:bookmarkStart w:id="269" w:name="_Toc294280312"/>
      <w:bookmarkStart w:id="270" w:name="_Toc294281637"/>
      <w:bookmarkStart w:id="271" w:name="_Toc294281857"/>
      <w:bookmarkStart w:id="272" w:name="_Toc294282071"/>
      <w:bookmarkStart w:id="273" w:name="_Toc294282274"/>
      <w:bookmarkStart w:id="274" w:name="_Toc294714209"/>
      <w:bookmarkStart w:id="275" w:name="_Toc295314235"/>
      <w:bookmarkStart w:id="276" w:name="_Toc295829624"/>
      <w:bookmarkStart w:id="277" w:name="_Toc295829907"/>
      <w:bookmarkStart w:id="278" w:name="_Toc301772795"/>
      <w:bookmarkStart w:id="279" w:name="_Toc301772873"/>
      <w:bookmarkStart w:id="280" w:name="_Toc302657812"/>
      <w:bookmarkStart w:id="281" w:name="_Toc302657931"/>
      <w:bookmarkStart w:id="282" w:name="_Toc294280316"/>
      <w:bookmarkStart w:id="283" w:name="_Toc294281641"/>
      <w:bookmarkStart w:id="284" w:name="_Toc294281861"/>
      <w:bookmarkStart w:id="285" w:name="_Toc294282075"/>
      <w:bookmarkStart w:id="286" w:name="_Toc294282278"/>
      <w:bookmarkStart w:id="287" w:name="_Toc294714213"/>
      <w:bookmarkStart w:id="288" w:name="_Toc295314239"/>
      <w:bookmarkStart w:id="289" w:name="_Toc295829628"/>
      <w:bookmarkStart w:id="290" w:name="_Toc295829911"/>
      <w:bookmarkStart w:id="291" w:name="_Toc301772799"/>
      <w:bookmarkStart w:id="292" w:name="_Toc301772877"/>
      <w:bookmarkStart w:id="293" w:name="_Toc302657816"/>
      <w:bookmarkStart w:id="294" w:name="_Toc302657935"/>
      <w:bookmarkStart w:id="295" w:name="_Toc294280319"/>
      <w:bookmarkStart w:id="296" w:name="_Toc294281644"/>
      <w:bookmarkStart w:id="297" w:name="_Toc294281864"/>
      <w:bookmarkStart w:id="298" w:name="_Toc294282078"/>
      <w:bookmarkStart w:id="299" w:name="_Toc294282281"/>
      <w:bookmarkStart w:id="300" w:name="_Toc294714216"/>
      <w:bookmarkStart w:id="301" w:name="_Toc295314242"/>
      <w:bookmarkStart w:id="302" w:name="_Toc295829631"/>
      <w:bookmarkStart w:id="303" w:name="_Toc295829914"/>
      <w:bookmarkStart w:id="304" w:name="_Toc301772802"/>
      <w:bookmarkStart w:id="305" w:name="_Toc301772880"/>
      <w:bookmarkStart w:id="306" w:name="_Toc302657819"/>
      <w:bookmarkStart w:id="307" w:name="_Toc302657938"/>
      <w:bookmarkStart w:id="308" w:name="_Toc294280322"/>
      <w:bookmarkStart w:id="309" w:name="_Toc294281647"/>
      <w:bookmarkStart w:id="310" w:name="_Toc294281867"/>
      <w:bookmarkStart w:id="311" w:name="_Toc294282081"/>
      <w:bookmarkStart w:id="312" w:name="_Toc294282284"/>
      <w:bookmarkStart w:id="313" w:name="_Toc294714219"/>
      <w:bookmarkStart w:id="314" w:name="_Toc295314245"/>
      <w:bookmarkStart w:id="315" w:name="_Toc295829634"/>
      <w:bookmarkStart w:id="316" w:name="_Toc295829917"/>
      <w:bookmarkStart w:id="317" w:name="_Toc301772805"/>
      <w:bookmarkStart w:id="318" w:name="_Toc301772883"/>
      <w:bookmarkStart w:id="319" w:name="_Toc302657822"/>
      <w:bookmarkStart w:id="320" w:name="_Toc302657941"/>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p>
    <w:p w:rsidR="001C7AB7" w:rsidRPr="00392FFD" w:rsidRDefault="00125707" w:rsidP="0023700C">
      <w:pPr>
        <w:pStyle w:val="Instructionsberschrift2"/>
        <w:numPr>
          <w:ilvl w:val="0"/>
          <w:numId w:val="0"/>
        </w:numPr>
        <w:ind w:left="357" w:hanging="357"/>
        <w:rPr>
          <w:rFonts w:ascii="Times New Roman" w:hAnsi="Times New Roman" w:cs="Times New Roman"/>
          <w:sz w:val="24"/>
        </w:rPr>
      </w:pPr>
      <w:bookmarkStart w:id="321" w:name="_Toc473560911"/>
      <w:bookmarkStart w:id="322" w:name="_Toc496022306"/>
      <w:r>
        <w:rPr>
          <w:rFonts w:ascii="Times New Roman" w:hAnsi="Times New Roman"/>
          <w:sz w:val="24"/>
          <w:u w:val="none"/>
        </w:rPr>
        <w:t>3.3.4.</w:t>
      </w:r>
      <w:r>
        <w:tab/>
      </w:r>
      <w:r>
        <w:rPr>
          <w:rFonts w:ascii="Times New Roman" w:hAnsi="Times New Roman"/>
          <w:sz w:val="24"/>
        </w:rPr>
        <w:t>C 08.02 - Risques de crédit et de crédit de contrepartie et positions de négociation non dénouées: approche NI des exigences de fonds propres (répartition par échelon ou catég</w:t>
      </w:r>
      <w:r>
        <w:rPr>
          <w:rFonts w:ascii="Times New Roman" w:hAnsi="Times New Roman"/>
          <w:sz w:val="24"/>
        </w:rPr>
        <w:t>o</w:t>
      </w:r>
      <w:r>
        <w:rPr>
          <w:rFonts w:ascii="Times New Roman" w:hAnsi="Times New Roman"/>
          <w:sz w:val="24"/>
        </w:rPr>
        <w:t>rie de débiteurs (modèle CR IRB 2)</w:t>
      </w:r>
      <w:bookmarkEnd w:id="321"/>
      <w:bookmarkEnd w:id="322"/>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4"/>
        <w:gridCol w:w="7804"/>
      </w:tblGrid>
      <w:tr w:rsidR="001C7AB7" w:rsidRPr="00392FFD" w:rsidTr="005F1095">
        <w:tc>
          <w:tcPr>
            <w:tcW w:w="2024" w:type="dxa"/>
            <w:shd w:val="clear" w:color="auto" w:fill="BFBFBF"/>
          </w:tcPr>
          <w:p w:rsidR="001C7AB7" w:rsidRPr="00392FFD" w:rsidRDefault="001C7AB7" w:rsidP="001C7AB7">
            <w:pPr>
              <w:rPr>
                <w:rFonts w:ascii="Times New Roman" w:hAnsi="Times New Roman"/>
                <w:sz w:val="24"/>
              </w:rPr>
            </w:pPr>
            <w:r>
              <w:rPr>
                <w:rFonts w:ascii="Times New Roman" w:hAnsi="Times New Roman"/>
                <w:sz w:val="24"/>
              </w:rPr>
              <w:t>Colonne</w:t>
            </w:r>
          </w:p>
        </w:tc>
        <w:tc>
          <w:tcPr>
            <w:tcW w:w="7804" w:type="dxa"/>
            <w:shd w:val="clear" w:color="auto" w:fill="BFBFBF"/>
          </w:tcPr>
          <w:p w:rsidR="001C7AB7" w:rsidRPr="00392FFD" w:rsidRDefault="001C7AB7" w:rsidP="001C7AB7">
            <w:pPr>
              <w:rPr>
                <w:rFonts w:ascii="Times New Roman" w:hAnsi="Times New Roman"/>
                <w:sz w:val="24"/>
              </w:rPr>
            </w:pPr>
            <w:r>
              <w:rPr>
                <w:rFonts w:ascii="Times New Roman" w:hAnsi="Times New Roman"/>
                <w:sz w:val="24"/>
              </w:rPr>
              <w:t>Instructions</w:t>
            </w:r>
          </w:p>
        </w:tc>
      </w:tr>
      <w:tr w:rsidR="00E97CD2" w:rsidRPr="00392FFD" w:rsidTr="001C7AB7">
        <w:tc>
          <w:tcPr>
            <w:tcW w:w="2024" w:type="dxa"/>
          </w:tcPr>
          <w:p w:rsidR="00E97CD2" w:rsidRPr="00392FFD" w:rsidRDefault="00E97CD2" w:rsidP="001C7AB7">
            <w:pPr>
              <w:rPr>
                <w:rFonts w:ascii="Times New Roman" w:hAnsi="Times New Roman"/>
                <w:sz w:val="24"/>
              </w:rPr>
            </w:pPr>
            <w:r>
              <w:rPr>
                <w:rFonts w:ascii="Times New Roman" w:hAnsi="Times New Roman"/>
                <w:sz w:val="24"/>
              </w:rPr>
              <w:t>005</w:t>
            </w:r>
          </w:p>
        </w:tc>
        <w:tc>
          <w:tcPr>
            <w:tcW w:w="7804" w:type="dxa"/>
          </w:tcPr>
          <w:p w:rsidR="00E97CD2" w:rsidRPr="00392FFD" w:rsidRDefault="00E97CD2" w:rsidP="001C7AB7">
            <w:pPr>
              <w:rPr>
                <w:rFonts w:ascii="Times New Roman" w:hAnsi="Times New Roman"/>
                <w:b/>
                <w:sz w:val="24"/>
                <w:u w:val="single"/>
              </w:rPr>
            </w:pPr>
            <w:r>
              <w:rPr>
                <w:rFonts w:ascii="Times New Roman" w:hAnsi="Times New Roman"/>
                <w:b/>
                <w:sz w:val="24"/>
                <w:u w:val="single"/>
              </w:rPr>
              <w:t>Échelon de débiteur (identifiant de ligne)</w:t>
            </w:r>
          </w:p>
          <w:p w:rsidR="00E97CD2" w:rsidRPr="00392FFD" w:rsidRDefault="00E97CD2" w:rsidP="003F05A0">
            <w:pPr>
              <w:rPr>
                <w:rFonts w:ascii="Times New Roman" w:hAnsi="Times New Roman"/>
                <w:sz w:val="24"/>
              </w:rPr>
            </w:pPr>
            <w:r>
              <w:rPr>
                <w:rFonts w:ascii="Times New Roman" w:hAnsi="Times New Roman"/>
                <w:sz w:val="24"/>
              </w:rPr>
              <w:t>L’échelon de débiteur est un identifiant de ligne qui est propre à chaque ligne d’une feuille donnée du tableau. Il suit l’ordre numérique: 1, 2, 3, etc.</w:t>
            </w:r>
          </w:p>
        </w:tc>
      </w:tr>
      <w:tr w:rsidR="001C7AB7" w:rsidRPr="00392FFD" w:rsidTr="001C7AB7">
        <w:tc>
          <w:tcPr>
            <w:tcW w:w="2024" w:type="dxa"/>
          </w:tcPr>
          <w:p w:rsidR="001C7AB7" w:rsidRPr="00392FFD" w:rsidRDefault="001C7AB7" w:rsidP="001C7AB7">
            <w:pPr>
              <w:rPr>
                <w:rFonts w:ascii="Times New Roman" w:hAnsi="Times New Roman"/>
                <w:sz w:val="24"/>
              </w:rPr>
            </w:pPr>
            <w:r>
              <w:rPr>
                <w:rFonts w:ascii="Times New Roman" w:hAnsi="Times New Roman"/>
                <w:sz w:val="24"/>
              </w:rPr>
              <w:lastRenderedPageBreak/>
              <w:t>010-300</w:t>
            </w:r>
          </w:p>
        </w:tc>
        <w:tc>
          <w:tcPr>
            <w:tcW w:w="7804" w:type="dxa"/>
          </w:tcPr>
          <w:p w:rsidR="001C7AB7" w:rsidRPr="00392FFD" w:rsidRDefault="001C7AB7" w:rsidP="001C7AB7">
            <w:pPr>
              <w:rPr>
                <w:rFonts w:ascii="Times New Roman" w:hAnsi="Times New Roman"/>
                <w:sz w:val="24"/>
              </w:rPr>
            </w:pPr>
            <w:r>
              <w:rPr>
                <w:rFonts w:ascii="Times New Roman" w:hAnsi="Times New Roman"/>
                <w:sz w:val="24"/>
              </w:rPr>
              <w:t>Les instructions pour chacune de ces colonnes sont identiques à celles qui a</w:t>
            </w:r>
            <w:r>
              <w:rPr>
                <w:rFonts w:ascii="Times New Roman" w:hAnsi="Times New Roman"/>
                <w:sz w:val="24"/>
              </w:rPr>
              <w:t>c</w:t>
            </w:r>
            <w:r>
              <w:rPr>
                <w:rFonts w:ascii="Times New Roman" w:hAnsi="Times New Roman"/>
                <w:sz w:val="24"/>
              </w:rPr>
              <w:t>compagnent les numéros de colonne correspondants dans le tableau CR IRB 1.</w:t>
            </w:r>
          </w:p>
        </w:tc>
      </w:tr>
    </w:tbl>
    <w:p w:rsidR="001C7AB7" w:rsidRPr="00392FFD" w:rsidRDefault="001C7AB7" w:rsidP="001C7AB7">
      <w:pPr>
        <w:rPr>
          <w:rFonts w:ascii="Times New Roman" w:hAnsi="Times New Roman"/>
          <w:sz w:val="24"/>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4"/>
        <w:gridCol w:w="7804"/>
      </w:tblGrid>
      <w:tr w:rsidR="001C7AB7" w:rsidRPr="00392FFD" w:rsidTr="005F1095">
        <w:tc>
          <w:tcPr>
            <w:tcW w:w="2024" w:type="dxa"/>
            <w:shd w:val="pct25" w:color="auto" w:fill="auto"/>
          </w:tcPr>
          <w:p w:rsidR="001C7AB7" w:rsidRPr="00392FFD" w:rsidRDefault="001C7AB7" w:rsidP="001C7AB7">
            <w:pPr>
              <w:rPr>
                <w:rFonts w:ascii="Times New Roman" w:hAnsi="Times New Roman"/>
                <w:sz w:val="24"/>
              </w:rPr>
            </w:pPr>
            <w:r>
              <w:rPr>
                <w:rFonts w:ascii="Times New Roman" w:hAnsi="Times New Roman"/>
                <w:sz w:val="24"/>
              </w:rPr>
              <w:t>Ligne</w:t>
            </w:r>
          </w:p>
        </w:tc>
        <w:tc>
          <w:tcPr>
            <w:tcW w:w="7804" w:type="dxa"/>
            <w:shd w:val="pct25" w:color="auto" w:fill="auto"/>
          </w:tcPr>
          <w:p w:rsidR="001C7AB7" w:rsidRPr="00392FFD" w:rsidRDefault="001C7AB7" w:rsidP="001C7AB7">
            <w:pPr>
              <w:rPr>
                <w:rFonts w:ascii="Times New Roman" w:hAnsi="Times New Roman"/>
                <w:sz w:val="24"/>
              </w:rPr>
            </w:pPr>
            <w:r>
              <w:rPr>
                <w:rFonts w:ascii="Times New Roman" w:hAnsi="Times New Roman"/>
                <w:sz w:val="24"/>
              </w:rPr>
              <w:t>Instructions</w:t>
            </w:r>
          </w:p>
        </w:tc>
      </w:tr>
      <w:tr w:rsidR="001C7AB7" w:rsidRPr="00392FFD" w:rsidTr="001C7AB7">
        <w:tc>
          <w:tcPr>
            <w:tcW w:w="2024" w:type="dxa"/>
          </w:tcPr>
          <w:p w:rsidR="001C7AB7" w:rsidRPr="00392FFD" w:rsidRDefault="001C7AB7" w:rsidP="001C7AB7">
            <w:pPr>
              <w:rPr>
                <w:rFonts w:ascii="Times New Roman" w:hAnsi="Times New Roman"/>
                <w:sz w:val="24"/>
              </w:rPr>
            </w:pPr>
            <w:r>
              <w:rPr>
                <w:rFonts w:ascii="Times New Roman" w:hAnsi="Times New Roman"/>
                <w:sz w:val="24"/>
              </w:rPr>
              <w:t>010-001 – 010-NNN</w:t>
            </w:r>
          </w:p>
        </w:tc>
        <w:tc>
          <w:tcPr>
            <w:tcW w:w="7804" w:type="dxa"/>
          </w:tcPr>
          <w:p w:rsidR="001C7AB7" w:rsidRPr="00392FFD" w:rsidRDefault="001C7AB7" w:rsidP="001C7AB7">
            <w:pPr>
              <w:rPr>
                <w:rFonts w:ascii="Times New Roman" w:hAnsi="Times New Roman"/>
                <w:sz w:val="24"/>
              </w:rPr>
            </w:pPr>
            <w:r>
              <w:rPr>
                <w:rFonts w:ascii="Times New Roman" w:hAnsi="Times New Roman"/>
                <w:sz w:val="24"/>
              </w:rPr>
              <w:t>Les valeurs déclarées dans ces lignes doivent être classées de la plus faible à la plus élevée, en fonction des PD attribuées à l’échelon ou à la catégorie de d</w:t>
            </w:r>
            <w:r>
              <w:rPr>
                <w:rFonts w:ascii="Times New Roman" w:hAnsi="Times New Roman"/>
                <w:sz w:val="24"/>
              </w:rPr>
              <w:t>é</w:t>
            </w:r>
            <w:r>
              <w:rPr>
                <w:rFonts w:ascii="Times New Roman" w:hAnsi="Times New Roman"/>
                <w:sz w:val="24"/>
              </w:rPr>
              <w:t>biteurs. Les PD des débiteurs en défaut sont fixées à 100 %. Les expositions soumises à un traitement alternatif pour les sûretés immobilières (possible uniquement lorsqu’il n’est pas fait usage des propres estimations de LGD) ne seront pas affectées selon la PD du débiteur et ne seront pas décl</w:t>
            </w:r>
            <w:r>
              <w:rPr>
                <w:rFonts w:ascii="Times New Roman" w:hAnsi="Times New Roman"/>
                <w:sz w:val="24"/>
              </w:rPr>
              <w:t>a</w:t>
            </w:r>
            <w:r>
              <w:rPr>
                <w:rFonts w:ascii="Times New Roman" w:hAnsi="Times New Roman"/>
                <w:sz w:val="24"/>
              </w:rPr>
              <w:t>rées dans ce modèle.</w:t>
            </w:r>
          </w:p>
        </w:tc>
      </w:tr>
    </w:tbl>
    <w:p w:rsidR="004357B9" w:rsidRPr="00392FFD" w:rsidRDefault="004357B9" w:rsidP="00622B37">
      <w:pPr>
        <w:pStyle w:val="InstructionsText"/>
      </w:pPr>
    </w:p>
    <w:p w:rsidR="004357B9" w:rsidRPr="00392FFD" w:rsidRDefault="00125707" w:rsidP="0023700C">
      <w:pPr>
        <w:pStyle w:val="Instructionsberschrift2"/>
        <w:numPr>
          <w:ilvl w:val="0"/>
          <w:numId w:val="0"/>
        </w:numPr>
        <w:ind w:left="357" w:hanging="357"/>
        <w:rPr>
          <w:rFonts w:ascii="Times New Roman" w:hAnsi="Times New Roman" w:cs="Times New Roman"/>
          <w:sz w:val="24"/>
        </w:rPr>
      </w:pPr>
      <w:bookmarkStart w:id="323" w:name="_Toc360188361"/>
      <w:bookmarkStart w:id="324" w:name="_Toc473560912"/>
      <w:bookmarkStart w:id="325" w:name="_Toc496022307"/>
      <w:r>
        <w:rPr>
          <w:rFonts w:ascii="Times New Roman" w:hAnsi="Times New Roman"/>
          <w:sz w:val="24"/>
          <w:u w:val="none"/>
        </w:rPr>
        <w:t>3.4.</w:t>
      </w:r>
      <w:r>
        <w:tab/>
      </w:r>
      <w:r>
        <w:rPr>
          <w:rFonts w:ascii="Times New Roman" w:hAnsi="Times New Roman"/>
          <w:sz w:val="24"/>
        </w:rPr>
        <w:t>Risques de crédit et de crédit de contrepartie et positions de négociation non dénouées: Informations concernant la répartition géographique</w:t>
      </w:r>
      <w:bookmarkEnd w:id="323"/>
      <w:bookmarkEnd w:id="324"/>
      <w:bookmarkEnd w:id="325"/>
    </w:p>
    <w:p w:rsidR="004357B9" w:rsidRPr="00392FFD" w:rsidRDefault="00125707" w:rsidP="0023700C">
      <w:pPr>
        <w:pStyle w:val="InstructionsText2"/>
        <w:numPr>
          <w:ilvl w:val="0"/>
          <w:numId w:val="0"/>
        </w:numPr>
        <w:ind w:left="1353" w:hanging="360"/>
      </w:pPr>
      <w:r>
        <w:t>79.</w:t>
      </w:r>
      <w:r>
        <w:tab/>
        <w:t>Les établissements qui atteignent le seuil fixé à l’article 5, point a), point 4), du présent règlement déclareront les informations domestiques ainsi que toute donnée non domestique. Ce seuil n’est applicable que pour les tableaux 1 et 2. Les expositions sur des organisations supranationales seront affectées à la zone géographique «Autres pays».</w:t>
      </w:r>
    </w:p>
    <w:p w:rsidR="004357B9" w:rsidRPr="00392FFD" w:rsidRDefault="00125707" w:rsidP="0023700C">
      <w:pPr>
        <w:pStyle w:val="InstructionsText2"/>
        <w:numPr>
          <w:ilvl w:val="0"/>
          <w:numId w:val="0"/>
        </w:numPr>
        <w:ind w:left="1353" w:hanging="360"/>
      </w:pPr>
      <w:r>
        <w:t>80.</w:t>
      </w:r>
      <w:r>
        <w:tab/>
        <w:t>Le terme «résidence du débiteur» se rapporte au pays dans lequel le débiteur est constitué. Ce concept peut s’appliquer sur la base du débiteur immédiat et sur la base du risque ultime. Dès lors, les techniques d'atténuation du risque de crédit peuvent modifier la répartition par pays d'une exposition. Les expositions sur des organisations supranationales ne sont pas affectées au pays de résidence de l’établissement mais à la zone géographique «Autres pays», quelle que soit la catégorie d’expositions à laquelle elles sont affectées.</w:t>
      </w:r>
    </w:p>
    <w:p w:rsidR="0096378F" w:rsidRPr="00392FFD" w:rsidRDefault="00125707" w:rsidP="0023700C">
      <w:pPr>
        <w:pStyle w:val="InstructionsText2"/>
        <w:numPr>
          <w:ilvl w:val="0"/>
          <w:numId w:val="0"/>
        </w:numPr>
        <w:ind w:left="1353" w:hanging="360"/>
      </w:pPr>
      <w:r>
        <w:t>81.</w:t>
      </w:r>
      <w:r>
        <w:tab/>
        <w:t>Les données concernant l’«exposition initiale avant application des facteurs de conversion» seront déclarées en fonction du pays de résidence du débiteur i</w:t>
      </w:r>
      <w:r>
        <w:t>m</w:t>
      </w:r>
      <w:r>
        <w:t>médiat. Les données concernant la «valeur exposée au risque» et les «montants d’exposition pondérés» seront déclarées en fonction du pays de résidence du débiteur ultime.</w:t>
      </w:r>
    </w:p>
    <w:p w:rsidR="004357B9" w:rsidRPr="00392FFD" w:rsidRDefault="00125707" w:rsidP="0023700C">
      <w:pPr>
        <w:pStyle w:val="Instructionsberschrift2"/>
        <w:numPr>
          <w:ilvl w:val="0"/>
          <w:numId w:val="0"/>
        </w:numPr>
        <w:ind w:left="357" w:hanging="357"/>
        <w:rPr>
          <w:rFonts w:ascii="Times New Roman" w:hAnsi="Times New Roman" w:cs="Times New Roman"/>
          <w:sz w:val="24"/>
        </w:rPr>
      </w:pPr>
      <w:bookmarkStart w:id="326" w:name="_Toc360188362"/>
      <w:bookmarkStart w:id="327" w:name="_Toc473560913"/>
      <w:bookmarkStart w:id="328" w:name="_Toc496022308"/>
      <w:r>
        <w:rPr>
          <w:rFonts w:ascii="Times New Roman" w:hAnsi="Times New Roman"/>
          <w:sz w:val="24"/>
          <w:u w:val="none"/>
        </w:rPr>
        <w:t>3.4.1.</w:t>
      </w:r>
      <w:r>
        <w:tab/>
      </w:r>
      <w:r>
        <w:rPr>
          <w:rFonts w:ascii="Times New Roman" w:hAnsi="Times New Roman"/>
          <w:sz w:val="24"/>
        </w:rPr>
        <w:t>C 09.01 - Répartition géographique des expositions par pays de résidence du débiteur: expositions en approche standard (CR GB 1)</w:t>
      </w:r>
      <w:bookmarkEnd w:id="326"/>
      <w:bookmarkEnd w:id="327"/>
      <w:bookmarkEnd w:id="328"/>
    </w:p>
    <w:p w:rsidR="004357B9" w:rsidRPr="00392FFD" w:rsidRDefault="00125707" w:rsidP="0023700C">
      <w:pPr>
        <w:pStyle w:val="Instructionsberschrift2"/>
        <w:numPr>
          <w:ilvl w:val="0"/>
          <w:numId w:val="0"/>
        </w:numPr>
        <w:ind w:left="357" w:hanging="357"/>
        <w:rPr>
          <w:rFonts w:ascii="Times New Roman" w:hAnsi="Times New Roman" w:cs="Times New Roman"/>
          <w:sz w:val="24"/>
        </w:rPr>
      </w:pPr>
      <w:bookmarkStart w:id="329" w:name="_Toc360188363"/>
      <w:bookmarkStart w:id="330" w:name="_Toc473560914"/>
      <w:bookmarkStart w:id="331" w:name="_Toc496022309"/>
      <w:r>
        <w:rPr>
          <w:rFonts w:ascii="Times New Roman" w:hAnsi="Times New Roman"/>
          <w:sz w:val="24"/>
          <w:u w:val="none"/>
        </w:rPr>
        <w:t>3.4.1.1.</w:t>
      </w:r>
      <w:r>
        <w:tab/>
      </w:r>
      <w:r>
        <w:rPr>
          <w:rFonts w:ascii="Times New Roman" w:hAnsi="Times New Roman"/>
          <w:sz w:val="24"/>
        </w:rPr>
        <w:t>Instructions concernant certaines positions</w:t>
      </w:r>
      <w:bookmarkEnd w:id="329"/>
      <w:bookmarkEnd w:id="330"/>
      <w:bookmarkEnd w:id="331"/>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8640"/>
      </w:tblGrid>
      <w:tr w:rsidR="004357B9" w:rsidRPr="00392FFD" w:rsidTr="004357B9">
        <w:trPr>
          <w:trHeight w:val="581"/>
        </w:trPr>
        <w:tc>
          <w:tcPr>
            <w:tcW w:w="9828" w:type="dxa"/>
            <w:gridSpan w:val="2"/>
            <w:shd w:val="clear" w:color="auto" w:fill="CCCCCC"/>
          </w:tcPr>
          <w:p w:rsidR="004357B9" w:rsidRPr="00392FFD" w:rsidRDefault="004357B9" w:rsidP="004357B9">
            <w:pPr>
              <w:spacing w:after="0"/>
              <w:rPr>
                <w:rStyle w:val="InstructionsTabelleText"/>
                <w:rFonts w:ascii="Times New Roman" w:hAnsi="Times New Roman"/>
                <w:b/>
                <w:sz w:val="24"/>
              </w:rPr>
            </w:pPr>
            <w:r>
              <w:rPr>
                <w:rStyle w:val="InstructionsTabelleText"/>
                <w:rFonts w:ascii="Times New Roman" w:hAnsi="Times New Roman"/>
                <w:b/>
                <w:sz w:val="24"/>
              </w:rPr>
              <w:t>Colonnes</w:t>
            </w:r>
          </w:p>
        </w:tc>
      </w:tr>
      <w:tr w:rsidR="004357B9" w:rsidRPr="00392FFD" w:rsidTr="004357B9">
        <w:tc>
          <w:tcPr>
            <w:tcW w:w="1188" w:type="dxa"/>
          </w:tcPr>
          <w:p w:rsidR="004357B9" w:rsidRPr="00392FFD" w:rsidRDefault="004357B9" w:rsidP="004357B9">
            <w:pPr>
              <w:rPr>
                <w:rStyle w:val="InstructionsTabelleText"/>
                <w:rFonts w:ascii="Times New Roman" w:hAnsi="Times New Roman"/>
                <w:sz w:val="24"/>
              </w:rPr>
            </w:pPr>
            <w:r>
              <w:rPr>
                <w:rStyle w:val="InstructionsTabelleText"/>
                <w:rFonts w:ascii="Times New Roman" w:hAnsi="Times New Roman"/>
                <w:sz w:val="24"/>
              </w:rPr>
              <w:t>010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EXPOSITION INITIALE AVANT APPLICATION DES FACTEURS DE CO</w:t>
            </w:r>
            <w:r>
              <w:rPr>
                <w:rFonts w:ascii="Times New Roman" w:hAnsi="Times New Roman"/>
                <w:b/>
                <w:sz w:val="24"/>
                <w:u w:val="single"/>
              </w:rPr>
              <w:t>N</w:t>
            </w:r>
            <w:r>
              <w:rPr>
                <w:rFonts w:ascii="Times New Roman" w:hAnsi="Times New Roman"/>
                <w:b/>
                <w:sz w:val="24"/>
                <w:u w:val="single"/>
              </w:rPr>
              <w:t>VERSION</w:t>
            </w:r>
          </w:p>
          <w:p w:rsidR="004357B9" w:rsidRPr="00392FFD" w:rsidRDefault="004357B9" w:rsidP="004357B9">
            <w:pPr>
              <w:rPr>
                <w:rFonts w:ascii="Times New Roman" w:hAnsi="Times New Roman"/>
                <w:sz w:val="24"/>
              </w:rPr>
            </w:pPr>
            <w:r>
              <w:rPr>
                <w:rFonts w:ascii="Times New Roman" w:hAnsi="Times New Roman"/>
                <w:sz w:val="24"/>
              </w:rPr>
              <w:t>Même définition que pour la colonne 010 du modèle CR SA.</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lastRenderedPageBreak/>
              <w:t>020</w:t>
            </w:r>
          </w:p>
        </w:tc>
        <w:tc>
          <w:tcPr>
            <w:tcW w:w="8640" w:type="dxa"/>
          </w:tcPr>
          <w:p w:rsidR="004357B9" w:rsidRPr="00392FFD" w:rsidRDefault="00771E97" w:rsidP="004357B9">
            <w:pPr>
              <w:rPr>
                <w:rFonts w:ascii="Times New Roman" w:hAnsi="Times New Roman"/>
                <w:b/>
                <w:sz w:val="24"/>
                <w:u w:val="single"/>
              </w:rPr>
            </w:pPr>
            <w:r>
              <w:rPr>
                <w:rFonts w:ascii="Times New Roman" w:hAnsi="Times New Roman"/>
                <w:b/>
                <w:sz w:val="24"/>
                <w:u w:val="single"/>
              </w:rPr>
              <w:t>Expositions en défaut</w:t>
            </w:r>
          </w:p>
          <w:p w:rsidR="004357B9" w:rsidRPr="00392FFD" w:rsidRDefault="004357B9" w:rsidP="004357B9">
            <w:pPr>
              <w:rPr>
                <w:rStyle w:val="InstructionsTabelleText"/>
                <w:rFonts w:ascii="Times New Roman" w:hAnsi="Times New Roman"/>
                <w:sz w:val="24"/>
              </w:rPr>
            </w:pPr>
            <w:r>
              <w:rPr>
                <w:rStyle w:val="InstructionsTabelleText"/>
                <w:rFonts w:ascii="Times New Roman" w:hAnsi="Times New Roman"/>
                <w:sz w:val="24"/>
              </w:rPr>
              <w:t>Exposition initiale avant application des facteurs de conversion, pour les expositions qui ont été classées comme «expositions en défaut» et pour les expositions en défaut affectées aux catégories d’expositions «expositions présentant un risque particulièr</w:t>
            </w:r>
            <w:r>
              <w:rPr>
                <w:rStyle w:val="InstructionsTabelleText"/>
                <w:rFonts w:ascii="Times New Roman" w:hAnsi="Times New Roman"/>
                <w:sz w:val="24"/>
              </w:rPr>
              <w:t>e</w:t>
            </w:r>
            <w:r>
              <w:rPr>
                <w:rStyle w:val="InstructionsTabelleText"/>
                <w:rFonts w:ascii="Times New Roman" w:hAnsi="Times New Roman"/>
                <w:sz w:val="24"/>
              </w:rPr>
              <w:t>ment élevé» ou «expositions sous forme d’actions».</w:t>
            </w:r>
          </w:p>
          <w:p w:rsidR="004357B9" w:rsidRPr="00392FFD" w:rsidRDefault="004357B9" w:rsidP="004357B9">
            <w:pPr>
              <w:rPr>
                <w:rStyle w:val="InstructionsTabelleText"/>
                <w:rFonts w:ascii="Times New Roman" w:hAnsi="Times New Roman"/>
                <w:sz w:val="24"/>
              </w:rPr>
            </w:pPr>
            <w:r>
              <w:rPr>
                <w:rStyle w:val="InstructionsTabelleText"/>
                <w:rFonts w:ascii="Times New Roman" w:hAnsi="Times New Roman"/>
                <w:sz w:val="24"/>
              </w:rPr>
              <w:t>Ce «poste pour mémoire» fournit des données supplémentaires sur la structure par d</w:t>
            </w:r>
            <w:r>
              <w:rPr>
                <w:rStyle w:val="InstructionsTabelleText"/>
                <w:rFonts w:ascii="Times New Roman" w:hAnsi="Times New Roman"/>
                <w:sz w:val="24"/>
              </w:rPr>
              <w:t>é</w:t>
            </w:r>
            <w:r>
              <w:rPr>
                <w:rStyle w:val="InstructionsTabelleText"/>
                <w:rFonts w:ascii="Times New Roman" w:hAnsi="Times New Roman"/>
                <w:sz w:val="24"/>
              </w:rPr>
              <w:t>biteur des expositions en défaut. Les expositions classées dans la catégorie «expos</w:t>
            </w:r>
            <w:r>
              <w:rPr>
                <w:rStyle w:val="InstructionsTabelleText"/>
                <w:rFonts w:ascii="Times New Roman" w:hAnsi="Times New Roman"/>
                <w:sz w:val="24"/>
              </w:rPr>
              <w:t>i</w:t>
            </w:r>
            <w:r>
              <w:rPr>
                <w:rStyle w:val="InstructionsTabelleText"/>
                <w:rFonts w:ascii="Times New Roman" w:hAnsi="Times New Roman"/>
                <w:sz w:val="24"/>
              </w:rPr>
              <w:t>tions en défaut» visée à l’article 112, point j), du CRR seront déclarées là où les déb</w:t>
            </w:r>
            <w:r>
              <w:rPr>
                <w:rStyle w:val="InstructionsTabelleText"/>
                <w:rFonts w:ascii="Times New Roman" w:hAnsi="Times New Roman"/>
                <w:sz w:val="24"/>
              </w:rPr>
              <w:t>i</w:t>
            </w:r>
            <w:r>
              <w:rPr>
                <w:rStyle w:val="InstructionsTabelleText"/>
                <w:rFonts w:ascii="Times New Roman" w:hAnsi="Times New Roman"/>
                <w:sz w:val="24"/>
              </w:rPr>
              <w:t xml:space="preserve">teurs auraient été </w:t>
            </w:r>
            <w:r>
              <w:rPr>
                <w:rStyle w:val="InstructionsTabelleText"/>
                <w:rFonts w:ascii="Times New Roman" w:hAnsi="Times New Roman"/>
                <w:sz w:val="24"/>
              </w:rPr>
              <w:br/>
              <w:t>déclarés si ces expositions n'avaient pas été affectées à la catégorie d’exposition «exp</w:t>
            </w:r>
            <w:r>
              <w:rPr>
                <w:rStyle w:val="InstructionsTabelleText"/>
                <w:rFonts w:ascii="Times New Roman" w:hAnsi="Times New Roman"/>
                <w:sz w:val="24"/>
              </w:rPr>
              <w:t>o</w:t>
            </w:r>
            <w:r>
              <w:rPr>
                <w:rStyle w:val="InstructionsTabelleText"/>
                <w:rFonts w:ascii="Times New Roman" w:hAnsi="Times New Roman"/>
                <w:sz w:val="24"/>
              </w:rPr>
              <w:t xml:space="preserve">sitions en défaut». </w:t>
            </w:r>
          </w:p>
          <w:p w:rsidR="004357B9" w:rsidRPr="00392FFD" w:rsidRDefault="004357B9" w:rsidP="004357B9">
            <w:pPr>
              <w:rPr>
                <w:rFonts w:ascii="Times New Roman" w:hAnsi="Times New Roman"/>
                <w:sz w:val="24"/>
              </w:rPr>
            </w:pPr>
            <w:r>
              <w:rPr>
                <w:rStyle w:val="InstructionsTabelleText"/>
                <w:rFonts w:ascii="Times New Roman" w:hAnsi="Times New Roman"/>
                <w:sz w:val="24"/>
              </w:rPr>
              <w:t>Ce poste est un «poste pour mémoire», c'est-à-dire qu'il n'influence pas le calcul des montants d'exposition pondérés des catégories d'exposition «expositions en défaut», «expositions présentant un risque particulièrement élevé» ou «expositions sous forme d’actions» visées respectivement à l'article 112, point j), à l'article 112, point k) et à l'article 112, point p) du CRR.</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040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Nouveaux défauts observés sur la période</w:t>
            </w:r>
          </w:p>
          <w:p w:rsidR="004357B9" w:rsidRPr="00392FFD" w:rsidRDefault="00DF70AE" w:rsidP="00DF70AE">
            <w:pPr>
              <w:rPr>
                <w:rFonts w:ascii="Times New Roman" w:hAnsi="Times New Roman"/>
                <w:b/>
                <w:sz w:val="24"/>
                <w:u w:val="single"/>
              </w:rPr>
            </w:pPr>
            <w:r>
              <w:rPr>
                <w:rStyle w:val="InstructionsTabelleText"/>
                <w:rFonts w:ascii="Times New Roman" w:hAnsi="Times New Roman"/>
                <w:sz w:val="24"/>
              </w:rPr>
              <w:t>Le montant d’expositions initiales qui sont passées dans la catégorie d’expositions «expositions en défaut» au cours des trois mois qui ont suivi la dernière date de réf</w:t>
            </w:r>
            <w:r>
              <w:rPr>
                <w:rStyle w:val="InstructionsTabelleText"/>
                <w:rFonts w:ascii="Times New Roman" w:hAnsi="Times New Roman"/>
                <w:sz w:val="24"/>
              </w:rPr>
              <w:t>é</w:t>
            </w:r>
            <w:r>
              <w:rPr>
                <w:rStyle w:val="InstructionsTabelleText"/>
                <w:rFonts w:ascii="Times New Roman" w:hAnsi="Times New Roman"/>
                <w:sz w:val="24"/>
              </w:rPr>
              <w:t>rence pour la déclaration sont déclarées dans la catégorie d’exposition à laquelle appa</w:t>
            </w:r>
            <w:r>
              <w:rPr>
                <w:rStyle w:val="InstructionsTabelleText"/>
                <w:rFonts w:ascii="Times New Roman" w:hAnsi="Times New Roman"/>
                <w:sz w:val="24"/>
              </w:rPr>
              <w:t>r</w:t>
            </w:r>
            <w:r>
              <w:rPr>
                <w:rStyle w:val="InstructionsTabelleText"/>
                <w:rFonts w:ascii="Times New Roman" w:hAnsi="Times New Roman"/>
                <w:sz w:val="24"/>
              </w:rPr>
              <w:t>tenait le débiteur à l’origine.</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050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Ajustements pour risque de crédit général</w:t>
            </w:r>
          </w:p>
          <w:p w:rsidR="004357B9" w:rsidRPr="00392FFD" w:rsidRDefault="004357B9" w:rsidP="004357B9">
            <w:pPr>
              <w:rPr>
                <w:rFonts w:ascii="Times New Roman" w:hAnsi="Times New Roman"/>
                <w:b/>
                <w:sz w:val="24"/>
                <w:u w:val="single"/>
              </w:rPr>
            </w:pPr>
            <w:r>
              <w:rPr>
                <w:rFonts w:ascii="Times New Roman" w:hAnsi="Times New Roman"/>
                <w:sz w:val="24"/>
              </w:rPr>
              <w:t xml:space="preserve">Ajustements pour risque de crédit conformément à l’article 110 du CRR. </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055</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Ajustements pour risque de crédit spécifique</w:t>
            </w:r>
          </w:p>
          <w:p w:rsidR="004357B9" w:rsidRPr="00392FFD" w:rsidRDefault="004357B9" w:rsidP="004357B9">
            <w:pPr>
              <w:rPr>
                <w:rFonts w:ascii="Times New Roman" w:hAnsi="Times New Roman"/>
                <w:b/>
                <w:sz w:val="24"/>
                <w:u w:val="single"/>
              </w:rPr>
            </w:pPr>
            <w:r>
              <w:rPr>
                <w:rFonts w:ascii="Times New Roman" w:hAnsi="Times New Roman"/>
                <w:sz w:val="24"/>
              </w:rPr>
              <w:t>Ajustements pour risque de crédit conformément à l’article 110 du CRR.</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060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Sorties du bilan</w:t>
            </w:r>
          </w:p>
          <w:p w:rsidR="004357B9" w:rsidRPr="00392FFD" w:rsidRDefault="004357B9" w:rsidP="004357B9">
            <w:pPr>
              <w:rPr>
                <w:rFonts w:ascii="Times New Roman" w:hAnsi="Times New Roman"/>
                <w:b/>
                <w:sz w:val="24"/>
                <w:u w:val="single"/>
              </w:rPr>
            </w:pPr>
            <w:r>
              <w:rPr>
                <w:rStyle w:val="InstructionsTabelleText"/>
                <w:rFonts w:ascii="Times New Roman" w:hAnsi="Times New Roman"/>
                <w:sz w:val="24"/>
              </w:rPr>
              <w:t>Les radiations (sorties du bilan) comprennent non seulement la réduction de la valeur comptable des actifs financiers et leur comptabilisation directe dans le compte de co</w:t>
            </w:r>
            <w:r>
              <w:rPr>
                <w:rStyle w:val="InstructionsTabelleText"/>
                <w:rFonts w:ascii="Times New Roman" w:hAnsi="Times New Roman"/>
                <w:sz w:val="24"/>
              </w:rPr>
              <w:t>r</w:t>
            </w:r>
            <w:r>
              <w:rPr>
                <w:rStyle w:val="InstructionsTabelleText"/>
                <w:rFonts w:ascii="Times New Roman" w:hAnsi="Times New Roman"/>
                <w:sz w:val="24"/>
              </w:rPr>
              <w:t>rection de valeur [IFRS 7.B5.(d).(i)], mais également la réduction des montants in</w:t>
            </w:r>
            <w:r>
              <w:rPr>
                <w:rStyle w:val="InstructionsTabelleText"/>
                <w:rFonts w:ascii="Times New Roman" w:hAnsi="Times New Roman"/>
                <w:sz w:val="24"/>
              </w:rPr>
              <w:t>s</w:t>
            </w:r>
            <w:r>
              <w:rPr>
                <w:rStyle w:val="InstructionsTabelleText"/>
                <w:rFonts w:ascii="Times New Roman" w:hAnsi="Times New Roman"/>
                <w:sz w:val="24"/>
              </w:rPr>
              <w:t>crits dans le compte de correction de valeur en diminution de la valeur comptable des actifs financiers dépréciés [IFRS 7.B5.(d).(ii)].</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070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Ajustements pour risque de crédit/radiation de crédits pour nouveaux défauts o</w:t>
            </w:r>
            <w:r>
              <w:rPr>
                <w:rFonts w:ascii="Times New Roman" w:hAnsi="Times New Roman"/>
                <w:b/>
                <w:sz w:val="24"/>
                <w:u w:val="single"/>
              </w:rPr>
              <w:t>b</w:t>
            </w:r>
            <w:r>
              <w:rPr>
                <w:rFonts w:ascii="Times New Roman" w:hAnsi="Times New Roman"/>
                <w:b/>
                <w:sz w:val="24"/>
                <w:u w:val="single"/>
              </w:rPr>
              <w:t>servés</w:t>
            </w:r>
          </w:p>
          <w:p w:rsidR="004357B9" w:rsidRPr="00392FFD" w:rsidRDefault="004357B9" w:rsidP="004357B9">
            <w:pPr>
              <w:rPr>
                <w:rFonts w:ascii="Times New Roman" w:hAnsi="Times New Roman"/>
                <w:b/>
                <w:sz w:val="24"/>
                <w:u w:val="single"/>
              </w:rPr>
            </w:pPr>
            <w:r>
              <w:rPr>
                <w:rStyle w:val="InstructionsTabelleText"/>
                <w:rFonts w:ascii="Times New Roman" w:hAnsi="Times New Roman"/>
                <w:sz w:val="24"/>
              </w:rPr>
              <w:t>Somme des ajustements pour risque de crédit et radiations pour les expositions qui ont été classées dans la catégorie «expositions en défaut» au cours des trois mois qui ont suivi la dernière déclaration des données.</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075</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Valeur exposée au risque</w:t>
            </w:r>
          </w:p>
          <w:p w:rsidR="004357B9" w:rsidRPr="00392FFD" w:rsidRDefault="004357B9" w:rsidP="004357B9">
            <w:pPr>
              <w:rPr>
                <w:rFonts w:ascii="Times New Roman" w:hAnsi="Times New Roman"/>
                <w:b/>
                <w:sz w:val="24"/>
                <w:u w:val="single"/>
              </w:rPr>
            </w:pPr>
            <w:r>
              <w:rPr>
                <w:rStyle w:val="InstructionsTabelleText"/>
                <w:rFonts w:ascii="Times New Roman" w:hAnsi="Times New Roman"/>
                <w:sz w:val="24"/>
              </w:rPr>
              <w:t>Même définition que pour la colonne 200 du modèle CR SA.</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080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MONTANT D'EXPOSITION PONDÉRÉ AVANT APPLICATION DU FA</w:t>
            </w:r>
            <w:r>
              <w:rPr>
                <w:rFonts w:ascii="Times New Roman" w:hAnsi="Times New Roman"/>
                <w:b/>
                <w:sz w:val="24"/>
                <w:u w:val="single"/>
              </w:rPr>
              <w:t>C</w:t>
            </w:r>
            <w:r>
              <w:rPr>
                <w:rFonts w:ascii="Times New Roman" w:hAnsi="Times New Roman"/>
                <w:b/>
                <w:sz w:val="24"/>
                <w:u w:val="single"/>
              </w:rPr>
              <w:lastRenderedPageBreak/>
              <w:t>TEUR SUPPLÉTIF EN FAVEUR DES PME</w:t>
            </w:r>
          </w:p>
          <w:p w:rsidR="004357B9" w:rsidRPr="00392FFD" w:rsidRDefault="004357B9" w:rsidP="004357B9">
            <w:pPr>
              <w:rPr>
                <w:rFonts w:ascii="Times New Roman" w:hAnsi="Times New Roman"/>
                <w:b/>
                <w:sz w:val="24"/>
                <w:u w:val="single"/>
              </w:rPr>
            </w:pPr>
            <w:r>
              <w:rPr>
                <w:rFonts w:ascii="Times New Roman" w:hAnsi="Times New Roman"/>
                <w:sz w:val="24"/>
              </w:rPr>
              <w:t>Même définition que pour la colonne 215 du modèle CR SA.</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lastRenderedPageBreak/>
              <w:t>090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MONTANT D'EXPOSITION PONDÉRÉ APRÈS APPLICATION DU FA</w:t>
            </w:r>
            <w:r>
              <w:rPr>
                <w:rFonts w:ascii="Times New Roman" w:hAnsi="Times New Roman"/>
                <w:b/>
                <w:sz w:val="24"/>
                <w:u w:val="single"/>
              </w:rPr>
              <w:t>C</w:t>
            </w:r>
            <w:r>
              <w:rPr>
                <w:rFonts w:ascii="Times New Roman" w:hAnsi="Times New Roman"/>
                <w:b/>
                <w:sz w:val="24"/>
                <w:u w:val="single"/>
              </w:rPr>
              <w:t>TEUR SUPPLÉTIF EN FAVEUR DES PME</w:t>
            </w:r>
          </w:p>
          <w:p w:rsidR="004357B9" w:rsidRPr="00392FFD" w:rsidRDefault="004357B9" w:rsidP="004357B9">
            <w:pPr>
              <w:rPr>
                <w:rFonts w:ascii="Times New Roman" w:hAnsi="Times New Roman"/>
                <w:b/>
                <w:sz w:val="24"/>
                <w:u w:val="single"/>
              </w:rPr>
            </w:pPr>
            <w:r>
              <w:rPr>
                <w:rFonts w:ascii="Times New Roman" w:hAnsi="Times New Roman"/>
                <w:sz w:val="24"/>
              </w:rPr>
              <w:t>Même définition que pour la colonne 220 du modèle CR SA.</w:t>
            </w:r>
          </w:p>
        </w:tc>
      </w:tr>
    </w:tbl>
    <w:p w:rsidR="004357B9" w:rsidRPr="00392FFD" w:rsidRDefault="004357B9" w:rsidP="004357B9">
      <w:pPr>
        <w:rPr>
          <w:rFonts w:ascii="Times New Roman" w:hAnsi="Times New Roman"/>
          <w:sz w:val="24"/>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8640"/>
        <w:gridCol w:w="61"/>
      </w:tblGrid>
      <w:tr w:rsidR="004357B9" w:rsidRPr="00392FFD" w:rsidTr="004357B9">
        <w:trPr>
          <w:gridAfter w:val="1"/>
          <w:wAfter w:w="61" w:type="dxa"/>
          <w:trHeight w:val="581"/>
        </w:trPr>
        <w:tc>
          <w:tcPr>
            <w:tcW w:w="9828" w:type="dxa"/>
            <w:gridSpan w:val="2"/>
            <w:shd w:val="clear" w:color="auto" w:fill="CCCCCC"/>
          </w:tcPr>
          <w:p w:rsidR="004357B9" w:rsidRPr="00392FFD" w:rsidRDefault="004357B9" w:rsidP="004357B9">
            <w:pPr>
              <w:spacing w:after="0"/>
              <w:rPr>
                <w:rStyle w:val="InstructionsTabelleText"/>
                <w:rFonts w:ascii="Times New Roman" w:hAnsi="Times New Roman"/>
                <w:b/>
                <w:sz w:val="24"/>
              </w:rPr>
            </w:pPr>
            <w:r>
              <w:rPr>
                <w:rStyle w:val="InstructionsTabelleText"/>
                <w:rFonts w:ascii="Times New Roman" w:hAnsi="Times New Roman"/>
                <w:b/>
                <w:sz w:val="24"/>
              </w:rPr>
              <w:t>Lignes</w:t>
            </w:r>
          </w:p>
        </w:tc>
      </w:tr>
      <w:tr w:rsidR="004357B9" w:rsidRPr="00392FFD" w:rsidTr="004357B9">
        <w:tc>
          <w:tcPr>
            <w:tcW w:w="1188" w:type="dxa"/>
            <w:shd w:val="clear" w:color="auto" w:fill="FFFFFF"/>
          </w:tcPr>
          <w:p w:rsidR="004357B9" w:rsidRPr="00392FFD" w:rsidRDefault="004357B9" w:rsidP="004357B9">
            <w:pPr>
              <w:rPr>
                <w:rFonts w:ascii="Times New Roman" w:hAnsi="Times New Roman"/>
                <w:sz w:val="24"/>
              </w:rPr>
            </w:pPr>
            <w:r>
              <w:rPr>
                <w:rFonts w:ascii="Times New Roman" w:hAnsi="Times New Roman"/>
                <w:sz w:val="24"/>
              </w:rPr>
              <w:t>010</w:t>
            </w:r>
          </w:p>
        </w:tc>
        <w:tc>
          <w:tcPr>
            <w:tcW w:w="8701" w:type="dxa"/>
            <w:gridSpan w:val="2"/>
            <w:shd w:val="clear" w:color="auto" w:fill="FFFFFF"/>
          </w:tcPr>
          <w:p w:rsidR="004357B9" w:rsidRPr="00392FFD" w:rsidRDefault="004357B9" w:rsidP="004357B9">
            <w:pPr>
              <w:ind w:left="72"/>
              <w:rPr>
                <w:rStyle w:val="InstructionsTabelleberschrift"/>
                <w:rFonts w:ascii="Times New Roman" w:hAnsi="Times New Roman"/>
                <w:sz w:val="24"/>
              </w:rPr>
            </w:pPr>
            <w:r>
              <w:rPr>
                <w:rStyle w:val="InstructionsTabelleberschrift"/>
                <w:rFonts w:ascii="Times New Roman" w:hAnsi="Times New Roman"/>
                <w:sz w:val="24"/>
              </w:rPr>
              <w:t>Administrations centrales ou banques centrales</w:t>
            </w:r>
          </w:p>
          <w:p w:rsidR="004357B9" w:rsidRPr="00392FFD" w:rsidRDefault="004357B9" w:rsidP="004357B9">
            <w:pPr>
              <w:ind w:left="72"/>
              <w:rPr>
                <w:rStyle w:val="InstructionsTabelleText"/>
                <w:rFonts w:ascii="Times New Roman" w:hAnsi="Times New Roman"/>
                <w:sz w:val="24"/>
              </w:rPr>
            </w:pPr>
            <w:r>
              <w:rPr>
                <w:rFonts w:ascii="Times New Roman" w:hAnsi="Times New Roman"/>
                <w:sz w:val="24"/>
              </w:rPr>
              <w:t>Article 112, point a), du CRR</w:t>
            </w:r>
          </w:p>
        </w:tc>
      </w:tr>
      <w:tr w:rsidR="004357B9" w:rsidRPr="00392FFD" w:rsidTr="004357B9">
        <w:tc>
          <w:tcPr>
            <w:tcW w:w="1188" w:type="dxa"/>
            <w:shd w:val="clear" w:color="auto" w:fill="FFFFFF"/>
          </w:tcPr>
          <w:p w:rsidR="004357B9" w:rsidRPr="00392FFD" w:rsidRDefault="004357B9" w:rsidP="004357B9">
            <w:pPr>
              <w:rPr>
                <w:rFonts w:ascii="Times New Roman" w:hAnsi="Times New Roman"/>
                <w:sz w:val="24"/>
              </w:rPr>
            </w:pPr>
            <w:r>
              <w:rPr>
                <w:rFonts w:ascii="Times New Roman" w:hAnsi="Times New Roman"/>
                <w:sz w:val="24"/>
              </w:rPr>
              <w:t>020</w:t>
            </w:r>
          </w:p>
        </w:tc>
        <w:tc>
          <w:tcPr>
            <w:tcW w:w="8701" w:type="dxa"/>
            <w:gridSpan w:val="2"/>
            <w:shd w:val="clear" w:color="auto" w:fill="FFFFFF"/>
          </w:tcPr>
          <w:p w:rsidR="004357B9" w:rsidRPr="00392FFD" w:rsidRDefault="004357B9" w:rsidP="004357B9">
            <w:pPr>
              <w:ind w:left="72"/>
              <w:rPr>
                <w:rStyle w:val="InstructionsTabelleberschrift"/>
                <w:rFonts w:ascii="Times New Roman" w:hAnsi="Times New Roman"/>
                <w:sz w:val="24"/>
              </w:rPr>
            </w:pPr>
            <w:r>
              <w:rPr>
                <w:rStyle w:val="InstructionsTabelleberschrift"/>
                <w:rFonts w:ascii="Times New Roman" w:hAnsi="Times New Roman"/>
                <w:sz w:val="24"/>
              </w:rPr>
              <w:t>Administrations régionales ou locales</w:t>
            </w:r>
          </w:p>
          <w:p w:rsidR="004357B9" w:rsidRPr="00392FFD" w:rsidRDefault="004357B9" w:rsidP="004357B9">
            <w:pPr>
              <w:ind w:left="72"/>
              <w:rPr>
                <w:rStyle w:val="InstructionsTabelleberschrift"/>
                <w:rFonts w:ascii="Times New Roman" w:hAnsi="Times New Roman"/>
                <w:sz w:val="24"/>
              </w:rPr>
            </w:pPr>
            <w:r>
              <w:rPr>
                <w:rFonts w:ascii="Times New Roman" w:hAnsi="Times New Roman"/>
                <w:sz w:val="24"/>
              </w:rPr>
              <w:t>Article 112, point b), du CRR</w:t>
            </w:r>
          </w:p>
        </w:tc>
      </w:tr>
      <w:tr w:rsidR="004357B9" w:rsidRPr="00392FFD" w:rsidTr="004357B9">
        <w:tc>
          <w:tcPr>
            <w:tcW w:w="1188" w:type="dxa"/>
            <w:shd w:val="clear" w:color="auto" w:fill="FFFFFF"/>
          </w:tcPr>
          <w:p w:rsidR="004357B9" w:rsidRPr="00392FFD" w:rsidRDefault="004357B9" w:rsidP="004357B9">
            <w:pPr>
              <w:rPr>
                <w:rFonts w:ascii="Times New Roman" w:hAnsi="Times New Roman"/>
                <w:sz w:val="24"/>
              </w:rPr>
            </w:pPr>
            <w:r>
              <w:rPr>
                <w:rFonts w:ascii="Times New Roman" w:hAnsi="Times New Roman"/>
                <w:sz w:val="24"/>
              </w:rPr>
              <w:t>030</w:t>
            </w:r>
          </w:p>
        </w:tc>
        <w:tc>
          <w:tcPr>
            <w:tcW w:w="8701" w:type="dxa"/>
            <w:gridSpan w:val="2"/>
            <w:shd w:val="clear" w:color="auto" w:fill="FFFFFF"/>
          </w:tcPr>
          <w:p w:rsidR="004357B9" w:rsidRPr="00392FFD" w:rsidRDefault="004357B9" w:rsidP="004357B9">
            <w:pPr>
              <w:ind w:left="72"/>
              <w:rPr>
                <w:rStyle w:val="InstructionsTabelleberschrift"/>
                <w:rFonts w:ascii="Times New Roman" w:hAnsi="Times New Roman"/>
                <w:sz w:val="24"/>
              </w:rPr>
            </w:pPr>
            <w:r>
              <w:rPr>
                <w:rStyle w:val="InstructionsTabelleberschrift"/>
                <w:rFonts w:ascii="Times New Roman" w:hAnsi="Times New Roman"/>
                <w:sz w:val="24"/>
              </w:rPr>
              <w:t>Entités du secteur public</w:t>
            </w:r>
          </w:p>
          <w:p w:rsidR="004357B9" w:rsidRPr="00392FFD" w:rsidRDefault="004357B9" w:rsidP="004357B9">
            <w:pPr>
              <w:ind w:left="72"/>
              <w:rPr>
                <w:rStyle w:val="InstructionsTabelleberschrift"/>
                <w:rFonts w:ascii="Times New Roman" w:hAnsi="Times New Roman"/>
                <w:sz w:val="24"/>
              </w:rPr>
            </w:pPr>
            <w:r>
              <w:rPr>
                <w:rFonts w:ascii="Times New Roman" w:hAnsi="Times New Roman"/>
                <w:sz w:val="24"/>
              </w:rPr>
              <w:t>Article 112, point c), du CRR</w:t>
            </w:r>
          </w:p>
        </w:tc>
      </w:tr>
      <w:tr w:rsidR="004357B9" w:rsidRPr="00392FFD" w:rsidTr="004357B9">
        <w:tc>
          <w:tcPr>
            <w:tcW w:w="1188" w:type="dxa"/>
            <w:shd w:val="clear" w:color="auto" w:fill="FFFFFF"/>
          </w:tcPr>
          <w:p w:rsidR="004357B9" w:rsidRPr="00392FFD" w:rsidRDefault="004357B9" w:rsidP="004357B9">
            <w:pPr>
              <w:rPr>
                <w:rFonts w:ascii="Times New Roman" w:hAnsi="Times New Roman"/>
                <w:sz w:val="24"/>
              </w:rPr>
            </w:pPr>
            <w:r>
              <w:rPr>
                <w:rFonts w:ascii="Times New Roman" w:hAnsi="Times New Roman"/>
                <w:sz w:val="24"/>
              </w:rPr>
              <w:t>040</w:t>
            </w:r>
          </w:p>
        </w:tc>
        <w:tc>
          <w:tcPr>
            <w:tcW w:w="8701" w:type="dxa"/>
            <w:gridSpan w:val="2"/>
            <w:shd w:val="clear" w:color="auto" w:fill="FFFFFF"/>
          </w:tcPr>
          <w:p w:rsidR="004357B9" w:rsidRPr="00392FFD" w:rsidRDefault="004357B9" w:rsidP="004357B9">
            <w:pPr>
              <w:ind w:left="72"/>
              <w:rPr>
                <w:rStyle w:val="InstructionsTabelleberschrift"/>
                <w:rFonts w:ascii="Times New Roman" w:hAnsi="Times New Roman"/>
                <w:sz w:val="24"/>
              </w:rPr>
            </w:pPr>
            <w:r>
              <w:rPr>
                <w:rStyle w:val="InstructionsTabelleberschrift"/>
                <w:rFonts w:ascii="Times New Roman" w:hAnsi="Times New Roman"/>
                <w:sz w:val="24"/>
              </w:rPr>
              <w:t>Banques multilatérales de développement</w:t>
            </w:r>
          </w:p>
          <w:p w:rsidR="004357B9" w:rsidRPr="00392FFD" w:rsidRDefault="004357B9" w:rsidP="004357B9">
            <w:pPr>
              <w:ind w:left="72"/>
              <w:rPr>
                <w:rStyle w:val="InstructionsTabelleberschrift"/>
                <w:rFonts w:ascii="Times New Roman" w:hAnsi="Times New Roman"/>
                <w:sz w:val="24"/>
              </w:rPr>
            </w:pPr>
            <w:r>
              <w:rPr>
                <w:rStyle w:val="InstructionsTabelleText"/>
                <w:rFonts w:ascii="Times New Roman" w:hAnsi="Times New Roman"/>
                <w:sz w:val="24"/>
              </w:rPr>
              <w:t xml:space="preserve">Article 112, point d), </w:t>
            </w:r>
            <w:r>
              <w:rPr>
                <w:rFonts w:ascii="Times New Roman" w:hAnsi="Times New Roman"/>
                <w:sz w:val="24"/>
              </w:rPr>
              <w:t>du CRR.</w:t>
            </w:r>
          </w:p>
        </w:tc>
      </w:tr>
      <w:tr w:rsidR="004357B9" w:rsidRPr="00392FFD" w:rsidTr="004357B9">
        <w:tc>
          <w:tcPr>
            <w:tcW w:w="1188" w:type="dxa"/>
            <w:shd w:val="clear" w:color="auto" w:fill="FFFFFF"/>
          </w:tcPr>
          <w:p w:rsidR="004357B9" w:rsidRPr="00392FFD" w:rsidRDefault="004357B9" w:rsidP="004357B9">
            <w:pPr>
              <w:rPr>
                <w:rFonts w:ascii="Times New Roman" w:hAnsi="Times New Roman"/>
                <w:sz w:val="24"/>
              </w:rPr>
            </w:pPr>
            <w:r>
              <w:rPr>
                <w:rFonts w:ascii="Times New Roman" w:hAnsi="Times New Roman"/>
                <w:sz w:val="24"/>
              </w:rPr>
              <w:t>050</w:t>
            </w:r>
          </w:p>
        </w:tc>
        <w:tc>
          <w:tcPr>
            <w:tcW w:w="8701" w:type="dxa"/>
            <w:gridSpan w:val="2"/>
            <w:shd w:val="clear" w:color="auto" w:fill="FFFFFF"/>
          </w:tcPr>
          <w:p w:rsidR="004357B9" w:rsidRPr="00392FFD" w:rsidRDefault="004357B9" w:rsidP="004357B9">
            <w:pPr>
              <w:ind w:left="72"/>
              <w:rPr>
                <w:rStyle w:val="InstructionsTabelleberschrift"/>
                <w:rFonts w:ascii="Times New Roman" w:hAnsi="Times New Roman"/>
                <w:sz w:val="24"/>
              </w:rPr>
            </w:pPr>
            <w:r>
              <w:rPr>
                <w:rStyle w:val="InstructionsTabelleberschrift"/>
                <w:rFonts w:ascii="Times New Roman" w:hAnsi="Times New Roman"/>
                <w:sz w:val="24"/>
              </w:rPr>
              <w:t>Organisations internationales</w:t>
            </w:r>
          </w:p>
          <w:p w:rsidR="004357B9" w:rsidRPr="00392FFD" w:rsidRDefault="004357B9" w:rsidP="004357B9">
            <w:pPr>
              <w:ind w:left="72"/>
              <w:rPr>
                <w:rStyle w:val="InstructionsTabelleberschrift"/>
                <w:rFonts w:ascii="Times New Roman" w:hAnsi="Times New Roman"/>
                <w:sz w:val="24"/>
              </w:rPr>
            </w:pPr>
            <w:r>
              <w:rPr>
                <w:rFonts w:ascii="Times New Roman" w:hAnsi="Times New Roman"/>
                <w:sz w:val="24"/>
              </w:rPr>
              <w:t>Article 112, point e), du CRR</w:t>
            </w:r>
          </w:p>
        </w:tc>
      </w:tr>
      <w:tr w:rsidR="004357B9" w:rsidRPr="00392FFD" w:rsidTr="004357B9">
        <w:tc>
          <w:tcPr>
            <w:tcW w:w="1188" w:type="dxa"/>
            <w:shd w:val="clear" w:color="auto" w:fill="FFFFFF"/>
          </w:tcPr>
          <w:p w:rsidR="004357B9" w:rsidRPr="00392FFD" w:rsidRDefault="004357B9" w:rsidP="004357B9">
            <w:pPr>
              <w:rPr>
                <w:rFonts w:ascii="Times New Roman" w:hAnsi="Times New Roman"/>
                <w:sz w:val="24"/>
              </w:rPr>
            </w:pPr>
            <w:r>
              <w:rPr>
                <w:rFonts w:ascii="Times New Roman" w:hAnsi="Times New Roman"/>
                <w:sz w:val="24"/>
              </w:rPr>
              <w:t>060</w:t>
            </w:r>
          </w:p>
        </w:tc>
        <w:tc>
          <w:tcPr>
            <w:tcW w:w="8701" w:type="dxa"/>
            <w:gridSpan w:val="2"/>
            <w:shd w:val="clear" w:color="auto" w:fill="FFFFFF"/>
          </w:tcPr>
          <w:p w:rsidR="004357B9" w:rsidRPr="00392FFD" w:rsidRDefault="004357B9" w:rsidP="004357B9">
            <w:pPr>
              <w:ind w:left="72"/>
              <w:rPr>
                <w:rStyle w:val="InstructionsTabelleberschrift"/>
                <w:rFonts w:ascii="Times New Roman" w:hAnsi="Times New Roman"/>
                <w:sz w:val="24"/>
              </w:rPr>
            </w:pPr>
            <w:r>
              <w:rPr>
                <w:rStyle w:val="InstructionsTabelleberschrift"/>
                <w:rFonts w:ascii="Times New Roman" w:hAnsi="Times New Roman"/>
                <w:sz w:val="24"/>
              </w:rPr>
              <w:t>Établissements</w:t>
            </w:r>
          </w:p>
          <w:p w:rsidR="004357B9" w:rsidRPr="00392FFD" w:rsidRDefault="004357B9" w:rsidP="004357B9">
            <w:pPr>
              <w:ind w:left="72"/>
              <w:rPr>
                <w:rStyle w:val="InstructionsTabelleberschrift"/>
                <w:rFonts w:ascii="Times New Roman" w:hAnsi="Times New Roman"/>
                <w:sz w:val="24"/>
              </w:rPr>
            </w:pPr>
            <w:r>
              <w:rPr>
                <w:rFonts w:ascii="Times New Roman" w:hAnsi="Times New Roman"/>
                <w:sz w:val="24"/>
              </w:rPr>
              <w:t>Article 112, point f), du CRR</w:t>
            </w:r>
          </w:p>
        </w:tc>
      </w:tr>
      <w:tr w:rsidR="004357B9" w:rsidRPr="00392FFD" w:rsidTr="004357B9">
        <w:tc>
          <w:tcPr>
            <w:tcW w:w="1188" w:type="dxa"/>
            <w:shd w:val="clear" w:color="auto" w:fill="FFFFFF"/>
          </w:tcPr>
          <w:p w:rsidR="004357B9" w:rsidRPr="00392FFD" w:rsidRDefault="004357B9" w:rsidP="004357B9">
            <w:pPr>
              <w:rPr>
                <w:rFonts w:ascii="Times New Roman" w:hAnsi="Times New Roman"/>
                <w:sz w:val="24"/>
              </w:rPr>
            </w:pPr>
            <w:r>
              <w:rPr>
                <w:rFonts w:ascii="Times New Roman" w:hAnsi="Times New Roman"/>
                <w:sz w:val="24"/>
              </w:rPr>
              <w:t>070</w:t>
            </w:r>
          </w:p>
        </w:tc>
        <w:tc>
          <w:tcPr>
            <w:tcW w:w="8701" w:type="dxa"/>
            <w:gridSpan w:val="2"/>
            <w:shd w:val="clear" w:color="auto" w:fill="FFFFFF"/>
          </w:tcPr>
          <w:p w:rsidR="004357B9" w:rsidRPr="00392FFD" w:rsidRDefault="004357B9" w:rsidP="004357B9">
            <w:pPr>
              <w:ind w:left="72"/>
              <w:rPr>
                <w:rStyle w:val="InstructionsTabelleberschrift"/>
                <w:rFonts w:ascii="Times New Roman" w:hAnsi="Times New Roman"/>
                <w:sz w:val="24"/>
              </w:rPr>
            </w:pPr>
            <w:r>
              <w:rPr>
                <w:rStyle w:val="InstructionsTabelleberschrift"/>
                <w:rFonts w:ascii="Times New Roman" w:hAnsi="Times New Roman"/>
                <w:sz w:val="24"/>
              </w:rPr>
              <w:t>Entreprises:</w:t>
            </w:r>
          </w:p>
          <w:p w:rsidR="004357B9" w:rsidRPr="00392FFD" w:rsidRDefault="004357B9" w:rsidP="004357B9">
            <w:pPr>
              <w:ind w:left="72"/>
              <w:rPr>
                <w:rStyle w:val="InstructionsTabelleberschrift"/>
                <w:rFonts w:ascii="Times New Roman" w:hAnsi="Times New Roman"/>
                <w:sz w:val="24"/>
              </w:rPr>
            </w:pPr>
            <w:r>
              <w:rPr>
                <w:rFonts w:ascii="Times New Roman" w:hAnsi="Times New Roman"/>
                <w:sz w:val="24"/>
              </w:rPr>
              <w:t>Article 112, point g), du CRR</w:t>
            </w:r>
          </w:p>
        </w:tc>
      </w:tr>
      <w:tr w:rsidR="004357B9" w:rsidRPr="00392FFD" w:rsidTr="004357B9">
        <w:tc>
          <w:tcPr>
            <w:tcW w:w="1188" w:type="dxa"/>
            <w:shd w:val="clear" w:color="auto" w:fill="FFFFFF"/>
          </w:tcPr>
          <w:p w:rsidR="004357B9" w:rsidRPr="00392FFD" w:rsidRDefault="004357B9" w:rsidP="004357B9">
            <w:pPr>
              <w:rPr>
                <w:rFonts w:ascii="Times New Roman" w:hAnsi="Times New Roman"/>
                <w:sz w:val="24"/>
              </w:rPr>
            </w:pPr>
            <w:r>
              <w:rPr>
                <w:rFonts w:ascii="Times New Roman" w:hAnsi="Times New Roman"/>
                <w:sz w:val="24"/>
              </w:rPr>
              <w:t>075</w:t>
            </w:r>
          </w:p>
        </w:tc>
        <w:tc>
          <w:tcPr>
            <w:tcW w:w="8701" w:type="dxa"/>
            <w:gridSpan w:val="2"/>
            <w:shd w:val="clear" w:color="auto" w:fill="FFFFFF"/>
          </w:tcPr>
          <w:p w:rsidR="004357B9" w:rsidRPr="00392FFD" w:rsidRDefault="004357B9" w:rsidP="004357B9">
            <w:pPr>
              <w:ind w:left="72"/>
              <w:rPr>
                <w:rStyle w:val="InstructionsTabelleberschrift"/>
                <w:rFonts w:ascii="Times New Roman" w:hAnsi="Times New Roman"/>
                <w:sz w:val="24"/>
              </w:rPr>
            </w:pPr>
            <w:r>
              <w:rPr>
                <w:rStyle w:val="InstructionsTabelleberschrift"/>
                <w:rFonts w:ascii="Times New Roman" w:hAnsi="Times New Roman"/>
                <w:sz w:val="24"/>
              </w:rPr>
              <w:t>dont: PME</w:t>
            </w:r>
          </w:p>
          <w:p w:rsidR="004357B9" w:rsidRPr="00392FFD" w:rsidRDefault="004357B9" w:rsidP="007121C9">
            <w:pPr>
              <w:ind w:left="72"/>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Même définition que pour la ligne 020 du modèle CR SA</w:t>
            </w:r>
          </w:p>
        </w:tc>
      </w:tr>
      <w:tr w:rsidR="004357B9" w:rsidRPr="00392FFD" w:rsidTr="004357B9">
        <w:tc>
          <w:tcPr>
            <w:tcW w:w="1188" w:type="dxa"/>
            <w:shd w:val="clear" w:color="auto" w:fill="FFFFFF"/>
          </w:tcPr>
          <w:p w:rsidR="004357B9" w:rsidRPr="00392FFD" w:rsidRDefault="004357B9" w:rsidP="004357B9">
            <w:pPr>
              <w:rPr>
                <w:rFonts w:ascii="Times New Roman" w:hAnsi="Times New Roman"/>
                <w:sz w:val="24"/>
              </w:rPr>
            </w:pPr>
            <w:r>
              <w:rPr>
                <w:rFonts w:ascii="Times New Roman" w:hAnsi="Times New Roman"/>
                <w:sz w:val="24"/>
              </w:rPr>
              <w:t>080</w:t>
            </w:r>
          </w:p>
        </w:tc>
        <w:tc>
          <w:tcPr>
            <w:tcW w:w="8701" w:type="dxa"/>
            <w:gridSpan w:val="2"/>
            <w:shd w:val="clear" w:color="auto" w:fill="FFFFFF"/>
          </w:tcPr>
          <w:p w:rsidR="004357B9" w:rsidRPr="00392FFD" w:rsidRDefault="004357B9" w:rsidP="004357B9">
            <w:pPr>
              <w:ind w:left="72"/>
              <w:rPr>
                <w:rStyle w:val="InstructionsTabelleberschrift"/>
                <w:rFonts w:ascii="Times New Roman" w:hAnsi="Times New Roman"/>
                <w:sz w:val="24"/>
              </w:rPr>
            </w:pPr>
            <w:r>
              <w:rPr>
                <w:rStyle w:val="InstructionsTabelleberschrift"/>
                <w:rFonts w:ascii="Times New Roman" w:hAnsi="Times New Roman"/>
                <w:sz w:val="24"/>
              </w:rPr>
              <w:t>Clientèle de détail</w:t>
            </w:r>
          </w:p>
          <w:p w:rsidR="004357B9" w:rsidRPr="00392FFD" w:rsidRDefault="004357B9" w:rsidP="004357B9">
            <w:pPr>
              <w:ind w:left="72"/>
              <w:rPr>
                <w:rStyle w:val="InstructionsTabelleberschrift"/>
                <w:rFonts w:ascii="Times New Roman" w:hAnsi="Times New Roman"/>
                <w:sz w:val="24"/>
              </w:rPr>
            </w:pPr>
            <w:r>
              <w:rPr>
                <w:rFonts w:ascii="Times New Roman" w:hAnsi="Times New Roman"/>
                <w:sz w:val="24"/>
              </w:rPr>
              <w:t>Article 112, point h), du CRR</w:t>
            </w:r>
          </w:p>
        </w:tc>
      </w:tr>
      <w:tr w:rsidR="004357B9" w:rsidRPr="00392FFD" w:rsidTr="004357B9">
        <w:tc>
          <w:tcPr>
            <w:tcW w:w="1188" w:type="dxa"/>
            <w:shd w:val="clear" w:color="auto" w:fill="FFFFFF"/>
          </w:tcPr>
          <w:p w:rsidR="004357B9" w:rsidRPr="00392FFD" w:rsidRDefault="004357B9" w:rsidP="004357B9">
            <w:pPr>
              <w:rPr>
                <w:rFonts w:ascii="Times New Roman" w:hAnsi="Times New Roman"/>
                <w:sz w:val="24"/>
              </w:rPr>
            </w:pPr>
            <w:r>
              <w:rPr>
                <w:rFonts w:ascii="Times New Roman" w:hAnsi="Times New Roman"/>
                <w:sz w:val="24"/>
              </w:rPr>
              <w:t>085</w:t>
            </w:r>
          </w:p>
        </w:tc>
        <w:tc>
          <w:tcPr>
            <w:tcW w:w="8701" w:type="dxa"/>
            <w:gridSpan w:val="2"/>
            <w:shd w:val="clear" w:color="auto" w:fill="FFFFFF"/>
          </w:tcPr>
          <w:p w:rsidR="004357B9" w:rsidRPr="00392FFD" w:rsidRDefault="004357B9" w:rsidP="004357B9">
            <w:pPr>
              <w:ind w:left="72"/>
              <w:rPr>
                <w:rStyle w:val="InstructionsTabelleberschrift"/>
                <w:rFonts w:ascii="Times New Roman" w:hAnsi="Times New Roman"/>
                <w:sz w:val="24"/>
              </w:rPr>
            </w:pPr>
            <w:r>
              <w:rPr>
                <w:rStyle w:val="InstructionsTabelleberschrift"/>
                <w:rFonts w:ascii="Times New Roman" w:hAnsi="Times New Roman"/>
                <w:sz w:val="24"/>
              </w:rPr>
              <w:t>dont: PME</w:t>
            </w:r>
          </w:p>
          <w:p w:rsidR="004357B9" w:rsidRPr="00392FFD" w:rsidRDefault="004357B9" w:rsidP="00DE26F2">
            <w:pPr>
              <w:ind w:left="72"/>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Même définition que pour la ligne 020 du modèle CR SA</w:t>
            </w:r>
          </w:p>
        </w:tc>
      </w:tr>
      <w:tr w:rsidR="004357B9" w:rsidRPr="00392FFD" w:rsidTr="004357B9">
        <w:tc>
          <w:tcPr>
            <w:tcW w:w="1188" w:type="dxa"/>
            <w:shd w:val="clear" w:color="auto" w:fill="FFFFFF"/>
          </w:tcPr>
          <w:p w:rsidR="004357B9" w:rsidRPr="00392FFD" w:rsidRDefault="004357B9" w:rsidP="004357B9">
            <w:pPr>
              <w:rPr>
                <w:rFonts w:ascii="Times New Roman" w:hAnsi="Times New Roman"/>
                <w:sz w:val="24"/>
              </w:rPr>
            </w:pPr>
            <w:r>
              <w:rPr>
                <w:rFonts w:ascii="Times New Roman" w:hAnsi="Times New Roman"/>
                <w:sz w:val="24"/>
              </w:rPr>
              <w:t>090</w:t>
            </w:r>
          </w:p>
        </w:tc>
        <w:tc>
          <w:tcPr>
            <w:tcW w:w="8701" w:type="dxa"/>
            <w:gridSpan w:val="2"/>
            <w:shd w:val="clear" w:color="auto" w:fill="FFFFFF"/>
          </w:tcPr>
          <w:p w:rsidR="004357B9" w:rsidRPr="00392FFD" w:rsidRDefault="004357B9" w:rsidP="004357B9">
            <w:pPr>
              <w:ind w:left="72"/>
              <w:rPr>
                <w:rStyle w:val="InstructionsTabelleberschrift"/>
                <w:rFonts w:ascii="Times New Roman" w:hAnsi="Times New Roman"/>
                <w:sz w:val="24"/>
              </w:rPr>
            </w:pPr>
            <w:r>
              <w:rPr>
                <w:rStyle w:val="InstructionsTabelleberschrift"/>
                <w:rFonts w:ascii="Times New Roman" w:hAnsi="Times New Roman"/>
                <w:sz w:val="24"/>
              </w:rPr>
              <w:t>Expositions garanties par une hypothèque sur un bien immobilier</w:t>
            </w:r>
          </w:p>
          <w:p w:rsidR="004357B9" w:rsidRPr="00392FFD" w:rsidRDefault="004357B9" w:rsidP="004357B9">
            <w:pPr>
              <w:ind w:left="72"/>
              <w:rPr>
                <w:rStyle w:val="InstructionsTabelleText"/>
                <w:rFonts w:ascii="Times New Roman" w:hAnsi="Times New Roman"/>
                <w:sz w:val="24"/>
              </w:rPr>
            </w:pPr>
            <w:r>
              <w:rPr>
                <w:rFonts w:ascii="Times New Roman" w:hAnsi="Times New Roman"/>
                <w:sz w:val="24"/>
              </w:rPr>
              <w:t>Article 112, point i), du CRR</w:t>
            </w:r>
          </w:p>
        </w:tc>
      </w:tr>
      <w:tr w:rsidR="004357B9" w:rsidRPr="00392FFD" w:rsidTr="004357B9">
        <w:tc>
          <w:tcPr>
            <w:tcW w:w="1188" w:type="dxa"/>
            <w:shd w:val="clear" w:color="auto" w:fill="FFFFFF"/>
          </w:tcPr>
          <w:p w:rsidR="004357B9" w:rsidRPr="00392FFD" w:rsidRDefault="004357B9" w:rsidP="004357B9">
            <w:pPr>
              <w:rPr>
                <w:rFonts w:ascii="Times New Roman" w:hAnsi="Times New Roman"/>
                <w:sz w:val="24"/>
              </w:rPr>
            </w:pPr>
            <w:r>
              <w:rPr>
                <w:rFonts w:ascii="Times New Roman" w:hAnsi="Times New Roman"/>
                <w:sz w:val="24"/>
              </w:rPr>
              <w:t>095</w:t>
            </w:r>
          </w:p>
        </w:tc>
        <w:tc>
          <w:tcPr>
            <w:tcW w:w="8701" w:type="dxa"/>
            <w:gridSpan w:val="2"/>
            <w:shd w:val="clear" w:color="auto" w:fill="FFFFFF"/>
          </w:tcPr>
          <w:p w:rsidR="004357B9" w:rsidRPr="00392FFD" w:rsidRDefault="004357B9" w:rsidP="004357B9">
            <w:pPr>
              <w:ind w:left="72"/>
              <w:rPr>
                <w:rStyle w:val="InstructionsTabelleberschrift"/>
                <w:rFonts w:ascii="Times New Roman" w:hAnsi="Times New Roman"/>
                <w:sz w:val="24"/>
              </w:rPr>
            </w:pPr>
            <w:r>
              <w:rPr>
                <w:rStyle w:val="InstructionsTabelleberschrift"/>
                <w:rFonts w:ascii="Times New Roman" w:hAnsi="Times New Roman"/>
                <w:sz w:val="24"/>
              </w:rPr>
              <w:t>dont: PME</w:t>
            </w:r>
          </w:p>
          <w:p w:rsidR="004357B9" w:rsidRPr="00392FFD" w:rsidRDefault="004357B9" w:rsidP="00DE26F2">
            <w:pPr>
              <w:ind w:left="72"/>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lastRenderedPageBreak/>
              <w:t>Même définition que pour la ligne 020 du modèle CR SA</w:t>
            </w:r>
          </w:p>
        </w:tc>
      </w:tr>
      <w:tr w:rsidR="004357B9" w:rsidRPr="00392FFD" w:rsidTr="004357B9">
        <w:tc>
          <w:tcPr>
            <w:tcW w:w="1188" w:type="dxa"/>
            <w:shd w:val="clear" w:color="auto" w:fill="FFFFFF"/>
          </w:tcPr>
          <w:p w:rsidR="004357B9" w:rsidRPr="00392FFD" w:rsidRDefault="004357B9" w:rsidP="004357B9">
            <w:pPr>
              <w:rPr>
                <w:rFonts w:ascii="Times New Roman" w:hAnsi="Times New Roman"/>
                <w:sz w:val="24"/>
              </w:rPr>
            </w:pPr>
            <w:r>
              <w:rPr>
                <w:rFonts w:ascii="Times New Roman" w:hAnsi="Times New Roman"/>
                <w:sz w:val="24"/>
              </w:rPr>
              <w:lastRenderedPageBreak/>
              <w:t>100</w:t>
            </w:r>
          </w:p>
        </w:tc>
        <w:tc>
          <w:tcPr>
            <w:tcW w:w="8701" w:type="dxa"/>
            <w:gridSpan w:val="2"/>
            <w:shd w:val="clear" w:color="auto" w:fill="FFFFFF"/>
          </w:tcPr>
          <w:p w:rsidR="004357B9" w:rsidRPr="00392FFD" w:rsidRDefault="004357B9" w:rsidP="004357B9">
            <w:pPr>
              <w:ind w:left="72"/>
              <w:rPr>
                <w:rStyle w:val="InstructionsTabelleberschrift"/>
                <w:rFonts w:ascii="Times New Roman" w:hAnsi="Times New Roman"/>
                <w:sz w:val="24"/>
              </w:rPr>
            </w:pPr>
            <w:r>
              <w:rPr>
                <w:rStyle w:val="InstructionsTabelleberschrift"/>
                <w:rFonts w:ascii="Times New Roman" w:hAnsi="Times New Roman"/>
                <w:sz w:val="24"/>
              </w:rPr>
              <w:t>Expositions en défaut</w:t>
            </w:r>
          </w:p>
          <w:p w:rsidR="004357B9" w:rsidRPr="00392FFD" w:rsidRDefault="004357B9" w:rsidP="004357B9">
            <w:pPr>
              <w:ind w:left="72"/>
              <w:rPr>
                <w:rStyle w:val="InstructionsTabelleberschrift"/>
                <w:rFonts w:ascii="Times New Roman" w:hAnsi="Times New Roman"/>
                <w:sz w:val="24"/>
              </w:rPr>
            </w:pPr>
            <w:r>
              <w:rPr>
                <w:rFonts w:ascii="Times New Roman" w:hAnsi="Times New Roman"/>
                <w:sz w:val="24"/>
              </w:rPr>
              <w:t>Article 112, point j), du CRR</w:t>
            </w:r>
          </w:p>
        </w:tc>
      </w:tr>
      <w:tr w:rsidR="004357B9" w:rsidRPr="00392FFD" w:rsidTr="004357B9">
        <w:tc>
          <w:tcPr>
            <w:tcW w:w="1188" w:type="dxa"/>
            <w:shd w:val="clear" w:color="auto" w:fill="FFFFFF"/>
          </w:tcPr>
          <w:p w:rsidR="004357B9" w:rsidRPr="00392FFD" w:rsidRDefault="004357B9" w:rsidP="004357B9">
            <w:pPr>
              <w:rPr>
                <w:rFonts w:ascii="Times New Roman" w:hAnsi="Times New Roman"/>
                <w:sz w:val="24"/>
              </w:rPr>
            </w:pPr>
            <w:r>
              <w:rPr>
                <w:rFonts w:ascii="Times New Roman" w:hAnsi="Times New Roman"/>
                <w:sz w:val="24"/>
              </w:rPr>
              <w:t>110</w:t>
            </w:r>
          </w:p>
        </w:tc>
        <w:tc>
          <w:tcPr>
            <w:tcW w:w="8701" w:type="dxa"/>
            <w:gridSpan w:val="2"/>
            <w:shd w:val="clear" w:color="auto" w:fill="FFFFFF"/>
          </w:tcPr>
          <w:p w:rsidR="004357B9" w:rsidRPr="00392FFD" w:rsidRDefault="000565B6" w:rsidP="004357B9">
            <w:pPr>
              <w:autoSpaceDE w:val="0"/>
              <w:autoSpaceDN w:val="0"/>
              <w:adjustRightInd w:val="0"/>
              <w:spacing w:before="0"/>
              <w:ind w:left="72"/>
              <w:jc w:val="left"/>
              <w:rPr>
                <w:rFonts w:ascii="Times New Roman" w:hAnsi="Times New Roman"/>
                <w:b/>
                <w:bCs/>
                <w:sz w:val="24"/>
                <w:u w:val="single"/>
              </w:rPr>
            </w:pPr>
            <w:r>
              <w:rPr>
                <w:rFonts w:ascii="Times New Roman" w:hAnsi="Times New Roman"/>
                <w:b/>
                <w:sz w:val="24"/>
                <w:u w:val="single"/>
              </w:rPr>
              <w:t>Éléments présentant un risque particulièrement élevé</w:t>
            </w:r>
          </w:p>
          <w:p w:rsidR="004357B9" w:rsidRPr="00392FFD" w:rsidRDefault="004357B9" w:rsidP="004357B9">
            <w:pPr>
              <w:autoSpaceDE w:val="0"/>
              <w:autoSpaceDN w:val="0"/>
              <w:adjustRightInd w:val="0"/>
              <w:spacing w:before="0"/>
              <w:ind w:left="72"/>
              <w:jc w:val="left"/>
              <w:rPr>
                <w:rStyle w:val="InstructionsTabelleberschrift"/>
                <w:rFonts w:ascii="Times New Roman" w:hAnsi="Times New Roman"/>
                <w:sz w:val="24"/>
              </w:rPr>
            </w:pPr>
            <w:r>
              <w:rPr>
                <w:rFonts w:ascii="Times New Roman" w:hAnsi="Times New Roman"/>
                <w:sz w:val="24"/>
              </w:rPr>
              <w:t>Article 112, point k), du CRR</w:t>
            </w:r>
          </w:p>
        </w:tc>
      </w:tr>
      <w:tr w:rsidR="004357B9" w:rsidRPr="00392FFD" w:rsidTr="004357B9">
        <w:tc>
          <w:tcPr>
            <w:tcW w:w="1188" w:type="dxa"/>
            <w:shd w:val="clear" w:color="auto" w:fill="FFFFFF"/>
          </w:tcPr>
          <w:p w:rsidR="004357B9" w:rsidRPr="00392FFD" w:rsidRDefault="004357B9" w:rsidP="004357B9">
            <w:pPr>
              <w:rPr>
                <w:rFonts w:ascii="Times New Roman" w:hAnsi="Times New Roman"/>
                <w:sz w:val="24"/>
              </w:rPr>
            </w:pPr>
            <w:r>
              <w:rPr>
                <w:rFonts w:ascii="Times New Roman" w:hAnsi="Times New Roman"/>
                <w:sz w:val="24"/>
              </w:rPr>
              <w:t>120</w:t>
            </w:r>
          </w:p>
        </w:tc>
        <w:tc>
          <w:tcPr>
            <w:tcW w:w="8701" w:type="dxa"/>
            <w:gridSpan w:val="2"/>
            <w:shd w:val="clear" w:color="auto" w:fill="FFFFFF"/>
          </w:tcPr>
          <w:p w:rsidR="004357B9" w:rsidRPr="00392FFD" w:rsidRDefault="004357B9" w:rsidP="004357B9">
            <w:pPr>
              <w:autoSpaceDE w:val="0"/>
              <w:autoSpaceDN w:val="0"/>
              <w:adjustRightInd w:val="0"/>
              <w:spacing w:before="0"/>
              <w:ind w:left="72"/>
              <w:jc w:val="left"/>
              <w:rPr>
                <w:rStyle w:val="InstructionsTabelleberschrift"/>
                <w:rFonts w:ascii="Times New Roman" w:hAnsi="Times New Roman"/>
                <w:sz w:val="24"/>
              </w:rPr>
            </w:pPr>
            <w:r>
              <w:rPr>
                <w:rStyle w:val="InstructionsTabelleberschrift"/>
                <w:rFonts w:ascii="Times New Roman" w:hAnsi="Times New Roman"/>
                <w:sz w:val="24"/>
              </w:rPr>
              <w:t>Obligations garanties</w:t>
            </w:r>
          </w:p>
          <w:p w:rsidR="004357B9" w:rsidRPr="00392FFD" w:rsidRDefault="004357B9" w:rsidP="004357B9">
            <w:pPr>
              <w:autoSpaceDE w:val="0"/>
              <w:autoSpaceDN w:val="0"/>
              <w:adjustRightInd w:val="0"/>
              <w:spacing w:before="0"/>
              <w:ind w:left="72"/>
              <w:jc w:val="left"/>
              <w:rPr>
                <w:rStyle w:val="InstructionsTabelleText"/>
                <w:rFonts w:ascii="Times New Roman" w:hAnsi="Times New Roman"/>
                <w:bCs/>
                <w:sz w:val="24"/>
                <w:u w:val="single"/>
              </w:rPr>
            </w:pPr>
            <w:r>
              <w:rPr>
                <w:rFonts w:ascii="Times New Roman" w:hAnsi="Times New Roman"/>
                <w:sz w:val="24"/>
                <w:u w:val="single"/>
              </w:rPr>
              <w:t>Article 112, point l), du CRR</w:t>
            </w:r>
          </w:p>
        </w:tc>
      </w:tr>
      <w:tr w:rsidR="004357B9" w:rsidRPr="00392FFD" w:rsidTr="004357B9">
        <w:tc>
          <w:tcPr>
            <w:tcW w:w="1188" w:type="dxa"/>
            <w:shd w:val="clear" w:color="auto" w:fill="FFFFFF"/>
          </w:tcPr>
          <w:p w:rsidR="004357B9" w:rsidRPr="00392FFD" w:rsidRDefault="004357B9" w:rsidP="004357B9">
            <w:pPr>
              <w:rPr>
                <w:rFonts w:ascii="Times New Roman" w:hAnsi="Times New Roman"/>
                <w:sz w:val="24"/>
              </w:rPr>
            </w:pPr>
            <w:r>
              <w:rPr>
                <w:rFonts w:ascii="Times New Roman" w:hAnsi="Times New Roman"/>
                <w:sz w:val="24"/>
              </w:rPr>
              <w:t>130</w:t>
            </w:r>
          </w:p>
          <w:p w:rsidR="004357B9" w:rsidRPr="00392FFD" w:rsidRDefault="004357B9" w:rsidP="004357B9">
            <w:pPr>
              <w:rPr>
                <w:rFonts w:ascii="Times New Roman" w:hAnsi="Times New Roman"/>
                <w:sz w:val="24"/>
              </w:rPr>
            </w:pPr>
          </w:p>
        </w:tc>
        <w:tc>
          <w:tcPr>
            <w:tcW w:w="8701" w:type="dxa"/>
            <w:gridSpan w:val="2"/>
            <w:shd w:val="clear" w:color="auto" w:fill="FFFFFF"/>
          </w:tcPr>
          <w:p w:rsidR="004357B9" w:rsidRPr="00392FFD" w:rsidRDefault="004357B9" w:rsidP="004357B9">
            <w:pPr>
              <w:ind w:left="72"/>
              <w:rPr>
                <w:rStyle w:val="InstructionsTabelleberschrift"/>
                <w:rFonts w:ascii="Times New Roman" w:hAnsi="Times New Roman"/>
                <w:bCs w:val="0"/>
                <w:sz w:val="24"/>
              </w:rPr>
            </w:pPr>
            <w:r>
              <w:rPr>
                <w:rStyle w:val="InstructionsTabelleberschrift"/>
                <w:rFonts w:ascii="Times New Roman" w:hAnsi="Times New Roman"/>
                <w:sz w:val="24"/>
              </w:rPr>
              <w:t>Créances sur des établissements et des entreprises faisant l'objet d'une évaluation du crédit à court terme</w:t>
            </w:r>
          </w:p>
          <w:p w:rsidR="004357B9" w:rsidRPr="00392FFD" w:rsidRDefault="004357B9" w:rsidP="004357B9">
            <w:pPr>
              <w:ind w:left="72"/>
              <w:rPr>
                <w:rFonts w:ascii="Times New Roman" w:hAnsi="Times New Roman"/>
                <w:sz w:val="24"/>
              </w:rPr>
            </w:pPr>
            <w:r>
              <w:rPr>
                <w:rFonts w:ascii="Times New Roman" w:hAnsi="Times New Roman"/>
                <w:sz w:val="24"/>
              </w:rPr>
              <w:t>Article 112, point n), du CRR</w:t>
            </w:r>
          </w:p>
        </w:tc>
      </w:tr>
      <w:tr w:rsidR="004357B9" w:rsidRPr="00392FFD" w:rsidTr="004357B9">
        <w:tc>
          <w:tcPr>
            <w:tcW w:w="1188" w:type="dxa"/>
            <w:shd w:val="clear" w:color="auto" w:fill="FFFFFF"/>
          </w:tcPr>
          <w:p w:rsidR="004357B9" w:rsidRPr="00392FFD" w:rsidRDefault="004357B9" w:rsidP="004357B9">
            <w:pPr>
              <w:rPr>
                <w:rFonts w:ascii="Times New Roman" w:hAnsi="Times New Roman"/>
                <w:sz w:val="24"/>
              </w:rPr>
            </w:pPr>
            <w:r>
              <w:rPr>
                <w:rFonts w:ascii="Times New Roman" w:hAnsi="Times New Roman"/>
                <w:sz w:val="24"/>
              </w:rPr>
              <w:t>140</w:t>
            </w:r>
          </w:p>
        </w:tc>
        <w:tc>
          <w:tcPr>
            <w:tcW w:w="8701" w:type="dxa"/>
            <w:gridSpan w:val="2"/>
            <w:shd w:val="clear" w:color="auto" w:fill="FFFFFF"/>
          </w:tcPr>
          <w:p w:rsidR="00D82B60" w:rsidRPr="00392FFD" w:rsidRDefault="00A402A8" w:rsidP="004357B9">
            <w:pPr>
              <w:ind w:left="72"/>
              <w:rPr>
                <w:rStyle w:val="InstructionsTabelleberschrift"/>
                <w:rFonts w:ascii="Times New Roman" w:hAnsi="Times New Roman"/>
                <w:sz w:val="24"/>
              </w:rPr>
            </w:pPr>
            <w:r>
              <w:rPr>
                <w:rStyle w:val="InstructionsTabelleberschrift"/>
                <w:rFonts w:ascii="Times New Roman" w:hAnsi="Times New Roman"/>
                <w:sz w:val="24"/>
              </w:rPr>
              <w:t>Organismes de placement collectif (OPC)</w:t>
            </w:r>
          </w:p>
          <w:p w:rsidR="004357B9" w:rsidRPr="00392FFD" w:rsidRDefault="004357B9" w:rsidP="004357B9">
            <w:pPr>
              <w:ind w:left="72"/>
              <w:rPr>
                <w:rStyle w:val="InstructionsTabelleberschrift"/>
                <w:rFonts w:ascii="Times New Roman" w:hAnsi="Times New Roman"/>
                <w:b w:val="0"/>
                <w:bCs w:val="0"/>
                <w:sz w:val="24"/>
                <w:u w:val="none"/>
              </w:rPr>
            </w:pPr>
            <w:r>
              <w:rPr>
                <w:rFonts w:ascii="Times New Roman" w:hAnsi="Times New Roman"/>
                <w:sz w:val="24"/>
              </w:rPr>
              <w:t>Article 112, point o), du CRR</w:t>
            </w:r>
          </w:p>
        </w:tc>
      </w:tr>
      <w:tr w:rsidR="004357B9" w:rsidRPr="00392FFD" w:rsidTr="004357B9">
        <w:tc>
          <w:tcPr>
            <w:tcW w:w="1188" w:type="dxa"/>
            <w:shd w:val="clear" w:color="auto" w:fill="FFFFFF"/>
          </w:tcPr>
          <w:p w:rsidR="004357B9" w:rsidRPr="00392FFD" w:rsidRDefault="004357B9" w:rsidP="004357B9">
            <w:pPr>
              <w:rPr>
                <w:rFonts w:ascii="Times New Roman" w:hAnsi="Times New Roman"/>
                <w:sz w:val="24"/>
              </w:rPr>
            </w:pPr>
            <w:r>
              <w:rPr>
                <w:rFonts w:ascii="Times New Roman" w:hAnsi="Times New Roman"/>
                <w:sz w:val="24"/>
              </w:rPr>
              <w:t>150</w:t>
            </w:r>
          </w:p>
        </w:tc>
        <w:tc>
          <w:tcPr>
            <w:tcW w:w="8701" w:type="dxa"/>
            <w:gridSpan w:val="2"/>
            <w:shd w:val="clear" w:color="auto" w:fill="FFFFFF"/>
          </w:tcPr>
          <w:p w:rsidR="004357B9" w:rsidRPr="00392FFD" w:rsidRDefault="004357B9" w:rsidP="004357B9">
            <w:pPr>
              <w:ind w:left="72"/>
              <w:rPr>
                <w:rStyle w:val="InstructionsTabelleberschrift"/>
                <w:rFonts w:ascii="Times New Roman" w:hAnsi="Times New Roman"/>
                <w:sz w:val="24"/>
              </w:rPr>
            </w:pPr>
            <w:r>
              <w:rPr>
                <w:rStyle w:val="InstructionsTabelleberschrift"/>
                <w:rFonts w:ascii="Times New Roman" w:hAnsi="Times New Roman"/>
                <w:sz w:val="24"/>
              </w:rPr>
              <w:t>Expositions sous forme d’actions</w:t>
            </w:r>
          </w:p>
          <w:p w:rsidR="004357B9" w:rsidRPr="00392FFD" w:rsidRDefault="004357B9" w:rsidP="004357B9">
            <w:pPr>
              <w:ind w:left="72"/>
              <w:rPr>
                <w:rStyle w:val="InstructionsTabelleberschrift"/>
                <w:rFonts w:ascii="Times New Roman" w:hAnsi="Times New Roman"/>
                <w:sz w:val="24"/>
              </w:rPr>
            </w:pPr>
            <w:r>
              <w:rPr>
                <w:rFonts w:ascii="Times New Roman" w:hAnsi="Times New Roman"/>
                <w:sz w:val="24"/>
              </w:rPr>
              <w:t>Article 112, point p), du CRR</w:t>
            </w:r>
          </w:p>
        </w:tc>
      </w:tr>
      <w:tr w:rsidR="004357B9" w:rsidRPr="00392FFD" w:rsidTr="004357B9">
        <w:tc>
          <w:tcPr>
            <w:tcW w:w="1188" w:type="dxa"/>
            <w:shd w:val="clear" w:color="auto" w:fill="FFFFFF"/>
          </w:tcPr>
          <w:p w:rsidR="004357B9" w:rsidRPr="00392FFD" w:rsidRDefault="004357B9" w:rsidP="004357B9">
            <w:pPr>
              <w:rPr>
                <w:rFonts w:ascii="Times New Roman" w:hAnsi="Times New Roman"/>
                <w:sz w:val="24"/>
              </w:rPr>
            </w:pPr>
            <w:r>
              <w:rPr>
                <w:rFonts w:ascii="Times New Roman" w:hAnsi="Times New Roman"/>
                <w:sz w:val="24"/>
              </w:rPr>
              <w:t>160</w:t>
            </w:r>
          </w:p>
        </w:tc>
        <w:tc>
          <w:tcPr>
            <w:tcW w:w="8701" w:type="dxa"/>
            <w:gridSpan w:val="2"/>
            <w:shd w:val="clear" w:color="auto" w:fill="FFFFFF"/>
          </w:tcPr>
          <w:p w:rsidR="004357B9" w:rsidRPr="00392FFD" w:rsidRDefault="004357B9" w:rsidP="004357B9">
            <w:pPr>
              <w:ind w:left="72"/>
              <w:rPr>
                <w:rStyle w:val="InstructionsTabelleberschrift"/>
                <w:rFonts w:ascii="Times New Roman" w:hAnsi="Times New Roman"/>
                <w:sz w:val="24"/>
              </w:rPr>
            </w:pPr>
            <w:r>
              <w:rPr>
                <w:rStyle w:val="InstructionsTabelleberschrift"/>
                <w:rFonts w:ascii="Times New Roman" w:hAnsi="Times New Roman"/>
                <w:sz w:val="24"/>
              </w:rPr>
              <w:t>Autres expositions</w:t>
            </w:r>
          </w:p>
          <w:p w:rsidR="004357B9" w:rsidRPr="00392FFD" w:rsidRDefault="004357B9" w:rsidP="004357B9">
            <w:pPr>
              <w:ind w:left="72"/>
              <w:rPr>
                <w:rStyle w:val="InstructionsTabelleberschrift"/>
                <w:rFonts w:ascii="Times New Roman" w:hAnsi="Times New Roman"/>
                <w:sz w:val="24"/>
              </w:rPr>
            </w:pPr>
            <w:r>
              <w:rPr>
                <w:rFonts w:ascii="Times New Roman" w:hAnsi="Times New Roman"/>
                <w:sz w:val="24"/>
              </w:rPr>
              <w:t>Article 112, point q), du CRR</w:t>
            </w:r>
          </w:p>
        </w:tc>
      </w:tr>
      <w:tr w:rsidR="007A49AC" w:rsidRPr="00392FFD" w:rsidTr="004357B9">
        <w:tc>
          <w:tcPr>
            <w:tcW w:w="1188" w:type="dxa"/>
            <w:shd w:val="clear" w:color="auto" w:fill="FFFFFF"/>
          </w:tcPr>
          <w:p w:rsidR="007A49AC" w:rsidRPr="00392FFD" w:rsidRDefault="007A49AC" w:rsidP="004357B9">
            <w:pPr>
              <w:rPr>
                <w:rFonts w:ascii="Times New Roman" w:hAnsi="Times New Roman"/>
                <w:sz w:val="24"/>
              </w:rPr>
            </w:pPr>
            <w:r>
              <w:rPr>
                <w:rFonts w:ascii="Times New Roman" w:hAnsi="Times New Roman"/>
                <w:sz w:val="24"/>
              </w:rPr>
              <w:t>170</w:t>
            </w:r>
          </w:p>
        </w:tc>
        <w:tc>
          <w:tcPr>
            <w:tcW w:w="8701" w:type="dxa"/>
            <w:gridSpan w:val="2"/>
            <w:shd w:val="clear" w:color="auto" w:fill="FFFFFF"/>
          </w:tcPr>
          <w:p w:rsidR="007A49AC" w:rsidRPr="00392FFD" w:rsidRDefault="007A49AC" w:rsidP="004357B9">
            <w:pPr>
              <w:ind w:left="72"/>
              <w:rPr>
                <w:rStyle w:val="InstructionsTabelleberschrift"/>
                <w:rFonts w:ascii="Times New Roman" w:hAnsi="Times New Roman"/>
                <w:sz w:val="24"/>
              </w:rPr>
            </w:pPr>
            <w:r>
              <w:rPr>
                <w:rStyle w:val="InstructionsTabelleberschrift"/>
                <w:rFonts w:ascii="Times New Roman" w:hAnsi="Times New Roman"/>
                <w:sz w:val="24"/>
              </w:rPr>
              <w:t>Total des expositions</w:t>
            </w:r>
          </w:p>
        </w:tc>
      </w:tr>
    </w:tbl>
    <w:p w:rsidR="004357B9" w:rsidRPr="00392FFD" w:rsidRDefault="004357B9" w:rsidP="004357B9">
      <w:pPr>
        <w:spacing w:before="0" w:after="200" w:line="312" w:lineRule="auto"/>
        <w:jc w:val="left"/>
        <w:rPr>
          <w:rFonts w:ascii="Times New Roman" w:hAnsi="Times New Roman"/>
          <w:sz w:val="24"/>
        </w:rPr>
      </w:pPr>
      <w:bookmarkStart w:id="332" w:name="_Toc292456210"/>
    </w:p>
    <w:p w:rsidR="004357B9" w:rsidRPr="00392FFD" w:rsidRDefault="00125707" w:rsidP="0023700C">
      <w:pPr>
        <w:pStyle w:val="Instructionsberschrift2"/>
        <w:numPr>
          <w:ilvl w:val="0"/>
          <w:numId w:val="0"/>
        </w:numPr>
        <w:ind w:left="357" w:hanging="357"/>
        <w:rPr>
          <w:rFonts w:ascii="Times New Roman" w:hAnsi="Times New Roman" w:cs="Times New Roman"/>
          <w:sz w:val="24"/>
        </w:rPr>
      </w:pPr>
      <w:bookmarkStart w:id="333" w:name="_Toc360188364"/>
      <w:bookmarkStart w:id="334" w:name="_Toc473560915"/>
      <w:bookmarkStart w:id="335" w:name="_Toc496022310"/>
      <w:r>
        <w:rPr>
          <w:rFonts w:ascii="Times New Roman" w:hAnsi="Times New Roman"/>
          <w:sz w:val="24"/>
          <w:u w:val="none"/>
        </w:rPr>
        <w:t>3.4.2.</w:t>
      </w:r>
      <w:r>
        <w:tab/>
      </w:r>
      <w:r>
        <w:rPr>
          <w:rFonts w:ascii="Times New Roman" w:hAnsi="Times New Roman"/>
          <w:sz w:val="24"/>
        </w:rPr>
        <w:t>C 09.02 - Répartition géographique des expositions par pays de résidence du débiteur: expositions en approche NI</w:t>
      </w:r>
      <w:bookmarkEnd w:id="333"/>
      <w:r>
        <w:rPr>
          <w:rFonts w:ascii="Times New Roman" w:hAnsi="Times New Roman"/>
          <w:sz w:val="24"/>
        </w:rPr>
        <w:t xml:space="preserve"> (CR GB 2)</w:t>
      </w:r>
      <w:bookmarkEnd w:id="334"/>
      <w:bookmarkEnd w:id="335"/>
    </w:p>
    <w:p w:rsidR="004357B9" w:rsidRPr="00392FFD" w:rsidRDefault="00125707" w:rsidP="0023700C">
      <w:pPr>
        <w:pStyle w:val="Instructionsberschrift2"/>
        <w:numPr>
          <w:ilvl w:val="0"/>
          <w:numId w:val="0"/>
        </w:numPr>
        <w:ind w:left="357" w:hanging="357"/>
        <w:rPr>
          <w:rFonts w:ascii="Times New Roman" w:hAnsi="Times New Roman" w:cs="Times New Roman"/>
          <w:sz w:val="24"/>
        </w:rPr>
      </w:pPr>
      <w:bookmarkStart w:id="336" w:name="_Toc360188365"/>
      <w:bookmarkStart w:id="337" w:name="_Toc473560916"/>
      <w:bookmarkStart w:id="338" w:name="_Toc496022311"/>
      <w:r>
        <w:rPr>
          <w:rFonts w:ascii="Times New Roman" w:hAnsi="Times New Roman"/>
          <w:sz w:val="24"/>
          <w:u w:val="none"/>
        </w:rPr>
        <w:t>3.4.2.1.</w:t>
      </w:r>
      <w:r>
        <w:tab/>
      </w:r>
      <w:r>
        <w:rPr>
          <w:rFonts w:ascii="Times New Roman" w:hAnsi="Times New Roman"/>
          <w:sz w:val="24"/>
        </w:rPr>
        <w:t>Instructions concernant certaines positions</w:t>
      </w:r>
      <w:bookmarkEnd w:id="336"/>
      <w:bookmarkEnd w:id="337"/>
      <w:bookmarkEnd w:id="338"/>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8640"/>
      </w:tblGrid>
      <w:tr w:rsidR="004357B9" w:rsidRPr="00392FFD" w:rsidTr="004357B9">
        <w:tc>
          <w:tcPr>
            <w:tcW w:w="1188" w:type="dxa"/>
            <w:shd w:val="clear" w:color="auto" w:fill="CCCCCC"/>
          </w:tcPr>
          <w:p w:rsidR="004357B9" w:rsidRPr="00392FFD" w:rsidRDefault="004357B9" w:rsidP="004357B9">
            <w:pPr>
              <w:rPr>
                <w:rFonts w:ascii="Times New Roman" w:hAnsi="Times New Roman"/>
                <w:b/>
                <w:sz w:val="24"/>
              </w:rPr>
            </w:pPr>
            <w:r>
              <w:rPr>
                <w:rFonts w:ascii="Times New Roman" w:hAnsi="Times New Roman"/>
                <w:b/>
                <w:sz w:val="24"/>
              </w:rPr>
              <w:t>Colonnes</w:t>
            </w:r>
          </w:p>
        </w:tc>
        <w:tc>
          <w:tcPr>
            <w:tcW w:w="8640" w:type="dxa"/>
            <w:shd w:val="clear" w:color="auto" w:fill="CCCCCC"/>
          </w:tcPr>
          <w:p w:rsidR="004357B9" w:rsidRPr="00392FFD" w:rsidRDefault="004357B9" w:rsidP="004357B9">
            <w:pPr>
              <w:ind w:left="72"/>
              <w:rPr>
                <w:rFonts w:ascii="Times New Roman" w:hAnsi="Times New Roman"/>
                <w:sz w:val="24"/>
              </w:rPr>
            </w:pPr>
          </w:p>
        </w:tc>
      </w:tr>
      <w:tr w:rsidR="004357B9" w:rsidRPr="00392FFD" w:rsidTr="004357B9">
        <w:tc>
          <w:tcPr>
            <w:tcW w:w="1188" w:type="dxa"/>
          </w:tcPr>
          <w:p w:rsidR="004357B9" w:rsidRPr="00392FFD" w:rsidRDefault="004357B9" w:rsidP="004357B9">
            <w:pPr>
              <w:rPr>
                <w:rStyle w:val="InstructionsTabelleText"/>
                <w:rFonts w:ascii="Times New Roman" w:hAnsi="Times New Roman"/>
                <w:sz w:val="24"/>
              </w:rPr>
            </w:pPr>
            <w:r>
              <w:rPr>
                <w:rStyle w:val="InstructionsTabelleText"/>
                <w:rFonts w:ascii="Times New Roman" w:hAnsi="Times New Roman"/>
                <w:sz w:val="24"/>
              </w:rPr>
              <w:t>010</w:t>
            </w:r>
          </w:p>
        </w:tc>
        <w:tc>
          <w:tcPr>
            <w:tcW w:w="8640" w:type="dxa"/>
          </w:tcPr>
          <w:p w:rsidR="004357B9" w:rsidRPr="00392FFD" w:rsidRDefault="004357B9" w:rsidP="004357B9">
            <w:pPr>
              <w:rPr>
                <w:rStyle w:val="InstructionsTabelleberschrift"/>
                <w:rFonts w:ascii="Times New Roman" w:hAnsi="Times New Roman"/>
                <w:sz w:val="24"/>
              </w:rPr>
            </w:pPr>
            <w:r>
              <w:rPr>
                <w:rStyle w:val="InstructionsTabelleberschrift"/>
                <w:rFonts w:ascii="Times New Roman" w:hAnsi="Times New Roman"/>
                <w:sz w:val="24"/>
              </w:rPr>
              <w:t>EXPOSITION INITIALE AVANT APPLICATION DES FACTEURS DE CO</w:t>
            </w:r>
            <w:r>
              <w:rPr>
                <w:rStyle w:val="InstructionsTabelleberschrift"/>
                <w:rFonts w:ascii="Times New Roman" w:hAnsi="Times New Roman"/>
                <w:sz w:val="24"/>
              </w:rPr>
              <w:t>N</w:t>
            </w:r>
            <w:r>
              <w:rPr>
                <w:rStyle w:val="InstructionsTabelleberschrift"/>
                <w:rFonts w:ascii="Times New Roman" w:hAnsi="Times New Roman"/>
                <w:sz w:val="24"/>
              </w:rPr>
              <w:t>VERSION</w:t>
            </w:r>
          </w:p>
          <w:p w:rsidR="004357B9" w:rsidRPr="00392FFD" w:rsidRDefault="004357B9" w:rsidP="004357B9">
            <w:pPr>
              <w:autoSpaceDE w:val="0"/>
              <w:autoSpaceDN w:val="0"/>
              <w:adjustRightInd w:val="0"/>
              <w:spacing w:before="0" w:after="0"/>
              <w:jc w:val="left"/>
              <w:rPr>
                <w:rStyle w:val="InstructionsTabelleText"/>
                <w:rFonts w:ascii="Times New Roman" w:hAnsi="Times New Roman"/>
                <w:sz w:val="24"/>
              </w:rPr>
            </w:pPr>
            <w:r>
              <w:rPr>
                <w:rFonts w:ascii="Times New Roman" w:hAnsi="Times New Roman"/>
                <w:sz w:val="24"/>
              </w:rPr>
              <w:t>Même définition que pour la colonne 020 du modèle CR IRB.</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030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Dont en défaut</w:t>
            </w:r>
          </w:p>
          <w:p w:rsidR="004357B9" w:rsidRPr="00392FFD" w:rsidRDefault="004357B9" w:rsidP="004357B9">
            <w:pPr>
              <w:rPr>
                <w:rStyle w:val="InstructionsTabelleText"/>
                <w:rFonts w:ascii="Times New Roman" w:hAnsi="Times New Roman"/>
                <w:sz w:val="24"/>
              </w:rPr>
            </w:pPr>
            <w:r>
              <w:rPr>
                <w:rStyle w:val="InstructionsTabelleText"/>
                <w:rFonts w:ascii="Times New Roman" w:hAnsi="Times New Roman"/>
                <w:sz w:val="24"/>
              </w:rPr>
              <w:t>Valeur de l’exposition initiale pour les expositions qui ont été classées comme «expos</w:t>
            </w:r>
            <w:r>
              <w:rPr>
                <w:rStyle w:val="InstructionsTabelleText"/>
                <w:rFonts w:ascii="Times New Roman" w:hAnsi="Times New Roman"/>
                <w:sz w:val="24"/>
              </w:rPr>
              <w:t>i</w:t>
            </w:r>
            <w:r>
              <w:rPr>
                <w:rStyle w:val="InstructionsTabelleText"/>
                <w:rFonts w:ascii="Times New Roman" w:hAnsi="Times New Roman"/>
                <w:sz w:val="24"/>
              </w:rPr>
              <w:t>tions en défaut» conformément à l’article 178 du CRR.</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040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Nouveaux défauts observés sur la période</w:t>
            </w:r>
          </w:p>
          <w:p w:rsidR="004357B9" w:rsidRPr="00392FFD" w:rsidRDefault="00DF70AE" w:rsidP="00DF70AE">
            <w:pPr>
              <w:rPr>
                <w:rFonts w:ascii="Times New Roman" w:hAnsi="Times New Roman"/>
                <w:b/>
                <w:sz w:val="24"/>
                <w:u w:val="single"/>
              </w:rPr>
            </w:pPr>
            <w:r>
              <w:rPr>
                <w:rStyle w:val="InstructionsTabelleText"/>
                <w:rFonts w:ascii="Times New Roman" w:hAnsi="Times New Roman"/>
                <w:sz w:val="24"/>
              </w:rPr>
              <w:t>Le montant d’expositions initiales qui sont passées dans la catégorie d’expositions «expositions en défaut» au cours des trois mois qui ont suivi la dernière date de réf</w:t>
            </w:r>
            <w:r>
              <w:rPr>
                <w:rStyle w:val="InstructionsTabelleText"/>
                <w:rFonts w:ascii="Times New Roman" w:hAnsi="Times New Roman"/>
                <w:sz w:val="24"/>
              </w:rPr>
              <w:t>é</w:t>
            </w:r>
            <w:r>
              <w:rPr>
                <w:rStyle w:val="InstructionsTabelleText"/>
                <w:rFonts w:ascii="Times New Roman" w:hAnsi="Times New Roman"/>
                <w:sz w:val="24"/>
              </w:rPr>
              <w:t>rence pour la déclaration sont déclarées dans la catégorie d’exposition à laquelle appa</w:t>
            </w:r>
            <w:r>
              <w:rPr>
                <w:rStyle w:val="InstructionsTabelleText"/>
                <w:rFonts w:ascii="Times New Roman" w:hAnsi="Times New Roman"/>
                <w:sz w:val="24"/>
              </w:rPr>
              <w:t>r</w:t>
            </w:r>
            <w:r>
              <w:rPr>
                <w:rStyle w:val="InstructionsTabelleText"/>
                <w:rFonts w:ascii="Times New Roman" w:hAnsi="Times New Roman"/>
                <w:sz w:val="24"/>
              </w:rPr>
              <w:t>tenait le débiteur à l’origine.</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lastRenderedPageBreak/>
              <w:t>050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Ajustements pour risque de crédit général</w:t>
            </w:r>
          </w:p>
          <w:p w:rsidR="004357B9" w:rsidRPr="00392FFD" w:rsidRDefault="004357B9" w:rsidP="00D82B60">
            <w:pPr>
              <w:rPr>
                <w:rFonts w:ascii="Times New Roman" w:hAnsi="Times New Roman"/>
                <w:b/>
                <w:sz w:val="24"/>
                <w:u w:val="single"/>
              </w:rPr>
            </w:pPr>
            <w:r>
              <w:rPr>
                <w:rFonts w:ascii="Times New Roman" w:hAnsi="Times New Roman"/>
                <w:sz w:val="24"/>
              </w:rPr>
              <w:t xml:space="preserve">Ajustements pour risque de crédit conformément à l’article 110 du CRR. </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055</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Ajustements pour risque de crédit spécifique</w:t>
            </w:r>
          </w:p>
          <w:p w:rsidR="004357B9" w:rsidRPr="00392FFD" w:rsidRDefault="004357B9" w:rsidP="004357B9">
            <w:pPr>
              <w:rPr>
                <w:rFonts w:ascii="Times New Roman" w:hAnsi="Times New Roman"/>
                <w:b/>
                <w:sz w:val="24"/>
                <w:u w:val="single"/>
              </w:rPr>
            </w:pPr>
            <w:r>
              <w:rPr>
                <w:rFonts w:ascii="Times New Roman" w:hAnsi="Times New Roman"/>
                <w:sz w:val="24"/>
              </w:rPr>
              <w:t>Ajustements pour risque de crédit conformément à l’article 110 du CRR.</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060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Sorties du bilan</w:t>
            </w:r>
          </w:p>
          <w:p w:rsidR="004357B9" w:rsidRPr="00392FFD" w:rsidRDefault="004357B9" w:rsidP="004357B9">
            <w:pPr>
              <w:rPr>
                <w:rFonts w:ascii="Times New Roman" w:hAnsi="Times New Roman"/>
                <w:b/>
                <w:sz w:val="24"/>
                <w:u w:val="single"/>
              </w:rPr>
            </w:pPr>
            <w:r>
              <w:rPr>
                <w:rStyle w:val="InstructionsTabelleText"/>
                <w:rFonts w:ascii="Times New Roman" w:hAnsi="Times New Roman"/>
                <w:sz w:val="24"/>
              </w:rPr>
              <w:t>Les radiations (sorties du bilan) comprennent non seulement la réduction de la valeur comptable des actifs financiers et leur comptabilisation directe dans le compte de co</w:t>
            </w:r>
            <w:r>
              <w:rPr>
                <w:rStyle w:val="InstructionsTabelleText"/>
                <w:rFonts w:ascii="Times New Roman" w:hAnsi="Times New Roman"/>
                <w:sz w:val="24"/>
              </w:rPr>
              <w:t>r</w:t>
            </w:r>
            <w:r>
              <w:rPr>
                <w:rStyle w:val="InstructionsTabelleText"/>
                <w:rFonts w:ascii="Times New Roman" w:hAnsi="Times New Roman"/>
                <w:sz w:val="24"/>
              </w:rPr>
              <w:t>rection de valeur [IFRS 7.B5.(d).(i)], mais également la réduction des montants in</w:t>
            </w:r>
            <w:r>
              <w:rPr>
                <w:rStyle w:val="InstructionsTabelleText"/>
                <w:rFonts w:ascii="Times New Roman" w:hAnsi="Times New Roman"/>
                <w:sz w:val="24"/>
              </w:rPr>
              <w:t>s</w:t>
            </w:r>
            <w:r>
              <w:rPr>
                <w:rStyle w:val="InstructionsTabelleText"/>
                <w:rFonts w:ascii="Times New Roman" w:hAnsi="Times New Roman"/>
                <w:sz w:val="24"/>
              </w:rPr>
              <w:t>crits dans le compte de correction de valeur en diminution de la valeur comptable des actifs financiers dépréciés [IFRS 7.B5.(d).(ii)].</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070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Ajustements pour risque de crédit/radiation de crédits pour nouveaux défauts o</w:t>
            </w:r>
            <w:r>
              <w:rPr>
                <w:rFonts w:ascii="Times New Roman" w:hAnsi="Times New Roman"/>
                <w:b/>
                <w:sz w:val="24"/>
                <w:u w:val="single"/>
              </w:rPr>
              <w:t>b</w:t>
            </w:r>
            <w:r>
              <w:rPr>
                <w:rFonts w:ascii="Times New Roman" w:hAnsi="Times New Roman"/>
                <w:b/>
                <w:sz w:val="24"/>
                <w:u w:val="single"/>
              </w:rPr>
              <w:t>servés</w:t>
            </w:r>
          </w:p>
          <w:p w:rsidR="004357B9" w:rsidRPr="00392FFD" w:rsidRDefault="004357B9" w:rsidP="004357B9">
            <w:pPr>
              <w:rPr>
                <w:rFonts w:ascii="Times New Roman" w:hAnsi="Times New Roman"/>
                <w:b/>
                <w:sz w:val="24"/>
                <w:u w:val="single"/>
              </w:rPr>
            </w:pPr>
            <w:r>
              <w:rPr>
                <w:rStyle w:val="InstructionsTabelleText"/>
                <w:rFonts w:ascii="Times New Roman" w:hAnsi="Times New Roman"/>
                <w:sz w:val="24"/>
              </w:rPr>
              <w:t>Somme des ajustements pour risque de crédit et radiations pour les expositions qui ont été classées dans la catégorie «expositions en défaut» au cours des trois mois qui ont suivi la dernière déclaration des données.</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080</w:t>
            </w:r>
          </w:p>
        </w:tc>
        <w:tc>
          <w:tcPr>
            <w:tcW w:w="8640" w:type="dxa"/>
          </w:tcPr>
          <w:p w:rsidR="004357B9" w:rsidRPr="00392FFD" w:rsidRDefault="004357B9" w:rsidP="004357B9">
            <w:pPr>
              <w:rPr>
                <w:rStyle w:val="InstructionsTabelleberschrift"/>
                <w:rFonts w:ascii="Times New Roman" w:hAnsi="Times New Roman"/>
                <w:bCs w:val="0"/>
                <w:sz w:val="24"/>
              </w:rPr>
            </w:pPr>
            <w:r>
              <w:rPr>
                <w:rStyle w:val="InstructionsTabelleberschrift"/>
                <w:rFonts w:ascii="Times New Roman" w:hAnsi="Times New Roman"/>
                <w:sz w:val="24"/>
              </w:rPr>
              <w:t>SYSTÈME DE NOTATION INTERNE/PROBABILITÉ DE DÉFAUT (PD) A</w:t>
            </w:r>
            <w:r>
              <w:rPr>
                <w:rStyle w:val="InstructionsTabelleberschrift"/>
                <w:rFonts w:ascii="Times New Roman" w:hAnsi="Times New Roman"/>
                <w:sz w:val="24"/>
              </w:rPr>
              <w:t>F</w:t>
            </w:r>
            <w:r>
              <w:rPr>
                <w:rStyle w:val="InstructionsTabelleberschrift"/>
                <w:rFonts w:ascii="Times New Roman" w:hAnsi="Times New Roman"/>
                <w:sz w:val="24"/>
              </w:rPr>
              <w:t>FECTÉE PAR ÉCHELON OU CATÉGORIE DE DÉBITEURS (%)</w:t>
            </w:r>
          </w:p>
          <w:p w:rsidR="004357B9" w:rsidRPr="00392FFD" w:rsidRDefault="004357B9" w:rsidP="004357B9">
            <w:pPr>
              <w:rPr>
                <w:rFonts w:ascii="Times New Roman" w:hAnsi="Times New Roman"/>
                <w:b/>
                <w:sz w:val="24"/>
                <w:u w:val="single"/>
              </w:rPr>
            </w:pPr>
            <w:r>
              <w:rPr>
                <w:rStyle w:val="InstructionsTabelleText"/>
                <w:rFonts w:ascii="Times New Roman" w:hAnsi="Times New Roman"/>
                <w:sz w:val="24"/>
              </w:rPr>
              <w:t>Même définition que pour la colonne 010 du modèle CR IRB.</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090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LGD MOYENNE, PONDÉRÉE (%)</w:t>
            </w:r>
          </w:p>
          <w:p w:rsidR="004357B9" w:rsidRPr="00392FFD" w:rsidRDefault="004357B9" w:rsidP="004357B9">
            <w:pPr>
              <w:rPr>
                <w:rStyle w:val="InstructionsTabelleText"/>
                <w:rFonts w:ascii="Times New Roman" w:hAnsi="Times New Roman"/>
                <w:sz w:val="24"/>
              </w:rPr>
            </w:pPr>
            <w:r>
              <w:rPr>
                <w:rStyle w:val="InstructionsTabelleText"/>
                <w:rFonts w:ascii="Times New Roman" w:hAnsi="Times New Roman"/>
                <w:sz w:val="24"/>
              </w:rPr>
              <w:t>Même définition que pour la colonne 230 du modèle CR IRB. Les dispositions de l'a</w:t>
            </w:r>
            <w:r>
              <w:rPr>
                <w:rStyle w:val="InstructionsTabelleText"/>
                <w:rFonts w:ascii="Times New Roman" w:hAnsi="Times New Roman"/>
                <w:sz w:val="24"/>
              </w:rPr>
              <w:t>r</w:t>
            </w:r>
            <w:r>
              <w:rPr>
                <w:rStyle w:val="InstructionsTabelleText"/>
                <w:rFonts w:ascii="Times New Roman" w:hAnsi="Times New Roman"/>
                <w:sz w:val="24"/>
              </w:rPr>
              <w:t>ticle 181, paragraphe 1, point h), du CRR s'appliquent.</w:t>
            </w:r>
          </w:p>
          <w:p w:rsidR="0042766A" w:rsidRPr="00392FFD" w:rsidRDefault="0042766A" w:rsidP="0042766A">
            <w:pPr>
              <w:rPr>
                <w:rFonts w:ascii="Times New Roman" w:hAnsi="Times New Roman"/>
                <w:b/>
                <w:sz w:val="24"/>
                <w:u w:val="single"/>
              </w:rPr>
            </w:pPr>
            <w:r>
              <w:rPr>
                <w:rFonts w:ascii="Times New Roman" w:hAnsi="Times New Roman"/>
                <w:sz w:val="24"/>
              </w:rPr>
              <w:t>Les données ne seront pas déclarées pour les expositions de financement spécialisé v</w:t>
            </w:r>
            <w:r>
              <w:rPr>
                <w:rFonts w:ascii="Times New Roman" w:hAnsi="Times New Roman"/>
                <w:sz w:val="24"/>
              </w:rPr>
              <w:t>i</w:t>
            </w:r>
            <w:r>
              <w:rPr>
                <w:rFonts w:ascii="Times New Roman" w:hAnsi="Times New Roman"/>
                <w:sz w:val="24"/>
              </w:rPr>
              <w:t>sées à l’article 153, paragraphe 5.</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100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Dont: en défaut</w:t>
            </w:r>
          </w:p>
          <w:p w:rsidR="004357B9" w:rsidRPr="00392FFD" w:rsidRDefault="004357B9" w:rsidP="004357B9">
            <w:pPr>
              <w:rPr>
                <w:rFonts w:ascii="Times New Roman" w:hAnsi="Times New Roman"/>
                <w:b/>
                <w:sz w:val="24"/>
                <w:u w:val="single"/>
              </w:rPr>
            </w:pPr>
            <w:r>
              <w:rPr>
                <w:rStyle w:val="InstructionsTabelleText"/>
                <w:rFonts w:ascii="Times New Roman" w:hAnsi="Times New Roman"/>
                <w:sz w:val="24"/>
              </w:rPr>
              <w:t>Valeur moyenne, pondérée en fonction de l’exposition, des pertes en cas de défaut pour les expositions qui ont été classées comme «expositions en défaut» conformément à l’article 178 du CRR.</w:t>
            </w:r>
          </w:p>
        </w:tc>
      </w:tr>
      <w:tr w:rsidR="004357B9" w:rsidRPr="00392FFD" w:rsidTr="004357B9">
        <w:tc>
          <w:tcPr>
            <w:tcW w:w="1188" w:type="dxa"/>
          </w:tcPr>
          <w:p w:rsidR="004357B9" w:rsidRPr="00392FFD" w:rsidRDefault="00F45359" w:rsidP="004357B9">
            <w:pPr>
              <w:rPr>
                <w:rFonts w:ascii="Times New Roman" w:hAnsi="Times New Roman"/>
                <w:sz w:val="24"/>
              </w:rPr>
            </w:pPr>
            <w:r>
              <w:rPr>
                <w:rFonts w:ascii="Times New Roman" w:hAnsi="Times New Roman"/>
                <w:sz w:val="24"/>
              </w:rPr>
              <w:t>105</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Valeur exposée au risque</w:t>
            </w:r>
          </w:p>
          <w:p w:rsidR="004357B9" w:rsidRPr="00392FFD" w:rsidRDefault="004357B9" w:rsidP="004357B9">
            <w:pPr>
              <w:rPr>
                <w:rFonts w:ascii="Times New Roman" w:hAnsi="Times New Roman"/>
                <w:b/>
                <w:sz w:val="24"/>
                <w:u w:val="single"/>
              </w:rPr>
            </w:pPr>
            <w:r>
              <w:rPr>
                <w:rStyle w:val="InstructionsTabelleText"/>
                <w:rFonts w:ascii="Times New Roman" w:hAnsi="Times New Roman"/>
                <w:sz w:val="24"/>
              </w:rPr>
              <w:t>Même définition que pour la colonne 110 du modèle CR IRB.</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110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MONTANT D'EXPOSITION PONDÉRÉ AVANT APPLICATION DU FA</w:t>
            </w:r>
            <w:r>
              <w:rPr>
                <w:rFonts w:ascii="Times New Roman" w:hAnsi="Times New Roman"/>
                <w:b/>
                <w:sz w:val="24"/>
                <w:u w:val="single"/>
              </w:rPr>
              <w:t>C</w:t>
            </w:r>
            <w:r>
              <w:rPr>
                <w:rFonts w:ascii="Times New Roman" w:hAnsi="Times New Roman"/>
                <w:b/>
                <w:sz w:val="24"/>
                <w:u w:val="single"/>
              </w:rPr>
              <w:t>TEUR SUPPLÉTIF EN FAVEUR DES PME</w:t>
            </w:r>
          </w:p>
          <w:p w:rsidR="004357B9" w:rsidRPr="00392FFD" w:rsidRDefault="004357B9" w:rsidP="004357B9">
            <w:pPr>
              <w:rPr>
                <w:rFonts w:ascii="Times New Roman" w:hAnsi="Times New Roman"/>
                <w:b/>
                <w:sz w:val="24"/>
                <w:u w:val="single"/>
              </w:rPr>
            </w:pPr>
            <w:r>
              <w:rPr>
                <w:rStyle w:val="InstructionsTabelleText"/>
                <w:rFonts w:ascii="Times New Roman" w:hAnsi="Times New Roman"/>
                <w:sz w:val="24"/>
              </w:rPr>
              <w:t>Même définition que pour la colonne 255 du modèle CR IRB.</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120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Dont en défaut</w:t>
            </w:r>
          </w:p>
          <w:p w:rsidR="004357B9" w:rsidRPr="00392FFD" w:rsidRDefault="004357B9" w:rsidP="004357B9">
            <w:pPr>
              <w:rPr>
                <w:rFonts w:ascii="Times New Roman" w:hAnsi="Times New Roman"/>
                <w:b/>
                <w:sz w:val="24"/>
                <w:u w:val="single"/>
              </w:rPr>
            </w:pPr>
            <w:r>
              <w:rPr>
                <w:rStyle w:val="InstructionsTabelleText"/>
                <w:rFonts w:ascii="Times New Roman" w:hAnsi="Times New Roman"/>
                <w:sz w:val="24"/>
              </w:rPr>
              <w:t>Montant d’exposition pondéré pour les expositions qui ont été classées comme «exp</w:t>
            </w:r>
            <w:r>
              <w:rPr>
                <w:rStyle w:val="InstructionsTabelleText"/>
                <w:rFonts w:ascii="Times New Roman" w:hAnsi="Times New Roman"/>
                <w:sz w:val="24"/>
              </w:rPr>
              <w:t>o</w:t>
            </w:r>
            <w:r>
              <w:rPr>
                <w:rStyle w:val="InstructionsTabelleText"/>
                <w:rFonts w:ascii="Times New Roman" w:hAnsi="Times New Roman"/>
                <w:sz w:val="24"/>
              </w:rPr>
              <w:t>sitions en défaut» conformément à l’article 178 du CRR.</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lastRenderedPageBreak/>
              <w:t>125</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MONTANT D'EXPOSITION PONDÉRÉ APRÈS APPLICATION DU FA</w:t>
            </w:r>
            <w:r>
              <w:rPr>
                <w:rFonts w:ascii="Times New Roman" w:hAnsi="Times New Roman"/>
                <w:b/>
                <w:sz w:val="24"/>
                <w:u w:val="single"/>
              </w:rPr>
              <w:t>C</w:t>
            </w:r>
            <w:r>
              <w:rPr>
                <w:rFonts w:ascii="Times New Roman" w:hAnsi="Times New Roman"/>
                <w:b/>
                <w:sz w:val="24"/>
                <w:u w:val="single"/>
              </w:rPr>
              <w:t>TEUR SUPPLÉTIF EN FAVEUR DES PME</w:t>
            </w:r>
          </w:p>
          <w:p w:rsidR="004357B9" w:rsidRPr="00392FFD" w:rsidRDefault="004357B9" w:rsidP="004357B9">
            <w:pPr>
              <w:rPr>
                <w:rFonts w:ascii="Times New Roman" w:hAnsi="Times New Roman"/>
                <w:b/>
                <w:sz w:val="24"/>
                <w:u w:val="single"/>
              </w:rPr>
            </w:pPr>
            <w:r>
              <w:rPr>
                <w:rStyle w:val="InstructionsTabelleText"/>
                <w:rFonts w:ascii="Times New Roman" w:hAnsi="Times New Roman"/>
                <w:sz w:val="24"/>
              </w:rPr>
              <w:t>Même définition que pour la colonne 260 du modèle CR IRB.</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130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MONTANT DES PERTES ANTICIPÉES</w:t>
            </w:r>
          </w:p>
          <w:p w:rsidR="004357B9" w:rsidRPr="00392FFD" w:rsidRDefault="004357B9" w:rsidP="004357B9">
            <w:pPr>
              <w:rPr>
                <w:rFonts w:ascii="Times New Roman" w:hAnsi="Times New Roman"/>
                <w:b/>
                <w:sz w:val="24"/>
                <w:u w:val="single"/>
              </w:rPr>
            </w:pPr>
            <w:r>
              <w:rPr>
                <w:rStyle w:val="InstructionsTabelleText"/>
                <w:rFonts w:ascii="Times New Roman" w:hAnsi="Times New Roman"/>
                <w:sz w:val="24"/>
              </w:rPr>
              <w:t>Même définition que pour la colonne 280 du modèle CR IRB.</w:t>
            </w:r>
            <w:r>
              <w:rPr>
                <w:rFonts w:ascii="Times New Roman" w:hAnsi="Times New Roman"/>
                <w:b/>
                <w:sz w:val="24"/>
                <w:u w:val="single"/>
              </w:rPr>
              <w:t xml:space="preserve"> </w:t>
            </w:r>
          </w:p>
        </w:tc>
      </w:tr>
    </w:tbl>
    <w:p w:rsidR="004357B9" w:rsidRPr="00392FFD" w:rsidRDefault="004357B9" w:rsidP="004357B9">
      <w:pPr>
        <w:rPr>
          <w:rFonts w:ascii="Times New Roman" w:hAnsi="Times New Roman"/>
          <w:sz w:val="24"/>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8640"/>
      </w:tblGrid>
      <w:tr w:rsidR="004357B9" w:rsidRPr="00392FFD" w:rsidTr="004357B9">
        <w:tc>
          <w:tcPr>
            <w:tcW w:w="1188" w:type="dxa"/>
            <w:shd w:val="clear" w:color="auto" w:fill="CCCCCC"/>
          </w:tcPr>
          <w:p w:rsidR="004357B9" w:rsidRPr="00392FFD" w:rsidRDefault="004357B9" w:rsidP="004357B9">
            <w:pPr>
              <w:rPr>
                <w:rFonts w:ascii="Times New Roman" w:hAnsi="Times New Roman"/>
                <w:b/>
                <w:sz w:val="24"/>
              </w:rPr>
            </w:pPr>
            <w:r>
              <w:rPr>
                <w:rFonts w:ascii="Times New Roman" w:hAnsi="Times New Roman"/>
                <w:b/>
                <w:sz w:val="24"/>
              </w:rPr>
              <w:t>Lignes</w:t>
            </w:r>
          </w:p>
        </w:tc>
        <w:tc>
          <w:tcPr>
            <w:tcW w:w="8640" w:type="dxa"/>
            <w:shd w:val="clear" w:color="auto" w:fill="CCCCCC"/>
          </w:tcPr>
          <w:p w:rsidR="004357B9" w:rsidRPr="00392FFD" w:rsidRDefault="004357B9" w:rsidP="004357B9">
            <w:pPr>
              <w:ind w:left="72"/>
              <w:rPr>
                <w:rFonts w:ascii="Times New Roman" w:hAnsi="Times New Roman"/>
                <w:sz w:val="24"/>
              </w:rPr>
            </w:pP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010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 xml:space="preserve">Banques centrales et administrations centrales </w:t>
            </w:r>
          </w:p>
          <w:p w:rsidR="004357B9" w:rsidRPr="00392FFD" w:rsidRDefault="004357B9" w:rsidP="004357B9">
            <w:pPr>
              <w:rPr>
                <w:rFonts w:ascii="Times New Roman" w:hAnsi="Times New Roman"/>
                <w:sz w:val="24"/>
              </w:rPr>
            </w:pPr>
            <w:r>
              <w:rPr>
                <w:rFonts w:ascii="Times New Roman" w:hAnsi="Times New Roman"/>
                <w:sz w:val="24"/>
              </w:rPr>
              <w:t>(Article 147, paragraphe 2, point a), du CRR)</w:t>
            </w:r>
          </w:p>
        </w:tc>
      </w:tr>
      <w:tr w:rsidR="004357B9" w:rsidRPr="0023700C"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020</w:t>
            </w:r>
          </w:p>
        </w:tc>
        <w:tc>
          <w:tcPr>
            <w:tcW w:w="8640" w:type="dxa"/>
          </w:tcPr>
          <w:p w:rsidR="004357B9" w:rsidRPr="0023700C" w:rsidRDefault="004357B9" w:rsidP="004357B9">
            <w:pPr>
              <w:rPr>
                <w:rFonts w:ascii="Times New Roman" w:hAnsi="Times New Roman"/>
                <w:b/>
                <w:sz w:val="24"/>
                <w:u w:val="single"/>
              </w:rPr>
            </w:pPr>
            <w:r>
              <w:rPr>
                <w:rFonts w:ascii="Times New Roman" w:hAnsi="Times New Roman"/>
                <w:b/>
                <w:sz w:val="24"/>
                <w:u w:val="single"/>
              </w:rPr>
              <w:t>Établissements</w:t>
            </w:r>
          </w:p>
          <w:p w:rsidR="004357B9" w:rsidRPr="0023700C" w:rsidRDefault="004357B9" w:rsidP="004357B9">
            <w:pPr>
              <w:rPr>
                <w:rFonts w:ascii="Times New Roman" w:hAnsi="Times New Roman"/>
                <w:sz w:val="24"/>
              </w:rPr>
            </w:pPr>
            <w:r>
              <w:rPr>
                <w:rFonts w:ascii="Times New Roman" w:hAnsi="Times New Roman"/>
                <w:sz w:val="24"/>
              </w:rPr>
              <w:t>(Article 147, paragraphe 2, point b), du CRR)</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030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 xml:space="preserve">Entreprises: </w:t>
            </w:r>
          </w:p>
          <w:p w:rsidR="004357B9" w:rsidRPr="00392FFD" w:rsidRDefault="004357B9" w:rsidP="004357B9">
            <w:pPr>
              <w:pStyle w:val="ListParagraph"/>
              <w:ind w:left="0"/>
              <w:rPr>
                <w:rFonts w:ascii="Times New Roman" w:hAnsi="Times New Roman"/>
                <w:sz w:val="24"/>
              </w:rPr>
            </w:pPr>
            <w:r>
              <w:rPr>
                <w:rFonts w:ascii="Times New Roman" w:hAnsi="Times New Roman"/>
                <w:sz w:val="24"/>
              </w:rPr>
              <w:t>(Toutes les entreprises conformément à l'article 147, paragraphe 2, point c).)</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042</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Dont: Financement spécialisé (sauf FS soumis à des critères de référencement)</w:t>
            </w:r>
          </w:p>
          <w:p w:rsidR="004357B9" w:rsidRPr="00392FFD" w:rsidRDefault="004357B9" w:rsidP="004357B9">
            <w:pPr>
              <w:pStyle w:val="ListParagraph"/>
              <w:ind w:left="0"/>
              <w:rPr>
                <w:rFonts w:ascii="Times New Roman" w:hAnsi="Times New Roman"/>
                <w:sz w:val="24"/>
              </w:rPr>
            </w:pPr>
            <w:r>
              <w:rPr>
                <w:rFonts w:ascii="Times New Roman" w:hAnsi="Times New Roman"/>
                <w:sz w:val="24"/>
              </w:rPr>
              <w:t>(Article 147, paragraphe 8, point a), du CRR)</w:t>
            </w:r>
          </w:p>
          <w:p w:rsidR="0042766A" w:rsidRPr="00392FFD" w:rsidRDefault="0042766A" w:rsidP="004357B9">
            <w:pPr>
              <w:pStyle w:val="ListParagraph"/>
              <w:ind w:left="0"/>
              <w:rPr>
                <w:rFonts w:ascii="Times New Roman" w:hAnsi="Times New Roman"/>
                <w:sz w:val="24"/>
              </w:rPr>
            </w:pPr>
            <w:r>
              <w:rPr>
                <w:rFonts w:ascii="Times New Roman" w:hAnsi="Times New Roman"/>
                <w:sz w:val="24"/>
              </w:rPr>
              <w:t>Les données ne seront pas déclarées pour les expositions de financement spécialisé v</w:t>
            </w:r>
            <w:r>
              <w:rPr>
                <w:rFonts w:ascii="Times New Roman" w:hAnsi="Times New Roman"/>
                <w:sz w:val="24"/>
              </w:rPr>
              <w:t>i</w:t>
            </w:r>
            <w:r>
              <w:rPr>
                <w:rFonts w:ascii="Times New Roman" w:hAnsi="Times New Roman"/>
                <w:sz w:val="24"/>
              </w:rPr>
              <w:t>sées à l’article 153, paragraphe 5.</w:t>
            </w:r>
          </w:p>
        </w:tc>
      </w:tr>
      <w:tr w:rsidR="000E093A" w:rsidRPr="00392FFD" w:rsidTr="004357B9">
        <w:tc>
          <w:tcPr>
            <w:tcW w:w="1188" w:type="dxa"/>
          </w:tcPr>
          <w:p w:rsidR="000E093A" w:rsidRPr="00392FFD" w:rsidRDefault="000E093A" w:rsidP="004357B9">
            <w:pPr>
              <w:rPr>
                <w:rFonts w:ascii="Times New Roman" w:hAnsi="Times New Roman"/>
                <w:sz w:val="24"/>
              </w:rPr>
            </w:pPr>
            <w:r>
              <w:rPr>
                <w:rFonts w:ascii="Times New Roman" w:hAnsi="Times New Roman"/>
                <w:sz w:val="24"/>
              </w:rPr>
              <w:t>045</w:t>
            </w:r>
          </w:p>
        </w:tc>
        <w:tc>
          <w:tcPr>
            <w:tcW w:w="8640" w:type="dxa"/>
          </w:tcPr>
          <w:p w:rsidR="000E093A" w:rsidRPr="00392FFD" w:rsidRDefault="000E093A" w:rsidP="004357B9">
            <w:pPr>
              <w:rPr>
                <w:rFonts w:ascii="Times New Roman" w:hAnsi="Times New Roman"/>
                <w:b/>
                <w:sz w:val="24"/>
                <w:u w:val="single"/>
              </w:rPr>
            </w:pPr>
            <w:r>
              <w:rPr>
                <w:rFonts w:ascii="Times New Roman" w:hAnsi="Times New Roman"/>
                <w:b/>
                <w:sz w:val="24"/>
                <w:u w:val="single"/>
              </w:rPr>
              <w:t>Dont: Financement spécialisé soumis à des critères de référencement</w:t>
            </w:r>
          </w:p>
          <w:p w:rsidR="000E093A" w:rsidRPr="00392FFD" w:rsidRDefault="000E093A" w:rsidP="00FD54FC">
            <w:pPr>
              <w:rPr>
                <w:rFonts w:ascii="Times New Roman" w:hAnsi="Times New Roman"/>
                <w:b/>
                <w:sz w:val="24"/>
                <w:u w:val="single"/>
              </w:rPr>
            </w:pPr>
            <w:r>
              <w:rPr>
                <w:rFonts w:ascii="Times New Roman" w:hAnsi="Times New Roman"/>
                <w:sz w:val="24"/>
              </w:rPr>
              <w:t>Article 147, paragraphe 8, point a), et article 153, paragraphe 5, du CRR</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050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Dont: PME</w:t>
            </w:r>
          </w:p>
          <w:p w:rsidR="004357B9" w:rsidRPr="00392FFD" w:rsidRDefault="004357B9" w:rsidP="004357B9">
            <w:pPr>
              <w:pStyle w:val="ListParagraph"/>
              <w:ind w:left="0"/>
              <w:rPr>
                <w:rFonts w:ascii="Times New Roman" w:hAnsi="Times New Roman"/>
                <w:sz w:val="24"/>
              </w:rPr>
            </w:pPr>
            <w:r>
              <w:rPr>
                <w:rFonts w:ascii="Times New Roman" w:hAnsi="Times New Roman"/>
                <w:sz w:val="24"/>
              </w:rPr>
              <w:t>(Article 147, paragraphe 2, point c), du CRR)</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060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Clientèle de détail</w:t>
            </w:r>
          </w:p>
          <w:p w:rsidR="004357B9" w:rsidRPr="00392FFD" w:rsidRDefault="004357B9" w:rsidP="004357B9">
            <w:pPr>
              <w:rPr>
                <w:rFonts w:ascii="Times New Roman" w:hAnsi="Times New Roman"/>
                <w:sz w:val="24"/>
              </w:rPr>
            </w:pPr>
            <w:r>
              <w:rPr>
                <w:rFonts w:ascii="Times New Roman" w:hAnsi="Times New Roman"/>
                <w:sz w:val="24"/>
              </w:rPr>
              <w:t>Toutes les expositions sur la clientèle de détail, conformément à l’article 147, par</w:t>
            </w:r>
            <w:r>
              <w:rPr>
                <w:rFonts w:ascii="Times New Roman" w:hAnsi="Times New Roman"/>
                <w:sz w:val="24"/>
              </w:rPr>
              <w:t>a</w:t>
            </w:r>
            <w:r>
              <w:rPr>
                <w:rFonts w:ascii="Times New Roman" w:hAnsi="Times New Roman"/>
                <w:sz w:val="24"/>
              </w:rPr>
              <w:t>graphe 2, point d).</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070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Clientèle de détail – Expositions garanties par des biens immobiliers</w:t>
            </w:r>
          </w:p>
          <w:p w:rsidR="004357B9" w:rsidRPr="00392FFD" w:rsidRDefault="004357B9" w:rsidP="004357B9">
            <w:pPr>
              <w:pStyle w:val="ListParagraph"/>
              <w:ind w:left="0"/>
              <w:rPr>
                <w:rFonts w:ascii="Times New Roman" w:hAnsi="Times New Roman"/>
                <w:sz w:val="24"/>
              </w:rPr>
            </w:pPr>
            <w:r>
              <w:rPr>
                <w:rFonts w:ascii="Times New Roman" w:hAnsi="Times New Roman"/>
                <w:sz w:val="24"/>
              </w:rPr>
              <w:t>Expositions reflétant l'article 147, paragraphe 2, point d), du CRR, qui sont garanties par des biens immobiliers.</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080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PME</w:t>
            </w:r>
          </w:p>
          <w:p w:rsidR="004357B9" w:rsidRPr="00392FFD" w:rsidRDefault="004357B9" w:rsidP="004357B9">
            <w:pPr>
              <w:pStyle w:val="ListParagraph"/>
              <w:ind w:left="0"/>
              <w:rPr>
                <w:rFonts w:ascii="Times New Roman" w:hAnsi="Times New Roman"/>
                <w:sz w:val="24"/>
              </w:rPr>
            </w:pPr>
            <w:r>
              <w:rPr>
                <w:rFonts w:ascii="Times New Roman" w:hAnsi="Times New Roman"/>
                <w:sz w:val="24"/>
              </w:rPr>
              <w:t>Expositions sur la clientèle de détail reflétant l’article 147, paragraphe 2, point d), en conjonction avec l’article 153, paragraphe 3, du CRR, qui sont garanties par des biens immobiliers.</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090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Non PME</w:t>
            </w:r>
          </w:p>
          <w:p w:rsidR="004357B9" w:rsidRPr="00392FFD" w:rsidRDefault="004357B9" w:rsidP="004357B9">
            <w:pPr>
              <w:pStyle w:val="ListParagraph"/>
              <w:ind w:left="0"/>
              <w:rPr>
                <w:rFonts w:ascii="Times New Roman" w:hAnsi="Times New Roman"/>
                <w:sz w:val="24"/>
              </w:rPr>
            </w:pPr>
            <w:r>
              <w:rPr>
                <w:rFonts w:ascii="Times New Roman" w:hAnsi="Times New Roman"/>
                <w:sz w:val="24"/>
              </w:rPr>
              <w:lastRenderedPageBreak/>
              <w:t>Expositions sur la clientèle de détail reflétant l'article 147, paragraphe 2, point d), du CRR, qui sont garanties par des biens immobiliers.</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lastRenderedPageBreak/>
              <w:t>100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Clientèle de détail - Expositions renouvelables éligibles</w:t>
            </w:r>
          </w:p>
          <w:p w:rsidR="004357B9" w:rsidRPr="00392FFD" w:rsidRDefault="004357B9" w:rsidP="004357B9">
            <w:pPr>
              <w:pStyle w:val="ListParagraph"/>
              <w:ind w:left="0"/>
              <w:rPr>
                <w:rFonts w:ascii="Times New Roman" w:hAnsi="Times New Roman"/>
                <w:sz w:val="24"/>
              </w:rPr>
            </w:pPr>
            <w:r>
              <w:rPr>
                <w:rFonts w:ascii="Times New Roman" w:hAnsi="Times New Roman"/>
                <w:sz w:val="24"/>
              </w:rPr>
              <w:t xml:space="preserve">(Article 147, paragraphe 2, point d), en conjonction avec l’article 154, paragraphe 4, du CRR) </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110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Autre clientèle de détail</w:t>
            </w:r>
          </w:p>
          <w:p w:rsidR="004357B9" w:rsidRPr="00392FFD" w:rsidRDefault="004357B9" w:rsidP="004357B9">
            <w:pPr>
              <w:pStyle w:val="ListParagraph"/>
              <w:ind w:left="0"/>
              <w:rPr>
                <w:rFonts w:ascii="Times New Roman" w:hAnsi="Times New Roman"/>
                <w:sz w:val="24"/>
              </w:rPr>
            </w:pPr>
            <w:r>
              <w:rPr>
                <w:rFonts w:ascii="Times New Roman" w:hAnsi="Times New Roman"/>
                <w:sz w:val="24"/>
              </w:rPr>
              <w:t>Autres expositions sur la clientèle de détail reflétant les dispositions de l'article 147, paragraphe 2, point d), non déclarées dans les lignes 070 - 100.</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120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PME</w:t>
            </w:r>
          </w:p>
          <w:p w:rsidR="004357B9" w:rsidRPr="00392FFD" w:rsidRDefault="004357B9" w:rsidP="004357B9">
            <w:pPr>
              <w:pStyle w:val="ListParagraph"/>
              <w:ind w:left="0"/>
              <w:rPr>
                <w:rFonts w:ascii="Times New Roman" w:hAnsi="Times New Roman"/>
                <w:sz w:val="24"/>
              </w:rPr>
            </w:pPr>
            <w:r>
              <w:rPr>
                <w:rFonts w:ascii="Times New Roman" w:hAnsi="Times New Roman"/>
                <w:sz w:val="24"/>
              </w:rPr>
              <w:t>Autres expositions sur la clientèle de détail reflétant les dispositions de l’article 147, paragraphe 2, point d), en conjonction avec l’article 153, paragraphe 3, du CRR.</w:t>
            </w:r>
          </w:p>
        </w:tc>
      </w:tr>
      <w:tr w:rsidR="004357B9" w:rsidRPr="00392FFD" w:rsidTr="004357B9">
        <w:tc>
          <w:tcPr>
            <w:tcW w:w="1188" w:type="dxa"/>
          </w:tcPr>
          <w:p w:rsidR="004357B9" w:rsidRPr="00392FFD" w:rsidRDefault="004357B9" w:rsidP="004357B9">
            <w:pPr>
              <w:rPr>
                <w:rFonts w:ascii="Times New Roman" w:hAnsi="Times New Roman"/>
                <w:sz w:val="24"/>
              </w:rPr>
            </w:pPr>
            <w:r>
              <w:rPr>
                <w:rFonts w:ascii="Times New Roman" w:hAnsi="Times New Roman"/>
                <w:sz w:val="24"/>
              </w:rPr>
              <w:t>130</w:t>
            </w:r>
          </w:p>
        </w:tc>
        <w:tc>
          <w:tcPr>
            <w:tcW w:w="8640" w:type="dxa"/>
          </w:tcPr>
          <w:p w:rsidR="004357B9" w:rsidRPr="00392FFD" w:rsidRDefault="004357B9" w:rsidP="004357B9">
            <w:pPr>
              <w:rPr>
                <w:rFonts w:ascii="Times New Roman" w:hAnsi="Times New Roman"/>
                <w:b/>
                <w:sz w:val="24"/>
                <w:u w:val="single"/>
              </w:rPr>
            </w:pPr>
            <w:r>
              <w:rPr>
                <w:rFonts w:ascii="Times New Roman" w:hAnsi="Times New Roman"/>
                <w:b/>
                <w:sz w:val="24"/>
                <w:u w:val="single"/>
              </w:rPr>
              <w:t>Non PME</w:t>
            </w:r>
          </w:p>
          <w:p w:rsidR="004357B9" w:rsidRPr="00392FFD" w:rsidRDefault="004357B9" w:rsidP="004357B9">
            <w:pPr>
              <w:rPr>
                <w:rFonts w:ascii="Times New Roman" w:hAnsi="Times New Roman"/>
                <w:sz w:val="24"/>
              </w:rPr>
            </w:pPr>
            <w:r>
              <w:rPr>
                <w:rFonts w:ascii="Times New Roman" w:hAnsi="Times New Roman"/>
                <w:sz w:val="24"/>
              </w:rPr>
              <w:t>Autres expositions sur la clientèle de détail reflétant les dispositions de l'article 147, paragraphe 2, point d), du CRR.</w:t>
            </w:r>
          </w:p>
        </w:tc>
      </w:tr>
      <w:bookmarkEnd w:id="332"/>
      <w:tr w:rsidR="004357B9" w:rsidRPr="00392FFD" w:rsidTr="004357B9">
        <w:tc>
          <w:tcPr>
            <w:tcW w:w="1188" w:type="dxa"/>
            <w:tcBorders>
              <w:top w:val="single" w:sz="4" w:space="0" w:color="auto"/>
              <w:left w:val="single" w:sz="4" w:space="0" w:color="auto"/>
              <w:bottom w:val="single" w:sz="4" w:space="0" w:color="auto"/>
              <w:right w:val="single" w:sz="4" w:space="0" w:color="auto"/>
            </w:tcBorders>
          </w:tcPr>
          <w:p w:rsidR="004357B9" w:rsidRPr="00392FFD" w:rsidRDefault="004357B9" w:rsidP="004357B9">
            <w:pPr>
              <w:rPr>
                <w:rFonts w:ascii="Times New Roman" w:hAnsi="Times New Roman"/>
                <w:sz w:val="24"/>
              </w:rPr>
            </w:pPr>
            <w:r>
              <w:rPr>
                <w:rFonts w:ascii="Times New Roman" w:hAnsi="Times New Roman"/>
                <w:sz w:val="24"/>
              </w:rPr>
              <w:t>140</w:t>
            </w:r>
          </w:p>
        </w:tc>
        <w:tc>
          <w:tcPr>
            <w:tcW w:w="8640" w:type="dxa"/>
            <w:tcBorders>
              <w:top w:val="single" w:sz="4" w:space="0" w:color="auto"/>
              <w:left w:val="single" w:sz="4" w:space="0" w:color="auto"/>
              <w:bottom w:val="single" w:sz="4" w:space="0" w:color="auto"/>
              <w:right w:val="single" w:sz="4" w:space="0" w:color="auto"/>
            </w:tcBorders>
          </w:tcPr>
          <w:p w:rsidR="004357B9" w:rsidRPr="00392FFD" w:rsidRDefault="004357B9" w:rsidP="004357B9">
            <w:pPr>
              <w:rPr>
                <w:rFonts w:ascii="Times New Roman" w:hAnsi="Times New Roman"/>
                <w:b/>
                <w:sz w:val="24"/>
                <w:u w:val="single"/>
              </w:rPr>
            </w:pPr>
            <w:r>
              <w:rPr>
                <w:rFonts w:ascii="Times New Roman" w:hAnsi="Times New Roman"/>
                <w:b/>
                <w:sz w:val="24"/>
                <w:u w:val="single"/>
              </w:rPr>
              <w:t>Actions</w:t>
            </w:r>
          </w:p>
          <w:p w:rsidR="004357B9" w:rsidRPr="00392FFD" w:rsidRDefault="004357B9" w:rsidP="004357B9">
            <w:pPr>
              <w:rPr>
                <w:rFonts w:ascii="Times New Roman" w:hAnsi="Times New Roman"/>
                <w:b/>
                <w:sz w:val="24"/>
                <w:u w:val="single"/>
              </w:rPr>
            </w:pPr>
            <w:r>
              <w:rPr>
                <w:rFonts w:ascii="Times New Roman" w:hAnsi="Times New Roman"/>
                <w:sz w:val="24"/>
              </w:rPr>
              <w:t>Expositions sous forme d’actions reflétant les dispositions de l’article 147, paragraphe 2, point e), du CRR.</w:t>
            </w:r>
          </w:p>
        </w:tc>
      </w:tr>
      <w:tr w:rsidR="007A49AC" w:rsidRPr="00392FFD" w:rsidTr="004357B9">
        <w:tc>
          <w:tcPr>
            <w:tcW w:w="1188" w:type="dxa"/>
            <w:tcBorders>
              <w:top w:val="single" w:sz="4" w:space="0" w:color="auto"/>
              <w:left w:val="single" w:sz="4" w:space="0" w:color="auto"/>
              <w:bottom w:val="single" w:sz="4" w:space="0" w:color="auto"/>
              <w:right w:val="single" w:sz="4" w:space="0" w:color="auto"/>
            </w:tcBorders>
          </w:tcPr>
          <w:p w:rsidR="007A49AC" w:rsidRPr="00392FFD" w:rsidRDefault="007A49AC" w:rsidP="004357B9">
            <w:pPr>
              <w:rPr>
                <w:rFonts w:ascii="Times New Roman" w:hAnsi="Times New Roman"/>
                <w:sz w:val="24"/>
              </w:rPr>
            </w:pPr>
            <w:r>
              <w:rPr>
                <w:rFonts w:ascii="Times New Roman" w:hAnsi="Times New Roman"/>
                <w:sz w:val="24"/>
              </w:rPr>
              <w:t>150</w:t>
            </w:r>
          </w:p>
        </w:tc>
        <w:tc>
          <w:tcPr>
            <w:tcW w:w="8640" w:type="dxa"/>
            <w:tcBorders>
              <w:top w:val="single" w:sz="4" w:space="0" w:color="auto"/>
              <w:left w:val="single" w:sz="4" w:space="0" w:color="auto"/>
              <w:bottom w:val="single" w:sz="4" w:space="0" w:color="auto"/>
              <w:right w:val="single" w:sz="4" w:space="0" w:color="auto"/>
            </w:tcBorders>
          </w:tcPr>
          <w:p w:rsidR="007A49AC" w:rsidRPr="00392FFD" w:rsidRDefault="007A49AC" w:rsidP="007A49AC">
            <w:pPr>
              <w:rPr>
                <w:rFonts w:ascii="Times New Roman" w:hAnsi="Times New Roman"/>
                <w:b/>
                <w:sz w:val="24"/>
                <w:u w:val="single"/>
              </w:rPr>
            </w:pPr>
            <w:r>
              <w:rPr>
                <w:rFonts w:ascii="Times New Roman" w:hAnsi="Times New Roman"/>
                <w:b/>
                <w:sz w:val="24"/>
                <w:u w:val="single"/>
              </w:rPr>
              <w:t>Total des expositions</w:t>
            </w:r>
          </w:p>
          <w:p w:rsidR="007A49AC" w:rsidRPr="00392FFD" w:rsidRDefault="007A49AC" w:rsidP="004357B9">
            <w:pPr>
              <w:rPr>
                <w:rFonts w:ascii="Times New Roman" w:hAnsi="Times New Roman"/>
                <w:b/>
                <w:sz w:val="24"/>
                <w:u w:val="single"/>
              </w:rPr>
            </w:pPr>
          </w:p>
        </w:tc>
      </w:tr>
    </w:tbl>
    <w:p w:rsidR="004357B9" w:rsidRPr="00392FFD" w:rsidRDefault="004357B9" w:rsidP="004357B9">
      <w:pPr>
        <w:spacing w:before="0" w:after="200" w:line="312" w:lineRule="auto"/>
        <w:jc w:val="left"/>
        <w:rPr>
          <w:rFonts w:ascii="Times New Roman" w:hAnsi="Times New Roman"/>
          <w:sz w:val="24"/>
        </w:rPr>
      </w:pPr>
    </w:p>
    <w:p w:rsidR="004357B9" w:rsidRPr="00392FFD" w:rsidRDefault="00125707" w:rsidP="0023700C">
      <w:pPr>
        <w:pStyle w:val="Instructionsberschrift2"/>
        <w:numPr>
          <w:ilvl w:val="0"/>
          <w:numId w:val="0"/>
        </w:numPr>
        <w:ind w:left="357" w:hanging="357"/>
        <w:rPr>
          <w:rFonts w:ascii="Times New Roman" w:hAnsi="Times New Roman" w:cs="Times New Roman"/>
          <w:sz w:val="24"/>
        </w:rPr>
      </w:pPr>
      <w:bookmarkStart w:id="339" w:name="_Toc360188366"/>
      <w:bookmarkStart w:id="340" w:name="_Toc473560917"/>
      <w:bookmarkStart w:id="341" w:name="_Toc496022312"/>
      <w:r>
        <w:rPr>
          <w:rFonts w:ascii="Times New Roman" w:hAnsi="Times New Roman"/>
          <w:sz w:val="24"/>
          <w:u w:val="none"/>
        </w:rPr>
        <w:t>3.4.3.</w:t>
      </w:r>
      <w:r>
        <w:tab/>
      </w:r>
      <w:r>
        <w:rPr>
          <w:rFonts w:ascii="Times New Roman" w:hAnsi="Times New Roman"/>
          <w:sz w:val="24"/>
        </w:rPr>
        <w:t xml:space="preserve">C 09.04 — Répartition des expositions de crédit pertinentes pour le calcul du coussin contracyclique par pays et du taux de coussin contracyclique spécifique à l’établissement </w:t>
      </w:r>
      <w:bookmarkEnd w:id="339"/>
      <w:r>
        <w:rPr>
          <w:rFonts w:ascii="Times New Roman" w:hAnsi="Times New Roman"/>
          <w:sz w:val="24"/>
        </w:rPr>
        <w:t>(CCB)</w:t>
      </w:r>
      <w:bookmarkEnd w:id="340"/>
      <w:bookmarkEnd w:id="341"/>
    </w:p>
    <w:p w:rsidR="004357B9" w:rsidRPr="00392FFD" w:rsidRDefault="00125707" w:rsidP="0023700C">
      <w:pPr>
        <w:pStyle w:val="Instructionsberschrift2"/>
        <w:numPr>
          <w:ilvl w:val="0"/>
          <w:numId w:val="0"/>
        </w:numPr>
        <w:ind w:left="357" w:hanging="357"/>
        <w:rPr>
          <w:rFonts w:ascii="Times New Roman" w:hAnsi="Times New Roman" w:cs="Times New Roman"/>
          <w:sz w:val="24"/>
        </w:rPr>
      </w:pPr>
      <w:bookmarkStart w:id="342" w:name="_Toc360188367"/>
      <w:bookmarkStart w:id="343" w:name="_Toc473560918"/>
      <w:bookmarkStart w:id="344" w:name="_Toc496022313"/>
      <w:r>
        <w:rPr>
          <w:rFonts w:ascii="Times New Roman" w:hAnsi="Times New Roman"/>
          <w:sz w:val="24"/>
          <w:u w:val="none"/>
        </w:rPr>
        <w:t>3.4.3.1.</w:t>
      </w:r>
      <w:r>
        <w:tab/>
      </w:r>
      <w:r>
        <w:rPr>
          <w:rFonts w:ascii="Times New Roman" w:hAnsi="Times New Roman"/>
          <w:sz w:val="24"/>
        </w:rPr>
        <w:t>Remarques générales</w:t>
      </w:r>
      <w:bookmarkEnd w:id="342"/>
      <w:bookmarkEnd w:id="343"/>
      <w:bookmarkEnd w:id="344"/>
    </w:p>
    <w:p w:rsidR="00430F6F" w:rsidRPr="00392FFD" w:rsidRDefault="00125707" w:rsidP="0023700C">
      <w:pPr>
        <w:pStyle w:val="InstructionsText2"/>
        <w:numPr>
          <w:ilvl w:val="0"/>
          <w:numId w:val="0"/>
        </w:numPr>
        <w:ind w:left="1353" w:hanging="360"/>
      </w:pPr>
      <w:r>
        <w:t>82.</w:t>
      </w:r>
      <w:r>
        <w:tab/>
        <w:t>Ce tableau a pour objectif de fournir davantage d’informations sur les éléments du coussin de fonds propres contracyclique spécifique à l’établissement. Les i</w:t>
      </w:r>
      <w:r>
        <w:t>n</w:t>
      </w:r>
      <w:r>
        <w:t>formations requises concernent les exigences de fonds propres déterminées co</w:t>
      </w:r>
      <w:r>
        <w:t>n</w:t>
      </w:r>
      <w:r>
        <w:t>formément à la troisième partie, titre II et titre IV, du CRR et la localisation géographique des expositions de crédit, des expositions de titrisation et des e</w:t>
      </w:r>
      <w:r>
        <w:t>x</w:t>
      </w:r>
      <w:r>
        <w:t xml:space="preserve">positions du portefeuille de négociation pertinentes pour le calcul du coussin de fonds propres contracyclique spécifique à l’établissement (CCB) conformément à l’article 140 de la CRD (expositions de crédit pertinentes). </w:t>
      </w:r>
    </w:p>
    <w:p w:rsidR="00430F6F" w:rsidRPr="00392FFD" w:rsidRDefault="00125707" w:rsidP="0023700C">
      <w:pPr>
        <w:pStyle w:val="InstructionsText2"/>
        <w:numPr>
          <w:ilvl w:val="0"/>
          <w:numId w:val="0"/>
        </w:numPr>
        <w:ind w:left="1353" w:hanging="360"/>
      </w:pPr>
      <w:r>
        <w:t>83.</w:t>
      </w:r>
      <w:r>
        <w:tab/>
        <w:t>Les informations du modèle C 09.04 sont demandées pour le «total» des expos</w:t>
      </w:r>
      <w:r>
        <w:t>i</w:t>
      </w:r>
      <w:r>
        <w:t>tions de crédit pertinentes dans toutes les juridictions où sont situées ces expos</w:t>
      </w:r>
      <w:r>
        <w:t>i</w:t>
      </w:r>
      <w:r>
        <w:t>tions, ainsi qu’individuellement pour chacune des juridictions où sont situées les expositions de crédit pertinentes. Les chiffres totaux ainsi que les inform</w:t>
      </w:r>
      <w:r>
        <w:t>a</w:t>
      </w:r>
      <w:r>
        <w:t xml:space="preserve">tions pour chaque juridiction sont déclarés dans une dimension distincte. </w:t>
      </w:r>
    </w:p>
    <w:p w:rsidR="007463E2" w:rsidRPr="00392FFD" w:rsidRDefault="00125707" w:rsidP="0023700C">
      <w:pPr>
        <w:pStyle w:val="InstructionsText2"/>
        <w:numPr>
          <w:ilvl w:val="0"/>
          <w:numId w:val="0"/>
        </w:numPr>
        <w:ind w:left="1353" w:hanging="360"/>
      </w:pPr>
      <w:r>
        <w:lastRenderedPageBreak/>
        <w:t>84.</w:t>
      </w:r>
      <w:r>
        <w:tab/>
        <w:t>Le seuil fixé à l’article 5, point a), point 4), du présent règlement n’est pas pe</w:t>
      </w:r>
      <w:r>
        <w:t>r</w:t>
      </w:r>
      <w:r>
        <w:t>tinent pour cette répartition.</w:t>
      </w:r>
    </w:p>
    <w:p w:rsidR="005A7CA9" w:rsidRPr="00392FFD" w:rsidRDefault="00125707" w:rsidP="0023700C">
      <w:pPr>
        <w:pStyle w:val="InstructionsText2"/>
        <w:numPr>
          <w:ilvl w:val="0"/>
          <w:numId w:val="0"/>
        </w:numPr>
        <w:ind w:left="1353" w:hanging="360"/>
      </w:pPr>
      <w:r>
        <w:t>85.</w:t>
      </w:r>
      <w:r>
        <w:tab/>
        <w:t>Afin de déterminer la localisation géographique, les expositions sont affectées sur la base du débiteur immédiat tel que prévu au règlement délégué (UE) nº 1152/2014 de la Commission du 4 juin 2014 précisant la méthode à utiliser pour déterminer la localisation géographique des expositions de crédit pert</w:t>
      </w:r>
      <w:r>
        <w:t>i</w:t>
      </w:r>
      <w:r>
        <w:t>nentes aux fins du calcul du taux de coussin de fonds propres contracyclique spécifique à l’établissement. Dès lors, les techniques d’ARC ne changent pas l’affectation d’une exposition à une localisation géographique aux fins de la d</w:t>
      </w:r>
      <w:r>
        <w:t>é</w:t>
      </w:r>
      <w:r>
        <w:t>claration des informations que prévoit ce modèle.</w:t>
      </w:r>
    </w:p>
    <w:p w:rsidR="00154859" w:rsidRPr="00392FFD" w:rsidRDefault="00125707" w:rsidP="0023700C">
      <w:pPr>
        <w:pStyle w:val="Instructionsberschrift2"/>
        <w:numPr>
          <w:ilvl w:val="0"/>
          <w:numId w:val="0"/>
        </w:numPr>
        <w:ind w:left="357" w:hanging="357"/>
        <w:rPr>
          <w:rFonts w:ascii="Times New Roman" w:hAnsi="Times New Roman" w:cs="Times New Roman"/>
          <w:sz w:val="24"/>
        </w:rPr>
      </w:pPr>
      <w:bookmarkStart w:id="345" w:name="_Toc360188368"/>
      <w:bookmarkStart w:id="346" w:name="_Toc473560919"/>
      <w:bookmarkStart w:id="347" w:name="_Toc496022314"/>
      <w:r>
        <w:rPr>
          <w:rFonts w:ascii="Times New Roman" w:hAnsi="Times New Roman"/>
          <w:sz w:val="24"/>
          <w:u w:val="none"/>
        </w:rPr>
        <w:t>3.4.3.2.</w:t>
      </w:r>
      <w:r>
        <w:tab/>
      </w:r>
      <w:r>
        <w:rPr>
          <w:rFonts w:ascii="Times New Roman" w:hAnsi="Times New Roman"/>
          <w:sz w:val="24"/>
        </w:rPr>
        <w:t>Instructions concernant certaines positions</w:t>
      </w:r>
      <w:bookmarkEnd w:id="345"/>
      <w:bookmarkEnd w:id="346"/>
      <w:bookmarkEnd w:id="347"/>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7"/>
        <w:gridCol w:w="8131"/>
      </w:tblGrid>
      <w:tr w:rsidR="004357B9" w:rsidRPr="00392FFD" w:rsidTr="00154859">
        <w:tc>
          <w:tcPr>
            <w:tcW w:w="1697" w:type="dxa"/>
            <w:shd w:val="clear" w:color="auto" w:fill="CCCCCC"/>
          </w:tcPr>
          <w:p w:rsidR="00154859" w:rsidRPr="00392FFD" w:rsidRDefault="00154859" w:rsidP="004357B9">
            <w:pPr>
              <w:rPr>
                <w:rFonts w:ascii="Times New Roman" w:hAnsi="Times New Roman"/>
                <w:b/>
                <w:sz w:val="24"/>
              </w:rPr>
            </w:pPr>
            <w:r>
              <w:rPr>
                <w:rFonts w:ascii="Times New Roman" w:hAnsi="Times New Roman"/>
                <w:b/>
                <w:sz w:val="24"/>
              </w:rPr>
              <w:t>Colonnes</w:t>
            </w:r>
          </w:p>
        </w:tc>
        <w:tc>
          <w:tcPr>
            <w:tcW w:w="8131" w:type="dxa"/>
            <w:shd w:val="clear" w:color="auto" w:fill="CCCCCC"/>
          </w:tcPr>
          <w:p w:rsidR="004357B9" w:rsidRPr="00392FFD" w:rsidRDefault="004357B9" w:rsidP="004357B9">
            <w:pPr>
              <w:ind w:left="72"/>
              <w:rPr>
                <w:rFonts w:ascii="Times New Roman" w:hAnsi="Times New Roman"/>
                <w:sz w:val="24"/>
              </w:rPr>
            </w:pPr>
          </w:p>
        </w:tc>
      </w:tr>
      <w:tr w:rsidR="00154859" w:rsidRPr="00392FFD" w:rsidTr="00154859">
        <w:tc>
          <w:tcPr>
            <w:tcW w:w="1697" w:type="dxa"/>
          </w:tcPr>
          <w:p w:rsidR="00154859" w:rsidRPr="00392FFD" w:rsidRDefault="00154859" w:rsidP="004357B9">
            <w:pPr>
              <w:rPr>
                <w:rStyle w:val="InstructionsTabelleText"/>
                <w:rFonts w:ascii="Times New Roman" w:hAnsi="Times New Roman"/>
                <w:sz w:val="24"/>
              </w:rPr>
            </w:pPr>
            <w:r>
              <w:rPr>
                <w:rFonts w:ascii="Times New Roman" w:hAnsi="Times New Roman"/>
                <w:sz w:val="24"/>
              </w:rPr>
              <w:t>010</w:t>
            </w:r>
          </w:p>
        </w:tc>
        <w:tc>
          <w:tcPr>
            <w:tcW w:w="8131" w:type="dxa"/>
          </w:tcPr>
          <w:p w:rsidR="00154859" w:rsidRPr="00392FFD" w:rsidRDefault="00154859" w:rsidP="00133107">
            <w:pPr>
              <w:rPr>
                <w:rFonts w:ascii="Times New Roman" w:hAnsi="Times New Roman"/>
                <w:b/>
                <w:bCs/>
                <w:sz w:val="24"/>
                <w:u w:val="single"/>
              </w:rPr>
            </w:pPr>
            <w:r>
              <w:rPr>
                <w:rFonts w:ascii="Times New Roman" w:hAnsi="Times New Roman"/>
                <w:b/>
                <w:sz w:val="24"/>
                <w:u w:val="single"/>
              </w:rPr>
              <w:t>Montant</w:t>
            </w:r>
          </w:p>
          <w:p w:rsidR="00154859" w:rsidRPr="00392FFD" w:rsidRDefault="006E3440" w:rsidP="00535A98">
            <w:pPr>
              <w:rPr>
                <w:rFonts w:ascii="Times New Roman" w:hAnsi="Times New Roman"/>
                <w:b/>
                <w:sz w:val="24"/>
                <w:u w:val="single"/>
              </w:rPr>
            </w:pPr>
            <w:r>
              <w:rPr>
                <w:rFonts w:ascii="Times New Roman" w:hAnsi="Times New Roman"/>
                <w:sz w:val="24"/>
              </w:rPr>
              <w:t>La valeur des expositions de crédit pertinentes et des exigences de fonds propres qui y sont associées, conformément aux instructions pour la ligne concernée.</w:t>
            </w:r>
          </w:p>
        </w:tc>
      </w:tr>
      <w:tr w:rsidR="00154859" w:rsidRPr="00392FFD" w:rsidTr="00154859">
        <w:tc>
          <w:tcPr>
            <w:tcW w:w="1697" w:type="dxa"/>
          </w:tcPr>
          <w:p w:rsidR="00154859" w:rsidRPr="00392FFD" w:rsidRDefault="00154859" w:rsidP="004357B9">
            <w:pPr>
              <w:rPr>
                <w:sz w:val="24"/>
              </w:rPr>
            </w:pPr>
            <w:r>
              <w:rPr>
                <w:rFonts w:ascii="Times New Roman" w:hAnsi="Times New Roman"/>
                <w:sz w:val="24"/>
              </w:rPr>
              <w:t>020</w:t>
            </w:r>
          </w:p>
        </w:tc>
        <w:tc>
          <w:tcPr>
            <w:tcW w:w="8131" w:type="dxa"/>
          </w:tcPr>
          <w:p w:rsidR="00154859" w:rsidRPr="00392FFD" w:rsidRDefault="00154859" w:rsidP="00133107">
            <w:pPr>
              <w:rPr>
                <w:rFonts w:ascii="Times New Roman" w:hAnsi="Times New Roman"/>
                <w:b/>
                <w:bCs/>
                <w:sz w:val="24"/>
                <w:u w:val="single"/>
              </w:rPr>
            </w:pPr>
            <w:r>
              <w:rPr>
                <w:rFonts w:ascii="Times New Roman" w:hAnsi="Times New Roman"/>
                <w:b/>
                <w:sz w:val="24"/>
                <w:u w:val="single"/>
              </w:rPr>
              <w:t>Pourcentage</w:t>
            </w:r>
          </w:p>
          <w:p w:rsidR="00154859" w:rsidRPr="00392FFD" w:rsidRDefault="00154859" w:rsidP="00133107">
            <w:pPr>
              <w:rPr>
                <w:rFonts w:ascii="Times New Roman" w:hAnsi="Times New Roman"/>
                <w:b/>
                <w:bCs/>
                <w:sz w:val="24"/>
                <w:u w:val="single"/>
              </w:rPr>
            </w:pPr>
          </w:p>
        </w:tc>
      </w:tr>
      <w:tr w:rsidR="00154859" w:rsidRPr="00392FFD" w:rsidTr="00154859">
        <w:tc>
          <w:tcPr>
            <w:tcW w:w="1697" w:type="dxa"/>
          </w:tcPr>
          <w:p w:rsidR="00154859" w:rsidRPr="00392FFD" w:rsidRDefault="00154859" w:rsidP="004357B9">
            <w:pPr>
              <w:rPr>
                <w:rFonts w:ascii="Times New Roman" w:hAnsi="Times New Roman"/>
                <w:sz w:val="24"/>
              </w:rPr>
            </w:pPr>
            <w:r>
              <w:rPr>
                <w:rFonts w:ascii="Times New Roman" w:hAnsi="Times New Roman"/>
                <w:sz w:val="24"/>
              </w:rPr>
              <w:t>030</w:t>
            </w:r>
          </w:p>
        </w:tc>
        <w:tc>
          <w:tcPr>
            <w:tcW w:w="8131" w:type="dxa"/>
          </w:tcPr>
          <w:p w:rsidR="00154859" w:rsidRPr="00392FFD" w:rsidRDefault="00187348" w:rsidP="00133107">
            <w:pPr>
              <w:autoSpaceDE w:val="0"/>
              <w:autoSpaceDN w:val="0"/>
              <w:adjustRightInd w:val="0"/>
              <w:rPr>
                <w:rFonts w:ascii="Times New Roman" w:hAnsi="Times New Roman"/>
                <w:b/>
                <w:bCs/>
                <w:sz w:val="24"/>
                <w:u w:val="single"/>
              </w:rPr>
            </w:pPr>
            <w:r>
              <w:rPr>
                <w:rFonts w:ascii="Times New Roman" w:hAnsi="Times New Roman"/>
                <w:b/>
                <w:sz w:val="24"/>
                <w:u w:val="single"/>
              </w:rPr>
              <w:t>Informations qualitatives</w:t>
            </w:r>
          </w:p>
          <w:p w:rsidR="00514783" w:rsidRPr="00392FFD" w:rsidRDefault="00CA270D" w:rsidP="00234E7D">
            <w:pPr>
              <w:autoSpaceDE w:val="0"/>
              <w:autoSpaceDN w:val="0"/>
              <w:adjustRightInd w:val="0"/>
              <w:rPr>
                <w:rFonts w:ascii="Times New Roman" w:hAnsi="Times New Roman"/>
                <w:sz w:val="24"/>
              </w:rPr>
            </w:pPr>
            <w:r>
              <w:rPr>
                <w:rFonts w:ascii="Times New Roman" w:hAnsi="Times New Roman"/>
                <w:sz w:val="24"/>
              </w:rPr>
              <w:t xml:space="preserve">Ces informations ne sont à fournir que pour le pays de résidence de l’établissement (la juridiction correspondant à son État membre d’origine) et le «total» de tous les pays. </w:t>
            </w:r>
          </w:p>
          <w:p w:rsidR="00EF3F40" w:rsidRPr="00392FFD" w:rsidRDefault="00514783" w:rsidP="00514783">
            <w:pPr>
              <w:autoSpaceDE w:val="0"/>
              <w:autoSpaceDN w:val="0"/>
              <w:adjustRightInd w:val="0"/>
              <w:rPr>
                <w:rFonts w:ascii="Times New Roman" w:hAnsi="Times New Roman"/>
                <w:b/>
                <w:bCs/>
                <w:sz w:val="24"/>
                <w:u w:val="single"/>
              </w:rPr>
            </w:pPr>
            <w:r>
              <w:rPr>
                <w:rFonts w:ascii="Times New Roman" w:hAnsi="Times New Roman"/>
                <w:sz w:val="24"/>
              </w:rPr>
              <w:t>Les établissements déclarent soit {y}, soit {n}, conformément aux instructions pour la ligne correspondante.</w:t>
            </w:r>
          </w:p>
        </w:tc>
      </w:tr>
    </w:tbl>
    <w:p w:rsidR="00464F34" w:rsidRPr="00392FFD" w:rsidRDefault="00464F34" w:rsidP="00622B37">
      <w:pPr>
        <w:pStyle w:val="InstructionsText"/>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7"/>
        <w:gridCol w:w="8131"/>
      </w:tblGrid>
      <w:tr w:rsidR="00BD5485" w:rsidRPr="00392FFD" w:rsidTr="00133107">
        <w:tc>
          <w:tcPr>
            <w:tcW w:w="1697" w:type="dxa"/>
            <w:shd w:val="clear" w:color="auto" w:fill="CCCCCC"/>
          </w:tcPr>
          <w:p w:rsidR="00BD5485" w:rsidRPr="00392FFD" w:rsidRDefault="00BD5485" w:rsidP="00133107">
            <w:pPr>
              <w:rPr>
                <w:rFonts w:ascii="Times New Roman" w:hAnsi="Times New Roman"/>
                <w:b/>
                <w:sz w:val="24"/>
              </w:rPr>
            </w:pPr>
            <w:r>
              <w:rPr>
                <w:rFonts w:ascii="Times New Roman" w:hAnsi="Times New Roman"/>
                <w:b/>
                <w:sz w:val="24"/>
              </w:rPr>
              <w:t>Lignes</w:t>
            </w:r>
          </w:p>
        </w:tc>
        <w:tc>
          <w:tcPr>
            <w:tcW w:w="8131" w:type="dxa"/>
            <w:shd w:val="clear" w:color="auto" w:fill="CCCCCC"/>
          </w:tcPr>
          <w:p w:rsidR="00BD5485" w:rsidRPr="00392FFD" w:rsidRDefault="00BD5485" w:rsidP="00133107">
            <w:pPr>
              <w:ind w:left="72"/>
              <w:rPr>
                <w:rFonts w:ascii="Times New Roman" w:hAnsi="Times New Roman"/>
                <w:sz w:val="24"/>
              </w:rPr>
            </w:pPr>
          </w:p>
        </w:tc>
      </w:tr>
      <w:tr w:rsidR="00BD5485" w:rsidRPr="00392FFD" w:rsidTr="00133107">
        <w:tc>
          <w:tcPr>
            <w:tcW w:w="1697" w:type="dxa"/>
          </w:tcPr>
          <w:p w:rsidR="00BD5485" w:rsidRPr="00392FFD" w:rsidRDefault="00BD5485" w:rsidP="00133107">
            <w:pPr>
              <w:rPr>
                <w:rStyle w:val="InstructionsTabelleText"/>
                <w:rFonts w:ascii="Times New Roman" w:hAnsi="Times New Roman"/>
                <w:sz w:val="24"/>
              </w:rPr>
            </w:pPr>
            <w:r>
              <w:rPr>
                <w:rFonts w:ascii="Times New Roman" w:hAnsi="Times New Roman"/>
                <w:sz w:val="24"/>
              </w:rPr>
              <w:t>010-020</w:t>
            </w:r>
          </w:p>
        </w:tc>
        <w:tc>
          <w:tcPr>
            <w:tcW w:w="8131" w:type="dxa"/>
          </w:tcPr>
          <w:p w:rsidR="00BD5485" w:rsidRPr="00392FFD" w:rsidRDefault="00BD5485" w:rsidP="00BD5485">
            <w:pPr>
              <w:rPr>
                <w:rFonts w:ascii="Times New Roman" w:hAnsi="Times New Roman"/>
                <w:b/>
                <w:bCs/>
                <w:sz w:val="24"/>
                <w:u w:val="single"/>
              </w:rPr>
            </w:pPr>
            <w:r>
              <w:rPr>
                <w:rFonts w:ascii="Times New Roman" w:hAnsi="Times New Roman"/>
                <w:b/>
                <w:sz w:val="24"/>
                <w:u w:val="single"/>
              </w:rPr>
              <w:t>Expositions de crédit pertinentes — risque de crédit</w:t>
            </w:r>
          </w:p>
          <w:p w:rsidR="00BD5485" w:rsidRPr="00392FFD" w:rsidRDefault="00BD5485" w:rsidP="00BD5485">
            <w:pPr>
              <w:rPr>
                <w:rFonts w:ascii="Times New Roman" w:hAnsi="Times New Roman"/>
                <w:b/>
                <w:sz w:val="24"/>
                <w:u w:val="single"/>
              </w:rPr>
            </w:pPr>
            <w:r>
              <w:rPr>
                <w:rFonts w:ascii="Times New Roman" w:hAnsi="Times New Roman"/>
                <w:sz w:val="24"/>
              </w:rPr>
              <w:t>Expositions de crédit pertinentes définies conformément à l'article 140, par</w:t>
            </w:r>
            <w:r>
              <w:rPr>
                <w:rFonts w:ascii="Times New Roman" w:hAnsi="Times New Roman"/>
                <w:sz w:val="24"/>
              </w:rPr>
              <w:t>a</w:t>
            </w:r>
            <w:r>
              <w:rPr>
                <w:rFonts w:ascii="Times New Roman" w:hAnsi="Times New Roman"/>
                <w:sz w:val="24"/>
              </w:rPr>
              <w:t>graphe 4, point a), de la CRD.</w:t>
            </w:r>
          </w:p>
        </w:tc>
      </w:tr>
      <w:tr w:rsidR="00BD5485" w:rsidRPr="00392FFD" w:rsidTr="00133107">
        <w:tc>
          <w:tcPr>
            <w:tcW w:w="1697" w:type="dxa"/>
          </w:tcPr>
          <w:p w:rsidR="00BD5485" w:rsidRPr="00392FFD" w:rsidRDefault="00BD5485" w:rsidP="00133107">
            <w:pPr>
              <w:rPr>
                <w:sz w:val="24"/>
              </w:rPr>
            </w:pPr>
            <w:r>
              <w:rPr>
                <w:rFonts w:ascii="Times New Roman" w:hAnsi="Times New Roman"/>
                <w:sz w:val="24"/>
              </w:rPr>
              <w:t>010</w:t>
            </w:r>
          </w:p>
        </w:tc>
        <w:tc>
          <w:tcPr>
            <w:tcW w:w="8131" w:type="dxa"/>
          </w:tcPr>
          <w:p w:rsidR="00BD5485" w:rsidRPr="00392FFD" w:rsidRDefault="00BD5485" w:rsidP="00BD5485">
            <w:pPr>
              <w:rPr>
                <w:rFonts w:ascii="Times New Roman" w:hAnsi="Times New Roman"/>
                <w:b/>
                <w:bCs/>
                <w:sz w:val="24"/>
                <w:u w:val="single"/>
              </w:rPr>
            </w:pPr>
            <w:r>
              <w:rPr>
                <w:rFonts w:ascii="Times New Roman" w:hAnsi="Times New Roman"/>
                <w:b/>
                <w:sz w:val="24"/>
                <w:u w:val="single"/>
              </w:rPr>
              <w:t>Valeur exposée au risque selon l’approche standard</w:t>
            </w:r>
          </w:p>
          <w:p w:rsidR="00BD5485" w:rsidRPr="00392FFD" w:rsidRDefault="00BD5485" w:rsidP="00BD5485">
            <w:pPr>
              <w:autoSpaceDE w:val="0"/>
              <w:autoSpaceDN w:val="0"/>
              <w:adjustRightInd w:val="0"/>
              <w:rPr>
                <w:rFonts w:ascii="Times New Roman" w:hAnsi="Times New Roman"/>
                <w:sz w:val="24"/>
              </w:rPr>
            </w:pPr>
            <w:r>
              <w:rPr>
                <w:rFonts w:ascii="Times New Roman" w:hAnsi="Times New Roman"/>
                <w:sz w:val="24"/>
              </w:rPr>
              <w:t>Valeur exposée au risque déterminée conformément à l’article 111 du CRR, pour les expositions de crédit pertinentes définies conformément à l’article 140, par</w:t>
            </w:r>
            <w:r>
              <w:rPr>
                <w:rFonts w:ascii="Times New Roman" w:hAnsi="Times New Roman"/>
                <w:sz w:val="24"/>
              </w:rPr>
              <w:t>a</w:t>
            </w:r>
            <w:r>
              <w:rPr>
                <w:rFonts w:ascii="Times New Roman" w:hAnsi="Times New Roman"/>
                <w:sz w:val="24"/>
              </w:rPr>
              <w:t xml:space="preserve">graphe 4, point a), de la CRD. </w:t>
            </w:r>
          </w:p>
          <w:p w:rsidR="00BD5485" w:rsidRPr="00392FFD" w:rsidRDefault="00BD5485" w:rsidP="005A7CA9">
            <w:pPr>
              <w:autoSpaceDE w:val="0"/>
              <w:autoSpaceDN w:val="0"/>
              <w:adjustRightInd w:val="0"/>
              <w:rPr>
                <w:rFonts w:ascii="Times New Roman" w:hAnsi="Times New Roman"/>
                <w:b/>
                <w:bCs/>
                <w:sz w:val="24"/>
                <w:u w:val="single"/>
              </w:rPr>
            </w:pPr>
            <w:r>
              <w:rPr>
                <w:rFonts w:ascii="Times New Roman" w:hAnsi="Times New Roman"/>
                <w:sz w:val="24"/>
              </w:rPr>
              <w:t>La valeur exposée au risque des positions de titrisation dans le portefeuille d’intermédiation bancaire, selon l’approche standard, est exclue de cette ligne et déclarée à la ligne 050.</w:t>
            </w:r>
          </w:p>
        </w:tc>
      </w:tr>
      <w:tr w:rsidR="00BD5485" w:rsidRPr="00392FFD" w:rsidTr="00133107">
        <w:tc>
          <w:tcPr>
            <w:tcW w:w="1697" w:type="dxa"/>
          </w:tcPr>
          <w:p w:rsidR="00BD5485" w:rsidRPr="00392FFD" w:rsidRDefault="00BD5485" w:rsidP="00133107">
            <w:pPr>
              <w:rPr>
                <w:rFonts w:ascii="Times New Roman" w:hAnsi="Times New Roman"/>
                <w:sz w:val="24"/>
              </w:rPr>
            </w:pPr>
            <w:r>
              <w:rPr>
                <w:rFonts w:ascii="Times New Roman" w:hAnsi="Times New Roman"/>
                <w:sz w:val="24"/>
              </w:rPr>
              <w:t>020</w:t>
            </w:r>
          </w:p>
        </w:tc>
        <w:tc>
          <w:tcPr>
            <w:tcW w:w="8131" w:type="dxa"/>
          </w:tcPr>
          <w:p w:rsidR="00BD5485" w:rsidRPr="00392FFD" w:rsidRDefault="00BD5485" w:rsidP="00BD5485">
            <w:pPr>
              <w:rPr>
                <w:rFonts w:ascii="Times New Roman" w:hAnsi="Times New Roman"/>
                <w:b/>
                <w:bCs/>
                <w:sz w:val="24"/>
                <w:u w:val="single"/>
              </w:rPr>
            </w:pPr>
            <w:r>
              <w:rPr>
                <w:rFonts w:ascii="Times New Roman" w:hAnsi="Times New Roman"/>
                <w:b/>
                <w:sz w:val="24"/>
                <w:u w:val="single"/>
              </w:rPr>
              <w:t>Valeur exposée au risque selon l’approche NI</w:t>
            </w:r>
          </w:p>
          <w:p w:rsidR="00BD5485" w:rsidRPr="00392FFD" w:rsidRDefault="00BD5485" w:rsidP="00BD5485">
            <w:pPr>
              <w:autoSpaceDE w:val="0"/>
              <w:autoSpaceDN w:val="0"/>
              <w:adjustRightInd w:val="0"/>
              <w:rPr>
                <w:rFonts w:ascii="Times New Roman" w:hAnsi="Times New Roman"/>
                <w:sz w:val="24"/>
              </w:rPr>
            </w:pPr>
            <w:r>
              <w:rPr>
                <w:rFonts w:ascii="Times New Roman" w:hAnsi="Times New Roman"/>
                <w:sz w:val="24"/>
              </w:rPr>
              <w:t xml:space="preserve">Valeur exposée au risque déterminée conformément à l’article 166 du CRR, pour </w:t>
            </w:r>
            <w:r>
              <w:rPr>
                <w:rFonts w:ascii="Times New Roman" w:hAnsi="Times New Roman"/>
                <w:sz w:val="24"/>
              </w:rPr>
              <w:lastRenderedPageBreak/>
              <w:t>les expositions de crédit pertinentes définies conformément à l’article 140, par</w:t>
            </w:r>
            <w:r>
              <w:rPr>
                <w:rFonts w:ascii="Times New Roman" w:hAnsi="Times New Roman"/>
                <w:sz w:val="24"/>
              </w:rPr>
              <w:t>a</w:t>
            </w:r>
            <w:r>
              <w:rPr>
                <w:rFonts w:ascii="Times New Roman" w:hAnsi="Times New Roman"/>
                <w:sz w:val="24"/>
              </w:rPr>
              <w:t xml:space="preserve">graphe 4, point a), de la CRD. </w:t>
            </w:r>
          </w:p>
          <w:p w:rsidR="00BD5485" w:rsidRPr="00392FFD" w:rsidRDefault="00BD5485" w:rsidP="00BD5485">
            <w:pPr>
              <w:rPr>
                <w:rFonts w:ascii="Times New Roman" w:hAnsi="Times New Roman"/>
                <w:b/>
                <w:bCs/>
                <w:sz w:val="24"/>
                <w:u w:val="single"/>
              </w:rPr>
            </w:pPr>
            <w:r>
              <w:rPr>
                <w:rFonts w:ascii="Times New Roman" w:hAnsi="Times New Roman"/>
                <w:sz w:val="24"/>
              </w:rPr>
              <w:t>La valeur exposée au risque des positions de titrisation dans le portefeuille d’intermédiation bancaire, selon NI, est exclue de cette ligne et déclarée à la ligne 060.</w:t>
            </w:r>
          </w:p>
        </w:tc>
      </w:tr>
      <w:tr w:rsidR="00BD5485" w:rsidRPr="00392FFD" w:rsidTr="00133107">
        <w:tc>
          <w:tcPr>
            <w:tcW w:w="1697" w:type="dxa"/>
          </w:tcPr>
          <w:p w:rsidR="00BD5485" w:rsidRPr="00392FFD" w:rsidRDefault="00BD5485" w:rsidP="00133107">
            <w:pPr>
              <w:rPr>
                <w:rFonts w:ascii="Times New Roman" w:hAnsi="Times New Roman"/>
                <w:sz w:val="24"/>
              </w:rPr>
            </w:pPr>
            <w:r>
              <w:rPr>
                <w:rFonts w:ascii="Times New Roman" w:hAnsi="Times New Roman"/>
                <w:sz w:val="24"/>
              </w:rPr>
              <w:lastRenderedPageBreak/>
              <w:t>030-040</w:t>
            </w:r>
          </w:p>
        </w:tc>
        <w:tc>
          <w:tcPr>
            <w:tcW w:w="8131" w:type="dxa"/>
          </w:tcPr>
          <w:p w:rsidR="00BD5485" w:rsidRPr="00392FFD" w:rsidRDefault="00BD5485" w:rsidP="00BD5485">
            <w:pPr>
              <w:rPr>
                <w:rFonts w:ascii="Times New Roman" w:hAnsi="Times New Roman"/>
                <w:b/>
                <w:bCs/>
                <w:sz w:val="24"/>
                <w:u w:val="single"/>
              </w:rPr>
            </w:pPr>
            <w:r>
              <w:rPr>
                <w:rFonts w:ascii="Times New Roman" w:hAnsi="Times New Roman"/>
                <w:b/>
                <w:sz w:val="24"/>
                <w:u w:val="single"/>
              </w:rPr>
              <w:t>Expositions de crédit pertinentes — risque de marché</w:t>
            </w:r>
          </w:p>
          <w:p w:rsidR="00BD5485" w:rsidRPr="00392FFD" w:rsidRDefault="00BD5485" w:rsidP="00BD5485">
            <w:pPr>
              <w:rPr>
                <w:rFonts w:ascii="Times New Roman" w:hAnsi="Times New Roman"/>
                <w:b/>
                <w:bCs/>
                <w:sz w:val="24"/>
                <w:u w:val="single"/>
              </w:rPr>
            </w:pPr>
            <w:r>
              <w:rPr>
                <w:rFonts w:ascii="Times New Roman" w:hAnsi="Times New Roman"/>
                <w:sz w:val="24"/>
              </w:rPr>
              <w:t>Expositions de crédit pertinentes définies conformément à l'article 140, par</w:t>
            </w:r>
            <w:r>
              <w:rPr>
                <w:rFonts w:ascii="Times New Roman" w:hAnsi="Times New Roman"/>
                <w:sz w:val="24"/>
              </w:rPr>
              <w:t>a</w:t>
            </w:r>
            <w:r>
              <w:rPr>
                <w:rFonts w:ascii="Times New Roman" w:hAnsi="Times New Roman"/>
                <w:sz w:val="24"/>
              </w:rPr>
              <w:t>graphe 4, point b), de la CRD.</w:t>
            </w:r>
          </w:p>
        </w:tc>
      </w:tr>
      <w:tr w:rsidR="00BD5485" w:rsidRPr="00392FFD" w:rsidTr="00133107">
        <w:tc>
          <w:tcPr>
            <w:tcW w:w="1697" w:type="dxa"/>
          </w:tcPr>
          <w:p w:rsidR="00BD5485" w:rsidRPr="00392FFD" w:rsidRDefault="00BD5485" w:rsidP="00133107">
            <w:pPr>
              <w:rPr>
                <w:rFonts w:ascii="Times New Roman" w:hAnsi="Times New Roman"/>
                <w:sz w:val="24"/>
              </w:rPr>
            </w:pPr>
            <w:r>
              <w:rPr>
                <w:rFonts w:ascii="Times New Roman" w:hAnsi="Times New Roman"/>
                <w:sz w:val="24"/>
              </w:rPr>
              <w:t>030</w:t>
            </w:r>
          </w:p>
        </w:tc>
        <w:tc>
          <w:tcPr>
            <w:tcW w:w="8131" w:type="dxa"/>
          </w:tcPr>
          <w:p w:rsidR="00BD5485" w:rsidRPr="00392FFD" w:rsidRDefault="00BD5485" w:rsidP="00BD5485">
            <w:pPr>
              <w:rPr>
                <w:rFonts w:ascii="Times New Roman" w:hAnsi="Times New Roman"/>
                <w:b/>
                <w:bCs/>
                <w:sz w:val="24"/>
                <w:u w:val="single"/>
              </w:rPr>
            </w:pPr>
            <w:r>
              <w:rPr>
                <w:rFonts w:ascii="Times New Roman" w:hAnsi="Times New Roman"/>
                <w:b/>
                <w:sz w:val="24"/>
                <w:u w:val="single"/>
              </w:rPr>
              <w:t>Somme des positions longues et courtes des expositions du portefeuille de n</w:t>
            </w:r>
            <w:r>
              <w:rPr>
                <w:rFonts w:ascii="Times New Roman" w:hAnsi="Times New Roman"/>
                <w:b/>
                <w:sz w:val="24"/>
                <w:u w:val="single"/>
              </w:rPr>
              <w:t>é</w:t>
            </w:r>
            <w:r>
              <w:rPr>
                <w:rFonts w:ascii="Times New Roman" w:hAnsi="Times New Roman"/>
                <w:b/>
                <w:sz w:val="24"/>
                <w:u w:val="single"/>
              </w:rPr>
              <w:t>gociation pour les approches standard</w:t>
            </w:r>
          </w:p>
          <w:p w:rsidR="00BD5485" w:rsidRPr="00392FFD" w:rsidRDefault="00BD5485" w:rsidP="00BD5485">
            <w:pPr>
              <w:autoSpaceDE w:val="0"/>
              <w:autoSpaceDN w:val="0"/>
              <w:adjustRightInd w:val="0"/>
              <w:rPr>
                <w:rFonts w:ascii="Times New Roman" w:hAnsi="Times New Roman"/>
                <w:sz w:val="24"/>
              </w:rPr>
            </w:pPr>
            <w:r>
              <w:rPr>
                <w:rFonts w:ascii="Times New Roman" w:hAnsi="Times New Roman"/>
                <w:sz w:val="24"/>
              </w:rPr>
              <w:t xml:space="preserve">La somme des positions nette longue et nette courte conformément à l’article 327 du CRR des expositions de crédit pertinentes définies conformément à l’article 140, paragraphe 4, point b), de la CRD, en vertu de la troisième partie, titre IV, chapitre 2 du CRR: </w:t>
            </w:r>
          </w:p>
          <w:p w:rsidR="00C4425F" w:rsidRPr="00125707" w:rsidRDefault="00125707" w:rsidP="0023700C">
            <w:pPr>
              <w:autoSpaceDE w:val="0"/>
              <w:autoSpaceDN w:val="0"/>
              <w:adjustRightInd w:val="0"/>
              <w:ind w:left="357" w:hanging="357"/>
              <w:contextualSpacing/>
              <w:rPr>
                <w:rFonts w:ascii="Times New Roman" w:hAnsi="Times New Roman"/>
                <w:sz w:val="24"/>
              </w:rPr>
            </w:pPr>
            <w:r>
              <w:rPr>
                <w:rFonts w:ascii="Times New Roman" w:hAnsi="Times New Roman"/>
                <w:sz w:val="24"/>
              </w:rPr>
              <w:t>-</w:t>
            </w:r>
            <w:r>
              <w:tab/>
            </w:r>
            <w:r>
              <w:rPr>
                <w:rFonts w:ascii="Times New Roman" w:hAnsi="Times New Roman"/>
                <w:sz w:val="24"/>
              </w:rPr>
              <w:t xml:space="preserve">les expositions sur des titres de créance autres que des titrisations, </w:t>
            </w:r>
          </w:p>
          <w:p w:rsidR="00C4425F" w:rsidRPr="00125707" w:rsidRDefault="00125707" w:rsidP="0023700C">
            <w:pPr>
              <w:autoSpaceDE w:val="0"/>
              <w:autoSpaceDN w:val="0"/>
              <w:adjustRightInd w:val="0"/>
              <w:ind w:left="357" w:hanging="357"/>
              <w:contextualSpacing/>
              <w:rPr>
                <w:rFonts w:ascii="Times New Roman" w:hAnsi="Times New Roman"/>
                <w:sz w:val="24"/>
              </w:rPr>
            </w:pPr>
            <w:r>
              <w:rPr>
                <w:rFonts w:ascii="Times New Roman" w:hAnsi="Times New Roman"/>
                <w:sz w:val="24"/>
              </w:rPr>
              <w:t>-</w:t>
            </w:r>
            <w:r>
              <w:tab/>
            </w:r>
            <w:r>
              <w:rPr>
                <w:rFonts w:ascii="Times New Roman" w:hAnsi="Times New Roman"/>
                <w:sz w:val="24"/>
              </w:rPr>
              <w:t>les expositions sur des positions de titrisation dans le portefeuille de négoci</w:t>
            </w:r>
            <w:r>
              <w:rPr>
                <w:rFonts w:ascii="Times New Roman" w:hAnsi="Times New Roman"/>
                <w:sz w:val="24"/>
              </w:rPr>
              <w:t>a</w:t>
            </w:r>
            <w:r>
              <w:rPr>
                <w:rFonts w:ascii="Times New Roman" w:hAnsi="Times New Roman"/>
                <w:sz w:val="24"/>
              </w:rPr>
              <w:t xml:space="preserve">tion, </w:t>
            </w:r>
          </w:p>
          <w:p w:rsidR="00C4425F" w:rsidRPr="00125707" w:rsidRDefault="00125707" w:rsidP="0023700C">
            <w:pPr>
              <w:autoSpaceDE w:val="0"/>
              <w:autoSpaceDN w:val="0"/>
              <w:adjustRightInd w:val="0"/>
              <w:ind w:left="357" w:hanging="357"/>
              <w:contextualSpacing/>
              <w:rPr>
                <w:rFonts w:ascii="Times New Roman" w:hAnsi="Times New Roman"/>
                <w:sz w:val="24"/>
              </w:rPr>
            </w:pPr>
            <w:r>
              <w:rPr>
                <w:rFonts w:ascii="Times New Roman" w:hAnsi="Times New Roman"/>
                <w:sz w:val="24"/>
              </w:rPr>
              <w:t>-</w:t>
            </w:r>
            <w:r>
              <w:tab/>
            </w:r>
            <w:r>
              <w:rPr>
                <w:rFonts w:ascii="Times New Roman" w:hAnsi="Times New Roman"/>
                <w:sz w:val="24"/>
              </w:rPr>
              <w:t>les expositions sur les portefeuilles de négociation en corrélation,</w:t>
            </w:r>
          </w:p>
          <w:p w:rsidR="00C4425F" w:rsidRPr="00125707" w:rsidRDefault="00125707" w:rsidP="0023700C">
            <w:pPr>
              <w:autoSpaceDE w:val="0"/>
              <w:autoSpaceDN w:val="0"/>
              <w:adjustRightInd w:val="0"/>
              <w:ind w:left="357" w:hanging="357"/>
              <w:contextualSpacing/>
              <w:rPr>
                <w:rFonts w:ascii="Times New Roman" w:hAnsi="Times New Roman"/>
                <w:sz w:val="24"/>
              </w:rPr>
            </w:pPr>
            <w:r>
              <w:rPr>
                <w:rFonts w:ascii="Times New Roman" w:hAnsi="Times New Roman"/>
                <w:sz w:val="24"/>
              </w:rPr>
              <w:t>-</w:t>
            </w:r>
            <w:r>
              <w:tab/>
            </w:r>
            <w:r>
              <w:rPr>
                <w:rFonts w:ascii="Times New Roman" w:hAnsi="Times New Roman"/>
                <w:sz w:val="24"/>
              </w:rPr>
              <w:t>les expositions sur les actions, et</w:t>
            </w:r>
          </w:p>
          <w:p w:rsidR="00797715" w:rsidRPr="00125707" w:rsidRDefault="00125707" w:rsidP="0023700C">
            <w:pPr>
              <w:autoSpaceDE w:val="0"/>
              <w:autoSpaceDN w:val="0"/>
              <w:adjustRightInd w:val="0"/>
              <w:ind w:left="357" w:hanging="357"/>
              <w:contextualSpacing/>
              <w:rPr>
                <w:rFonts w:ascii="Times New Roman" w:hAnsi="Times New Roman"/>
                <w:b/>
                <w:bCs/>
                <w:sz w:val="24"/>
                <w:u w:val="single"/>
              </w:rPr>
            </w:pPr>
            <w:r>
              <w:rPr>
                <w:rFonts w:ascii="Times New Roman" w:hAnsi="Times New Roman"/>
                <w:sz w:val="24"/>
              </w:rPr>
              <w:t>-</w:t>
            </w:r>
            <w:r>
              <w:tab/>
            </w:r>
            <w:r>
              <w:rPr>
                <w:rFonts w:ascii="Times New Roman" w:hAnsi="Times New Roman"/>
                <w:sz w:val="24"/>
              </w:rPr>
              <w:t>les expositions sur les OPC, lorsque les exigences de fonds propres sont calc</w:t>
            </w:r>
            <w:r>
              <w:rPr>
                <w:rFonts w:ascii="Times New Roman" w:hAnsi="Times New Roman"/>
                <w:sz w:val="24"/>
              </w:rPr>
              <w:t>u</w:t>
            </w:r>
            <w:r>
              <w:rPr>
                <w:rFonts w:ascii="Times New Roman" w:hAnsi="Times New Roman"/>
                <w:sz w:val="24"/>
              </w:rPr>
              <w:t>lées conformément à l’article 348 du CRR.</w:t>
            </w:r>
          </w:p>
        </w:tc>
      </w:tr>
      <w:tr w:rsidR="00BD5485" w:rsidRPr="00392FFD" w:rsidTr="00133107">
        <w:tc>
          <w:tcPr>
            <w:tcW w:w="1697" w:type="dxa"/>
          </w:tcPr>
          <w:p w:rsidR="00BD5485" w:rsidRPr="00392FFD" w:rsidRDefault="00BD5485" w:rsidP="00133107">
            <w:pPr>
              <w:rPr>
                <w:rFonts w:ascii="Times New Roman" w:hAnsi="Times New Roman"/>
                <w:sz w:val="24"/>
              </w:rPr>
            </w:pPr>
            <w:r>
              <w:rPr>
                <w:rFonts w:ascii="Times New Roman" w:hAnsi="Times New Roman"/>
                <w:sz w:val="24"/>
              </w:rPr>
              <w:t>040</w:t>
            </w:r>
          </w:p>
        </w:tc>
        <w:tc>
          <w:tcPr>
            <w:tcW w:w="8131" w:type="dxa"/>
          </w:tcPr>
          <w:p w:rsidR="00BD5485" w:rsidRPr="00392FFD" w:rsidRDefault="00BD5485" w:rsidP="00BD5485">
            <w:pPr>
              <w:rPr>
                <w:rFonts w:ascii="Times New Roman" w:hAnsi="Times New Roman"/>
                <w:b/>
                <w:bCs/>
                <w:sz w:val="24"/>
                <w:u w:val="single"/>
              </w:rPr>
            </w:pPr>
            <w:r>
              <w:rPr>
                <w:rFonts w:ascii="Times New Roman" w:hAnsi="Times New Roman"/>
                <w:b/>
                <w:sz w:val="24"/>
                <w:u w:val="single"/>
              </w:rPr>
              <w:t>Valeur des expositions du portefeuille de négociation selon les approches fondées sur un modèle interne</w:t>
            </w:r>
          </w:p>
          <w:p w:rsidR="00BD5485" w:rsidRPr="00392FFD" w:rsidRDefault="00BD5485" w:rsidP="00BD5485">
            <w:pPr>
              <w:autoSpaceDE w:val="0"/>
              <w:autoSpaceDN w:val="0"/>
              <w:adjustRightInd w:val="0"/>
              <w:rPr>
                <w:rFonts w:ascii="Times New Roman" w:hAnsi="Times New Roman"/>
                <w:sz w:val="24"/>
              </w:rPr>
            </w:pPr>
            <w:r>
              <w:rPr>
                <w:rFonts w:ascii="Times New Roman" w:hAnsi="Times New Roman"/>
                <w:sz w:val="24"/>
              </w:rPr>
              <w:t>La somme des éléments suivants doit être déclarée pour les expositions de crédit pertinentes définies conformément à l’article 140, paragraphe 4, point b), de la CRD, en vertu de la troisième partie, titre IV, chapitres 2 et 5 du CRR:</w:t>
            </w:r>
          </w:p>
          <w:p w:rsidR="00BD5485" w:rsidRPr="00125707" w:rsidRDefault="00125707" w:rsidP="0023700C">
            <w:pPr>
              <w:autoSpaceDE w:val="0"/>
              <w:autoSpaceDN w:val="0"/>
              <w:adjustRightInd w:val="0"/>
              <w:ind w:left="357" w:hanging="357"/>
              <w:contextualSpacing/>
              <w:rPr>
                <w:rFonts w:ascii="Times New Roman" w:hAnsi="Times New Roman"/>
                <w:sz w:val="24"/>
              </w:rPr>
            </w:pPr>
            <w:r>
              <w:rPr>
                <w:rFonts w:ascii="Calibri" w:hAnsi="Calibri"/>
                <w:sz w:val="24"/>
              </w:rPr>
              <w:t>-</w:t>
            </w:r>
            <w:r>
              <w:tab/>
            </w:r>
            <w:r>
              <w:rPr>
                <w:rFonts w:ascii="Times New Roman" w:hAnsi="Times New Roman"/>
                <w:sz w:val="24"/>
              </w:rPr>
              <w:t>la juste valeur des positions sur non-dérivés qui représentent des expositions de crédit pertinentes telles que définies à l'article 140, paragraphe 4, point b), de la CRD déterminées conformément à l’article 104 du CRR.</w:t>
            </w:r>
          </w:p>
          <w:p w:rsidR="00BD5485" w:rsidRPr="00125707" w:rsidRDefault="00125707" w:rsidP="0023700C">
            <w:pPr>
              <w:autoSpaceDE w:val="0"/>
              <w:autoSpaceDN w:val="0"/>
              <w:adjustRightInd w:val="0"/>
              <w:ind w:left="357" w:hanging="357"/>
              <w:contextualSpacing/>
              <w:rPr>
                <w:rFonts w:ascii="Times New Roman" w:hAnsi="Times New Roman"/>
                <w:b/>
                <w:bCs/>
                <w:sz w:val="24"/>
                <w:u w:val="single"/>
              </w:rPr>
            </w:pPr>
            <w:r>
              <w:rPr>
                <w:rFonts w:ascii="Calibri" w:hAnsi="Calibri"/>
                <w:sz w:val="24"/>
              </w:rPr>
              <w:t>-</w:t>
            </w:r>
            <w:r>
              <w:tab/>
            </w:r>
            <w:r>
              <w:rPr>
                <w:rFonts w:ascii="Times New Roman" w:hAnsi="Times New Roman"/>
                <w:sz w:val="24"/>
              </w:rPr>
              <w:t>la valeur notionnelle des dérivés qui représentent des expositions de crédit pertinentes définies conformément à l'article 140, paragraphe 4, point b), de la CRD.</w:t>
            </w:r>
          </w:p>
        </w:tc>
      </w:tr>
      <w:tr w:rsidR="00BD5485" w:rsidRPr="00392FFD" w:rsidTr="00133107">
        <w:tc>
          <w:tcPr>
            <w:tcW w:w="1697" w:type="dxa"/>
          </w:tcPr>
          <w:p w:rsidR="00BD5485" w:rsidRPr="00392FFD" w:rsidRDefault="00BD5485" w:rsidP="00133107">
            <w:pPr>
              <w:rPr>
                <w:rFonts w:ascii="Times New Roman" w:hAnsi="Times New Roman"/>
                <w:sz w:val="24"/>
              </w:rPr>
            </w:pPr>
            <w:r>
              <w:rPr>
                <w:rFonts w:ascii="Times New Roman" w:hAnsi="Times New Roman"/>
                <w:sz w:val="24"/>
              </w:rPr>
              <w:t>050-060</w:t>
            </w:r>
          </w:p>
        </w:tc>
        <w:tc>
          <w:tcPr>
            <w:tcW w:w="8131" w:type="dxa"/>
          </w:tcPr>
          <w:p w:rsidR="00BD5485" w:rsidRPr="00392FFD" w:rsidRDefault="00BD5485" w:rsidP="00BD5485">
            <w:pPr>
              <w:rPr>
                <w:rFonts w:ascii="Times New Roman" w:hAnsi="Times New Roman"/>
                <w:b/>
                <w:bCs/>
                <w:sz w:val="24"/>
                <w:u w:val="single"/>
              </w:rPr>
            </w:pPr>
            <w:r>
              <w:rPr>
                <w:rFonts w:ascii="Times New Roman" w:hAnsi="Times New Roman"/>
                <w:b/>
                <w:sz w:val="24"/>
                <w:u w:val="single"/>
              </w:rPr>
              <w:t>Expositions de crédit pertinentes — positions de titrisation dans le port</w:t>
            </w:r>
            <w:r>
              <w:rPr>
                <w:rFonts w:ascii="Times New Roman" w:hAnsi="Times New Roman"/>
                <w:b/>
                <w:sz w:val="24"/>
                <w:u w:val="single"/>
              </w:rPr>
              <w:t>e</w:t>
            </w:r>
            <w:r>
              <w:rPr>
                <w:rFonts w:ascii="Times New Roman" w:hAnsi="Times New Roman"/>
                <w:b/>
                <w:sz w:val="24"/>
                <w:u w:val="single"/>
              </w:rPr>
              <w:t>feuille d’intermédiation bancaire</w:t>
            </w:r>
          </w:p>
          <w:p w:rsidR="00BD5485" w:rsidRPr="00392FFD" w:rsidRDefault="00BD5485" w:rsidP="00BD5485">
            <w:pPr>
              <w:rPr>
                <w:rFonts w:ascii="Times New Roman" w:hAnsi="Times New Roman"/>
                <w:b/>
                <w:bCs/>
                <w:sz w:val="24"/>
                <w:u w:val="single"/>
              </w:rPr>
            </w:pPr>
            <w:r>
              <w:rPr>
                <w:rFonts w:ascii="Times New Roman" w:hAnsi="Times New Roman"/>
                <w:sz w:val="24"/>
              </w:rPr>
              <w:t>Expositions de crédit pertinentes définies conformément à l'article 140, par</w:t>
            </w:r>
            <w:r>
              <w:rPr>
                <w:rFonts w:ascii="Times New Roman" w:hAnsi="Times New Roman"/>
                <w:sz w:val="24"/>
              </w:rPr>
              <w:t>a</w:t>
            </w:r>
            <w:r>
              <w:rPr>
                <w:rFonts w:ascii="Times New Roman" w:hAnsi="Times New Roman"/>
                <w:sz w:val="24"/>
              </w:rPr>
              <w:t>graphe 4, point c), de la CRD.</w:t>
            </w:r>
          </w:p>
        </w:tc>
      </w:tr>
      <w:tr w:rsidR="00BD5485" w:rsidRPr="00392FFD" w:rsidTr="00133107">
        <w:tc>
          <w:tcPr>
            <w:tcW w:w="1697" w:type="dxa"/>
          </w:tcPr>
          <w:p w:rsidR="00BD5485" w:rsidRPr="00392FFD" w:rsidRDefault="00BD5485" w:rsidP="00133107">
            <w:pPr>
              <w:rPr>
                <w:rFonts w:ascii="Times New Roman" w:hAnsi="Times New Roman"/>
                <w:sz w:val="24"/>
              </w:rPr>
            </w:pPr>
            <w:r>
              <w:rPr>
                <w:rFonts w:ascii="Times New Roman" w:hAnsi="Times New Roman"/>
                <w:sz w:val="24"/>
              </w:rPr>
              <w:t>050</w:t>
            </w:r>
          </w:p>
        </w:tc>
        <w:tc>
          <w:tcPr>
            <w:tcW w:w="8131" w:type="dxa"/>
          </w:tcPr>
          <w:p w:rsidR="00BD5485" w:rsidRPr="00392FFD" w:rsidRDefault="00BD5485" w:rsidP="00BD5485">
            <w:pPr>
              <w:rPr>
                <w:rFonts w:ascii="Times New Roman" w:hAnsi="Times New Roman"/>
                <w:b/>
                <w:bCs/>
                <w:sz w:val="24"/>
                <w:u w:val="single"/>
              </w:rPr>
            </w:pPr>
            <w:r>
              <w:rPr>
                <w:rFonts w:ascii="Times New Roman" w:hAnsi="Times New Roman"/>
                <w:b/>
                <w:sz w:val="24"/>
                <w:u w:val="single"/>
              </w:rPr>
              <w:t>Valeur exposée au risque des positions de titrisation dans le portefeuille d’intermédiation bancaire selon l’approche standard</w:t>
            </w:r>
          </w:p>
          <w:p w:rsidR="00BD5485" w:rsidRPr="00392FFD" w:rsidRDefault="00BD5485" w:rsidP="00BD5485">
            <w:pPr>
              <w:rPr>
                <w:rFonts w:ascii="Times New Roman" w:hAnsi="Times New Roman"/>
                <w:b/>
                <w:bCs/>
                <w:sz w:val="24"/>
                <w:u w:val="single"/>
              </w:rPr>
            </w:pPr>
            <w:r>
              <w:rPr>
                <w:rFonts w:ascii="Times New Roman" w:hAnsi="Times New Roman"/>
                <w:sz w:val="24"/>
              </w:rPr>
              <w:t>Valeur exposée au risque déterminée conformément à l’article 246 du CRR, pour les expositions de crédit pertinentes définies conformément à l’article 140, par</w:t>
            </w:r>
            <w:r>
              <w:rPr>
                <w:rFonts w:ascii="Times New Roman" w:hAnsi="Times New Roman"/>
                <w:sz w:val="24"/>
              </w:rPr>
              <w:t>a</w:t>
            </w:r>
            <w:r>
              <w:rPr>
                <w:rFonts w:ascii="Times New Roman" w:hAnsi="Times New Roman"/>
                <w:sz w:val="24"/>
              </w:rPr>
              <w:t xml:space="preserve">graphe 4, point c), de la CRD. </w:t>
            </w:r>
          </w:p>
        </w:tc>
      </w:tr>
      <w:tr w:rsidR="00BD5485" w:rsidRPr="00392FFD" w:rsidTr="00133107">
        <w:tc>
          <w:tcPr>
            <w:tcW w:w="1697" w:type="dxa"/>
          </w:tcPr>
          <w:p w:rsidR="00BD5485" w:rsidRPr="00392FFD" w:rsidRDefault="00BD5485" w:rsidP="00133107">
            <w:pPr>
              <w:rPr>
                <w:rFonts w:ascii="Times New Roman" w:hAnsi="Times New Roman"/>
                <w:sz w:val="24"/>
              </w:rPr>
            </w:pPr>
            <w:r>
              <w:rPr>
                <w:rFonts w:ascii="Times New Roman" w:hAnsi="Times New Roman"/>
                <w:sz w:val="24"/>
              </w:rPr>
              <w:lastRenderedPageBreak/>
              <w:t>060</w:t>
            </w:r>
          </w:p>
        </w:tc>
        <w:tc>
          <w:tcPr>
            <w:tcW w:w="8131" w:type="dxa"/>
          </w:tcPr>
          <w:p w:rsidR="00BD5485" w:rsidRPr="00392FFD" w:rsidRDefault="00BD5485" w:rsidP="00BD5485">
            <w:pPr>
              <w:rPr>
                <w:rFonts w:ascii="Times New Roman" w:hAnsi="Times New Roman"/>
                <w:b/>
                <w:bCs/>
                <w:sz w:val="24"/>
                <w:u w:val="single"/>
              </w:rPr>
            </w:pPr>
            <w:r>
              <w:rPr>
                <w:rFonts w:ascii="Times New Roman" w:hAnsi="Times New Roman"/>
                <w:b/>
                <w:sz w:val="24"/>
                <w:u w:val="single"/>
              </w:rPr>
              <w:t>Valeur exposée au risque des positions de titrisation dans le portefeuille d’intermédiation bancaire selon l’approche NI</w:t>
            </w:r>
          </w:p>
          <w:p w:rsidR="00BD5485" w:rsidRPr="00392FFD" w:rsidRDefault="00BD5485" w:rsidP="0009195D">
            <w:pPr>
              <w:autoSpaceDE w:val="0"/>
              <w:autoSpaceDN w:val="0"/>
              <w:adjustRightInd w:val="0"/>
              <w:rPr>
                <w:rFonts w:ascii="Times New Roman" w:hAnsi="Times New Roman"/>
                <w:b/>
                <w:bCs/>
                <w:sz w:val="24"/>
                <w:u w:val="single"/>
              </w:rPr>
            </w:pPr>
            <w:r>
              <w:rPr>
                <w:rFonts w:ascii="Times New Roman" w:hAnsi="Times New Roman"/>
                <w:sz w:val="24"/>
              </w:rPr>
              <w:t>Valeur exposée au risque déterminée conformément à l’article 246 du CRR, pour les expositions de crédit pertinentes définies conformément à l’article 140, par</w:t>
            </w:r>
            <w:r>
              <w:rPr>
                <w:rFonts w:ascii="Times New Roman" w:hAnsi="Times New Roman"/>
                <w:sz w:val="24"/>
              </w:rPr>
              <w:t>a</w:t>
            </w:r>
            <w:r>
              <w:rPr>
                <w:rFonts w:ascii="Times New Roman" w:hAnsi="Times New Roman"/>
                <w:sz w:val="24"/>
              </w:rPr>
              <w:t xml:space="preserve">graphe 4, point c), de la CRD. </w:t>
            </w:r>
          </w:p>
        </w:tc>
      </w:tr>
      <w:tr w:rsidR="00BD5485" w:rsidRPr="00392FFD" w:rsidTr="00133107">
        <w:tc>
          <w:tcPr>
            <w:tcW w:w="1697" w:type="dxa"/>
          </w:tcPr>
          <w:p w:rsidR="00BD5485" w:rsidRPr="00392FFD" w:rsidRDefault="00BD5485" w:rsidP="00133107">
            <w:pPr>
              <w:rPr>
                <w:rFonts w:ascii="Times New Roman" w:hAnsi="Times New Roman"/>
                <w:sz w:val="24"/>
              </w:rPr>
            </w:pPr>
            <w:r>
              <w:rPr>
                <w:rFonts w:ascii="Times New Roman" w:hAnsi="Times New Roman"/>
                <w:sz w:val="24"/>
              </w:rPr>
              <w:t>070-110</w:t>
            </w:r>
          </w:p>
        </w:tc>
        <w:tc>
          <w:tcPr>
            <w:tcW w:w="8131" w:type="dxa"/>
          </w:tcPr>
          <w:p w:rsidR="00BD5485" w:rsidRPr="00392FFD" w:rsidRDefault="00BD5485" w:rsidP="00133107">
            <w:pPr>
              <w:rPr>
                <w:rFonts w:ascii="Times New Roman" w:hAnsi="Times New Roman"/>
                <w:b/>
                <w:bCs/>
                <w:sz w:val="24"/>
                <w:u w:val="single"/>
              </w:rPr>
            </w:pPr>
            <w:r>
              <w:rPr>
                <w:rFonts w:ascii="Times New Roman" w:hAnsi="Times New Roman"/>
                <w:b/>
                <w:sz w:val="24"/>
                <w:u w:val="single"/>
              </w:rPr>
              <w:t>Exigences et pondérations de fonds propres</w:t>
            </w:r>
          </w:p>
        </w:tc>
      </w:tr>
      <w:tr w:rsidR="00BD5485" w:rsidRPr="00392FFD" w:rsidTr="00133107">
        <w:tc>
          <w:tcPr>
            <w:tcW w:w="1697" w:type="dxa"/>
          </w:tcPr>
          <w:p w:rsidR="00BD5485" w:rsidRPr="00392FFD" w:rsidRDefault="00BD5485" w:rsidP="00133107">
            <w:pPr>
              <w:rPr>
                <w:rFonts w:ascii="Times New Roman" w:hAnsi="Times New Roman"/>
                <w:sz w:val="24"/>
              </w:rPr>
            </w:pPr>
            <w:r>
              <w:rPr>
                <w:rFonts w:ascii="Times New Roman" w:hAnsi="Times New Roman"/>
                <w:sz w:val="24"/>
              </w:rPr>
              <w:t>070</w:t>
            </w:r>
          </w:p>
        </w:tc>
        <w:tc>
          <w:tcPr>
            <w:tcW w:w="8131" w:type="dxa"/>
          </w:tcPr>
          <w:p w:rsidR="00BD5485" w:rsidRPr="00392FFD" w:rsidRDefault="00BD5485" w:rsidP="00BD5485">
            <w:pPr>
              <w:rPr>
                <w:rFonts w:ascii="Times New Roman" w:hAnsi="Times New Roman"/>
                <w:b/>
                <w:bCs/>
                <w:sz w:val="24"/>
                <w:u w:val="single"/>
              </w:rPr>
            </w:pPr>
            <w:r>
              <w:rPr>
                <w:rFonts w:ascii="Times New Roman" w:hAnsi="Times New Roman"/>
                <w:b/>
                <w:sz w:val="24"/>
                <w:u w:val="single"/>
              </w:rPr>
              <w:t>Total des exigences de fonds propres pour le CCB</w:t>
            </w:r>
          </w:p>
          <w:p w:rsidR="00BD5485" w:rsidRPr="00392FFD" w:rsidRDefault="00BD5485" w:rsidP="00BD5485">
            <w:pPr>
              <w:rPr>
                <w:rFonts w:ascii="Times New Roman" w:hAnsi="Times New Roman"/>
                <w:b/>
                <w:bCs/>
                <w:sz w:val="24"/>
                <w:u w:val="single"/>
              </w:rPr>
            </w:pPr>
            <w:r>
              <w:rPr>
                <w:rFonts w:ascii="Times New Roman" w:hAnsi="Times New Roman"/>
                <w:sz w:val="24"/>
              </w:rPr>
              <w:t>Somme des lignes 080, 090 et 100.</w:t>
            </w:r>
          </w:p>
        </w:tc>
      </w:tr>
      <w:tr w:rsidR="00BD5485" w:rsidRPr="00392FFD" w:rsidTr="00133107">
        <w:tc>
          <w:tcPr>
            <w:tcW w:w="1697" w:type="dxa"/>
          </w:tcPr>
          <w:p w:rsidR="00BD5485" w:rsidRPr="00392FFD" w:rsidRDefault="00BD5485" w:rsidP="00133107">
            <w:pPr>
              <w:rPr>
                <w:rFonts w:ascii="Times New Roman" w:hAnsi="Times New Roman"/>
                <w:sz w:val="24"/>
              </w:rPr>
            </w:pPr>
            <w:r>
              <w:rPr>
                <w:rFonts w:ascii="Times New Roman" w:hAnsi="Times New Roman"/>
                <w:sz w:val="24"/>
              </w:rPr>
              <w:t>080</w:t>
            </w:r>
          </w:p>
        </w:tc>
        <w:tc>
          <w:tcPr>
            <w:tcW w:w="8131" w:type="dxa"/>
          </w:tcPr>
          <w:p w:rsidR="00BD5485" w:rsidRPr="00392FFD" w:rsidRDefault="00C211DC" w:rsidP="00BD5485">
            <w:pPr>
              <w:rPr>
                <w:rFonts w:ascii="Times New Roman" w:hAnsi="Times New Roman"/>
                <w:b/>
                <w:bCs/>
                <w:sz w:val="24"/>
                <w:u w:val="single"/>
              </w:rPr>
            </w:pPr>
            <w:r>
              <w:rPr>
                <w:rFonts w:ascii="Times New Roman" w:hAnsi="Times New Roman"/>
                <w:b/>
                <w:sz w:val="24"/>
              </w:rPr>
              <w:t>Exigences de fonds propres</w:t>
            </w:r>
            <w:r>
              <w:rPr>
                <w:rFonts w:ascii="Times New Roman" w:hAnsi="Times New Roman"/>
                <w:b/>
                <w:sz w:val="24"/>
                <w:u w:val="single"/>
              </w:rPr>
              <w:t xml:space="preserve"> pour les expositions de crédit pertinentes – risque de crédit </w:t>
            </w:r>
          </w:p>
          <w:p w:rsidR="00BD5485" w:rsidRPr="00392FFD" w:rsidRDefault="00BD5485" w:rsidP="00BD5485">
            <w:pPr>
              <w:autoSpaceDE w:val="0"/>
              <w:autoSpaceDN w:val="0"/>
              <w:adjustRightInd w:val="0"/>
              <w:rPr>
                <w:rFonts w:ascii="Times New Roman" w:hAnsi="Times New Roman"/>
                <w:sz w:val="24"/>
              </w:rPr>
            </w:pPr>
            <w:r>
              <w:rPr>
                <w:rFonts w:ascii="Times New Roman" w:hAnsi="Times New Roman"/>
                <w:sz w:val="24"/>
              </w:rPr>
              <w:t>Les exigences de fonds propres déterminées conformément à la troisième partie, titre II, chapitres 1 à 4 et 6 du CRR pour les expositions de crédit pertinentes, d</w:t>
            </w:r>
            <w:r>
              <w:rPr>
                <w:rFonts w:ascii="Times New Roman" w:hAnsi="Times New Roman"/>
                <w:sz w:val="24"/>
              </w:rPr>
              <w:t>é</w:t>
            </w:r>
            <w:r>
              <w:rPr>
                <w:rFonts w:ascii="Times New Roman" w:hAnsi="Times New Roman"/>
                <w:sz w:val="24"/>
              </w:rPr>
              <w:t xml:space="preserve">finies conformément à l’article 140, paragraphe 4, point a), de la CRD, dans le pays en question. </w:t>
            </w:r>
          </w:p>
          <w:p w:rsidR="00BD5485" w:rsidRPr="00392FFD" w:rsidRDefault="00BD5485" w:rsidP="00BD5485">
            <w:pPr>
              <w:autoSpaceDE w:val="0"/>
              <w:autoSpaceDN w:val="0"/>
              <w:adjustRightInd w:val="0"/>
              <w:rPr>
                <w:rFonts w:ascii="Times New Roman" w:hAnsi="Times New Roman"/>
                <w:sz w:val="24"/>
              </w:rPr>
            </w:pPr>
            <w:r>
              <w:rPr>
                <w:rFonts w:ascii="Times New Roman" w:hAnsi="Times New Roman"/>
                <w:sz w:val="24"/>
              </w:rPr>
              <w:t>Les exigences de fonds propres pour les positions de titrisation dans le port</w:t>
            </w:r>
            <w:r>
              <w:rPr>
                <w:rFonts w:ascii="Times New Roman" w:hAnsi="Times New Roman"/>
                <w:sz w:val="24"/>
              </w:rPr>
              <w:t>e</w:t>
            </w:r>
            <w:r>
              <w:rPr>
                <w:rFonts w:ascii="Times New Roman" w:hAnsi="Times New Roman"/>
                <w:sz w:val="24"/>
              </w:rPr>
              <w:t>feuille d’intermédiation bancaire sont exclues de cette ligne et déclarées à la ligne 100.</w:t>
            </w:r>
          </w:p>
          <w:p w:rsidR="00BD5485" w:rsidRPr="00392FFD" w:rsidRDefault="00BD5485" w:rsidP="00BD5485">
            <w:pPr>
              <w:rPr>
                <w:rFonts w:ascii="Times New Roman" w:hAnsi="Times New Roman"/>
                <w:b/>
                <w:bCs/>
                <w:sz w:val="24"/>
                <w:u w:val="single"/>
              </w:rPr>
            </w:pPr>
            <w:r>
              <w:rPr>
                <w:rFonts w:ascii="Times New Roman" w:hAnsi="Times New Roman"/>
                <w:sz w:val="24"/>
              </w:rPr>
              <w:t>Les exigences de fonds propres sont de 8 % du montant d’exposition pondéré d</w:t>
            </w:r>
            <w:r>
              <w:rPr>
                <w:rFonts w:ascii="Times New Roman" w:hAnsi="Times New Roman"/>
                <w:sz w:val="24"/>
              </w:rPr>
              <w:t>é</w:t>
            </w:r>
            <w:r>
              <w:rPr>
                <w:rFonts w:ascii="Times New Roman" w:hAnsi="Times New Roman"/>
                <w:sz w:val="24"/>
              </w:rPr>
              <w:t>terminé conformément aux dispositions de la troisième partie, titre II, chapitres 1 à 4 et chapitre 6 du CRR.</w:t>
            </w:r>
          </w:p>
        </w:tc>
      </w:tr>
      <w:tr w:rsidR="00BD5485" w:rsidRPr="00392FFD" w:rsidTr="00133107">
        <w:tc>
          <w:tcPr>
            <w:tcW w:w="1697" w:type="dxa"/>
          </w:tcPr>
          <w:p w:rsidR="00BD5485" w:rsidRPr="00392FFD" w:rsidRDefault="00BD5485" w:rsidP="00133107">
            <w:pPr>
              <w:rPr>
                <w:rFonts w:ascii="Times New Roman" w:hAnsi="Times New Roman"/>
                <w:sz w:val="24"/>
              </w:rPr>
            </w:pPr>
            <w:r>
              <w:rPr>
                <w:rFonts w:ascii="Times New Roman" w:hAnsi="Times New Roman"/>
                <w:sz w:val="24"/>
              </w:rPr>
              <w:t>090</w:t>
            </w:r>
          </w:p>
        </w:tc>
        <w:tc>
          <w:tcPr>
            <w:tcW w:w="8131" w:type="dxa"/>
          </w:tcPr>
          <w:p w:rsidR="00BD5485" w:rsidRPr="00392FFD" w:rsidRDefault="00C211DC" w:rsidP="00BD5485">
            <w:pPr>
              <w:rPr>
                <w:rFonts w:ascii="Times New Roman" w:hAnsi="Times New Roman"/>
                <w:b/>
                <w:bCs/>
                <w:sz w:val="24"/>
                <w:u w:val="single"/>
              </w:rPr>
            </w:pPr>
            <w:r>
              <w:rPr>
                <w:rFonts w:ascii="Times New Roman" w:hAnsi="Times New Roman"/>
                <w:b/>
                <w:sz w:val="24"/>
              </w:rPr>
              <w:t>Exigences de fonds propres</w:t>
            </w:r>
            <w:r>
              <w:rPr>
                <w:rFonts w:ascii="Times New Roman" w:hAnsi="Times New Roman"/>
                <w:b/>
                <w:sz w:val="24"/>
                <w:u w:val="single"/>
              </w:rPr>
              <w:t xml:space="preserve"> pour les expositions de crédit pertinentes — risque de marché </w:t>
            </w:r>
          </w:p>
          <w:p w:rsidR="00BD5485" w:rsidRPr="00392FFD" w:rsidRDefault="00BD5485" w:rsidP="00BD5485">
            <w:pPr>
              <w:autoSpaceDE w:val="0"/>
              <w:autoSpaceDN w:val="0"/>
              <w:adjustRightInd w:val="0"/>
              <w:rPr>
                <w:rFonts w:ascii="Times New Roman" w:hAnsi="Times New Roman"/>
                <w:sz w:val="24"/>
              </w:rPr>
            </w:pPr>
            <w:r>
              <w:rPr>
                <w:rFonts w:ascii="Times New Roman" w:hAnsi="Times New Roman"/>
                <w:sz w:val="24"/>
              </w:rPr>
              <w:t>Les exigences de fonds propres déterminées conformément à la troisième partie, titre IV, chapitre 2 du CRR pour les risques spécifiques ou conformément à la troisième partie, titre IV, chapitre 5 du CRR pour les risques supplémentaires de défaut et de migration pour les expositions de crédit pertinentes, définies confo</w:t>
            </w:r>
            <w:r>
              <w:rPr>
                <w:rFonts w:ascii="Times New Roman" w:hAnsi="Times New Roman"/>
                <w:sz w:val="24"/>
              </w:rPr>
              <w:t>r</w:t>
            </w:r>
            <w:r>
              <w:rPr>
                <w:rFonts w:ascii="Times New Roman" w:hAnsi="Times New Roman"/>
                <w:sz w:val="24"/>
              </w:rPr>
              <w:t>mément à l’article 140, paragraphe 4, point b), de la CRD, dans le pays en que</w:t>
            </w:r>
            <w:r>
              <w:rPr>
                <w:rFonts w:ascii="Times New Roman" w:hAnsi="Times New Roman"/>
                <w:sz w:val="24"/>
              </w:rPr>
              <w:t>s</w:t>
            </w:r>
            <w:r>
              <w:rPr>
                <w:rFonts w:ascii="Times New Roman" w:hAnsi="Times New Roman"/>
                <w:sz w:val="24"/>
              </w:rPr>
              <w:t xml:space="preserve">tion. </w:t>
            </w:r>
          </w:p>
          <w:p w:rsidR="00BD5485" w:rsidRPr="00392FFD" w:rsidRDefault="00BD5485" w:rsidP="0009195D">
            <w:pPr>
              <w:autoSpaceDE w:val="0"/>
              <w:autoSpaceDN w:val="0"/>
              <w:adjustRightInd w:val="0"/>
              <w:rPr>
                <w:rFonts w:ascii="Times New Roman" w:hAnsi="Times New Roman"/>
                <w:b/>
                <w:bCs/>
                <w:sz w:val="24"/>
                <w:u w:val="single"/>
              </w:rPr>
            </w:pPr>
            <w:r>
              <w:rPr>
                <w:rFonts w:ascii="Times New Roman" w:hAnsi="Times New Roman"/>
                <w:sz w:val="24"/>
              </w:rPr>
              <w:t>Les exigences de fonds propres pour les expositions de crédit pertinentes eu égard au risque de marché sont notamment les exigences de fonds propres pour les pos</w:t>
            </w:r>
            <w:r>
              <w:rPr>
                <w:rFonts w:ascii="Times New Roman" w:hAnsi="Times New Roman"/>
                <w:sz w:val="24"/>
              </w:rPr>
              <w:t>i</w:t>
            </w:r>
            <w:r>
              <w:rPr>
                <w:rFonts w:ascii="Times New Roman" w:hAnsi="Times New Roman"/>
                <w:sz w:val="24"/>
              </w:rPr>
              <w:t>tions de titrisation prévues à la troisième partie, titre IV, chapitre 2 du CRR et les exigences de fonds propres pour les expositions sur des organismes de placement collectif déterminées conformément à l’article 348 du CRR.</w:t>
            </w:r>
          </w:p>
        </w:tc>
      </w:tr>
      <w:tr w:rsidR="00BD5485" w:rsidRPr="00392FFD" w:rsidTr="00133107">
        <w:tc>
          <w:tcPr>
            <w:tcW w:w="1697" w:type="dxa"/>
          </w:tcPr>
          <w:p w:rsidR="00BD5485" w:rsidRPr="00392FFD" w:rsidRDefault="00BD5485" w:rsidP="00133107">
            <w:pPr>
              <w:rPr>
                <w:rFonts w:ascii="Times New Roman" w:hAnsi="Times New Roman"/>
                <w:sz w:val="24"/>
              </w:rPr>
            </w:pPr>
            <w:r>
              <w:rPr>
                <w:rFonts w:ascii="Times New Roman" w:hAnsi="Times New Roman"/>
                <w:sz w:val="24"/>
              </w:rPr>
              <w:t>100</w:t>
            </w:r>
          </w:p>
        </w:tc>
        <w:tc>
          <w:tcPr>
            <w:tcW w:w="8131" w:type="dxa"/>
          </w:tcPr>
          <w:p w:rsidR="00BD5485" w:rsidRPr="00392FFD" w:rsidRDefault="00C211DC" w:rsidP="00BD5485">
            <w:pPr>
              <w:rPr>
                <w:rFonts w:ascii="Times New Roman" w:hAnsi="Times New Roman"/>
                <w:b/>
                <w:bCs/>
                <w:sz w:val="24"/>
                <w:u w:val="single"/>
              </w:rPr>
            </w:pPr>
            <w:r>
              <w:rPr>
                <w:rFonts w:ascii="Times New Roman" w:hAnsi="Times New Roman"/>
                <w:b/>
                <w:sz w:val="24"/>
              </w:rPr>
              <w:t>Exigences de fonds propres</w:t>
            </w:r>
            <w:r>
              <w:rPr>
                <w:rFonts w:ascii="Times New Roman" w:hAnsi="Times New Roman"/>
                <w:b/>
                <w:sz w:val="24"/>
                <w:u w:val="single"/>
              </w:rPr>
              <w:t xml:space="preserve"> pour les expositions de crédit pertinentes — pos</w:t>
            </w:r>
            <w:r>
              <w:rPr>
                <w:rFonts w:ascii="Times New Roman" w:hAnsi="Times New Roman"/>
                <w:b/>
                <w:sz w:val="24"/>
                <w:u w:val="single"/>
              </w:rPr>
              <w:t>i</w:t>
            </w:r>
            <w:r>
              <w:rPr>
                <w:rFonts w:ascii="Times New Roman" w:hAnsi="Times New Roman"/>
                <w:b/>
                <w:sz w:val="24"/>
                <w:u w:val="single"/>
              </w:rPr>
              <w:t>tions de titrisation dans le portefeuille d'intermédiation bancaire</w:t>
            </w:r>
          </w:p>
          <w:p w:rsidR="00BD5485" w:rsidRPr="00392FFD" w:rsidRDefault="00BD5485" w:rsidP="00BD5485">
            <w:pPr>
              <w:autoSpaceDE w:val="0"/>
              <w:autoSpaceDN w:val="0"/>
              <w:adjustRightInd w:val="0"/>
              <w:rPr>
                <w:rFonts w:ascii="Times New Roman" w:hAnsi="Times New Roman"/>
                <w:sz w:val="24"/>
              </w:rPr>
            </w:pPr>
            <w:r>
              <w:rPr>
                <w:rFonts w:ascii="Times New Roman" w:hAnsi="Times New Roman"/>
                <w:sz w:val="24"/>
              </w:rPr>
              <w:t>Les exigences de fonds propres déterminées conformément à la troisième partie, titre II, chapitre 5 du CRR pour les expositions de crédit pertinentes, définies co</w:t>
            </w:r>
            <w:r>
              <w:rPr>
                <w:rFonts w:ascii="Times New Roman" w:hAnsi="Times New Roman"/>
                <w:sz w:val="24"/>
              </w:rPr>
              <w:t>n</w:t>
            </w:r>
            <w:r>
              <w:rPr>
                <w:rFonts w:ascii="Times New Roman" w:hAnsi="Times New Roman"/>
                <w:sz w:val="24"/>
              </w:rPr>
              <w:t>formément à l’article 140, paragraphe 4, point c), de la CRD dans le pays en que</w:t>
            </w:r>
            <w:r>
              <w:rPr>
                <w:rFonts w:ascii="Times New Roman" w:hAnsi="Times New Roman"/>
                <w:sz w:val="24"/>
              </w:rPr>
              <w:t>s</w:t>
            </w:r>
            <w:r>
              <w:rPr>
                <w:rFonts w:ascii="Times New Roman" w:hAnsi="Times New Roman"/>
                <w:sz w:val="24"/>
              </w:rPr>
              <w:t>tion.</w:t>
            </w:r>
          </w:p>
          <w:p w:rsidR="00BD5485" w:rsidRPr="00392FFD" w:rsidRDefault="00BD5485" w:rsidP="00BD5485">
            <w:pPr>
              <w:rPr>
                <w:rFonts w:ascii="Times New Roman" w:hAnsi="Times New Roman"/>
                <w:b/>
                <w:bCs/>
                <w:sz w:val="24"/>
                <w:u w:val="single"/>
              </w:rPr>
            </w:pPr>
            <w:r>
              <w:rPr>
                <w:rFonts w:ascii="Times New Roman" w:hAnsi="Times New Roman"/>
                <w:sz w:val="24"/>
              </w:rPr>
              <w:t>Les exigences de fonds propres sont de 8 % du montant d’exposition pondéré d</w:t>
            </w:r>
            <w:r>
              <w:rPr>
                <w:rFonts w:ascii="Times New Roman" w:hAnsi="Times New Roman"/>
                <w:sz w:val="24"/>
              </w:rPr>
              <w:t>é</w:t>
            </w:r>
            <w:r>
              <w:rPr>
                <w:rFonts w:ascii="Times New Roman" w:hAnsi="Times New Roman"/>
                <w:sz w:val="24"/>
              </w:rPr>
              <w:t xml:space="preserve">terminé conformément aux dispositions de la troisième partie, titre II, chapitre 5 </w:t>
            </w:r>
            <w:r>
              <w:rPr>
                <w:rFonts w:ascii="Times New Roman" w:hAnsi="Times New Roman"/>
                <w:sz w:val="24"/>
              </w:rPr>
              <w:lastRenderedPageBreak/>
              <w:t>du CRR.</w:t>
            </w:r>
          </w:p>
        </w:tc>
      </w:tr>
      <w:tr w:rsidR="00BD5485" w:rsidRPr="00392FFD" w:rsidTr="00133107">
        <w:tc>
          <w:tcPr>
            <w:tcW w:w="1697" w:type="dxa"/>
          </w:tcPr>
          <w:p w:rsidR="00BD5485" w:rsidRPr="00392FFD" w:rsidRDefault="00BD5485" w:rsidP="00133107">
            <w:pPr>
              <w:rPr>
                <w:rFonts w:ascii="Times New Roman" w:hAnsi="Times New Roman"/>
                <w:sz w:val="24"/>
              </w:rPr>
            </w:pPr>
            <w:r>
              <w:rPr>
                <w:rFonts w:ascii="Times New Roman" w:hAnsi="Times New Roman"/>
                <w:sz w:val="24"/>
              </w:rPr>
              <w:lastRenderedPageBreak/>
              <w:t>110</w:t>
            </w:r>
          </w:p>
        </w:tc>
        <w:tc>
          <w:tcPr>
            <w:tcW w:w="8131" w:type="dxa"/>
          </w:tcPr>
          <w:p w:rsidR="00966663" w:rsidRPr="00392FFD" w:rsidRDefault="00966663" w:rsidP="00966663">
            <w:pPr>
              <w:rPr>
                <w:rFonts w:ascii="Times New Roman" w:hAnsi="Times New Roman"/>
                <w:b/>
                <w:bCs/>
                <w:sz w:val="24"/>
                <w:u w:val="single"/>
              </w:rPr>
            </w:pPr>
            <w:r>
              <w:rPr>
                <w:rFonts w:ascii="Times New Roman" w:hAnsi="Times New Roman"/>
                <w:b/>
                <w:sz w:val="24"/>
                <w:u w:val="single"/>
              </w:rPr>
              <w:t>Pondérations des exigences de fonds propres</w:t>
            </w:r>
          </w:p>
          <w:p w:rsidR="00966663" w:rsidRPr="00392FFD" w:rsidRDefault="00966663" w:rsidP="00966663">
            <w:pPr>
              <w:rPr>
                <w:rFonts w:ascii="Times New Roman" w:hAnsi="Times New Roman"/>
                <w:sz w:val="24"/>
              </w:rPr>
            </w:pPr>
            <w:r>
              <w:rPr>
                <w:rFonts w:ascii="Times New Roman" w:hAnsi="Times New Roman"/>
                <w:sz w:val="24"/>
              </w:rPr>
              <w:t>La pondération appliquée au taux de coussin contracyclique dans chaque pays correspond à un ratio des exigences de fonds propres déterminé comme suit:</w:t>
            </w:r>
          </w:p>
          <w:p w:rsidR="00966663" w:rsidRPr="00392FFD" w:rsidRDefault="00966663" w:rsidP="00966663">
            <w:pPr>
              <w:rPr>
                <w:rFonts w:ascii="Times New Roman" w:hAnsi="Times New Roman"/>
                <w:sz w:val="24"/>
              </w:rPr>
            </w:pPr>
            <w:r>
              <w:rPr>
                <w:rFonts w:ascii="Times New Roman" w:hAnsi="Times New Roman"/>
                <w:sz w:val="24"/>
              </w:rPr>
              <w:t>1.</w:t>
            </w:r>
            <w:r>
              <w:tab/>
            </w:r>
            <w:r>
              <w:rPr>
                <w:rFonts w:ascii="Times New Roman" w:hAnsi="Times New Roman"/>
                <w:sz w:val="24"/>
              </w:rPr>
              <w:t>Numérateur: le montant total des exigences de fonds propres correspo</w:t>
            </w:r>
            <w:r>
              <w:rPr>
                <w:rFonts w:ascii="Times New Roman" w:hAnsi="Times New Roman"/>
                <w:sz w:val="24"/>
              </w:rPr>
              <w:t>n</w:t>
            </w:r>
            <w:r>
              <w:rPr>
                <w:rFonts w:ascii="Times New Roman" w:hAnsi="Times New Roman"/>
                <w:sz w:val="24"/>
              </w:rPr>
              <w:t xml:space="preserve">dant aux expositions de crédit pertinentes dans le pays en question [r070; c10 feuille pays ], </w:t>
            </w:r>
          </w:p>
          <w:p w:rsidR="00BD5485" w:rsidRPr="00392FFD" w:rsidRDefault="00966663" w:rsidP="00CF5466">
            <w:pPr>
              <w:rPr>
                <w:rFonts w:ascii="Times New Roman" w:hAnsi="Times New Roman"/>
                <w:b/>
                <w:bCs/>
                <w:sz w:val="24"/>
                <w:u w:val="single"/>
              </w:rPr>
            </w:pPr>
            <w:r>
              <w:rPr>
                <w:rFonts w:ascii="Times New Roman" w:hAnsi="Times New Roman"/>
                <w:sz w:val="24"/>
              </w:rPr>
              <w:t>2.</w:t>
            </w:r>
            <w:r>
              <w:tab/>
            </w:r>
            <w:r>
              <w:rPr>
                <w:rFonts w:ascii="Times New Roman" w:hAnsi="Times New Roman"/>
                <w:sz w:val="24"/>
              </w:rPr>
              <w:t>Dénominateur: le montant total des exigences de fonds propres qui se ra</w:t>
            </w:r>
            <w:r>
              <w:rPr>
                <w:rFonts w:ascii="Times New Roman" w:hAnsi="Times New Roman"/>
                <w:sz w:val="24"/>
              </w:rPr>
              <w:t>p</w:t>
            </w:r>
            <w:r>
              <w:rPr>
                <w:rFonts w:ascii="Times New Roman" w:hAnsi="Times New Roman"/>
                <w:sz w:val="24"/>
              </w:rPr>
              <w:t>portent à l’ensemble des expositions de crédit pertinentes pour le calcul du cou</w:t>
            </w:r>
            <w:r>
              <w:rPr>
                <w:rFonts w:ascii="Times New Roman" w:hAnsi="Times New Roman"/>
                <w:sz w:val="24"/>
              </w:rPr>
              <w:t>s</w:t>
            </w:r>
            <w:r>
              <w:rPr>
                <w:rFonts w:ascii="Times New Roman" w:hAnsi="Times New Roman"/>
                <w:sz w:val="24"/>
              </w:rPr>
              <w:t>sin contracyclique conformément à l’article 140, paragraphe 4, de la CRD [r070; c010; «Total»].</w:t>
            </w:r>
          </w:p>
          <w:p w:rsidR="003B00F4" w:rsidRPr="00392FFD" w:rsidRDefault="003B00F4" w:rsidP="003B00F4">
            <w:pPr>
              <w:rPr>
                <w:rFonts w:ascii="Times New Roman" w:hAnsi="Times New Roman"/>
                <w:b/>
                <w:bCs/>
                <w:sz w:val="24"/>
                <w:u w:val="single"/>
              </w:rPr>
            </w:pPr>
            <w:r>
              <w:rPr>
                <w:rFonts w:ascii="Times New Roman" w:hAnsi="Times New Roman"/>
                <w:sz w:val="24"/>
              </w:rPr>
              <w:t>Aucune information n’est à déclarer concernant les pondérations des exigences de fonds propres pour le «Total» de tous les pays.</w:t>
            </w:r>
          </w:p>
        </w:tc>
      </w:tr>
      <w:tr w:rsidR="00966663" w:rsidRPr="00392FFD" w:rsidTr="00133107">
        <w:tc>
          <w:tcPr>
            <w:tcW w:w="1697" w:type="dxa"/>
          </w:tcPr>
          <w:p w:rsidR="00966663" w:rsidRPr="00392FFD" w:rsidRDefault="00966663" w:rsidP="00133107">
            <w:pPr>
              <w:rPr>
                <w:rFonts w:ascii="Times New Roman" w:hAnsi="Times New Roman"/>
                <w:sz w:val="24"/>
              </w:rPr>
            </w:pPr>
            <w:r>
              <w:rPr>
                <w:rFonts w:ascii="Times New Roman" w:hAnsi="Times New Roman"/>
                <w:sz w:val="24"/>
              </w:rPr>
              <w:t>120-140</w:t>
            </w:r>
          </w:p>
        </w:tc>
        <w:tc>
          <w:tcPr>
            <w:tcW w:w="8131" w:type="dxa"/>
          </w:tcPr>
          <w:p w:rsidR="00966663" w:rsidRPr="00392FFD" w:rsidRDefault="00966663" w:rsidP="00133107">
            <w:pPr>
              <w:rPr>
                <w:rFonts w:ascii="Times New Roman" w:hAnsi="Times New Roman"/>
                <w:b/>
                <w:bCs/>
                <w:sz w:val="24"/>
                <w:u w:val="single"/>
              </w:rPr>
            </w:pPr>
            <w:r>
              <w:rPr>
                <w:rFonts w:ascii="Times New Roman" w:hAnsi="Times New Roman"/>
                <w:b/>
                <w:sz w:val="24"/>
                <w:u w:val="single"/>
              </w:rPr>
              <w:t>Taux de coussin de fonds propres contracyclique</w:t>
            </w:r>
          </w:p>
        </w:tc>
      </w:tr>
      <w:tr w:rsidR="00966663" w:rsidRPr="00392FFD" w:rsidTr="00133107">
        <w:tc>
          <w:tcPr>
            <w:tcW w:w="1697" w:type="dxa"/>
          </w:tcPr>
          <w:p w:rsidR="00966663" w:rsidRPr="00392FFD" w:rsidRDefault="00966663" w:rsidP="00133107">
            <w:pPr>
              <w:rPr>
                <w:rFonts w:ascii="Times New Roman" w:hAnsi="Times New Roman"/>
                <w:sz w:val="24"/>
              </w:rPr>
            </w:pPr>
            <w:r>
              <w:rPr>
                <w:rFonts w:ascii="Times New Roman" w:hAnsi="Times New Roman"/>
                <w:sz w:val="24"/>
              </w:rPr>
              <w:t>120</w:t>
            </w:r>
          </w:p>
        </w:tc>
        <w:tc>
          <w:tcPr>
            <w:tcW w:w="8131" w:type="dxa"/>
          </w:tcPr>
          <w:p w:rsidR="00966663" w:rsidRPr="00392FFD" w:rsidRDefault="00966663" w:rsidP="00133107">
            <w:pPr>
              <w:rPr>
                <w:rFonts w:ascii="Times New Roman" w:hAnsi="Times New Roman"/>
                <w:b/>
                <w:bCs/>
                <w:sz w:val="24"/>
                <w:u w:val="single"/>
              </w:rPr>
            </w:pPr>
            <w:r>
              <w:rPr>
                <w:rFonts w:ascii="Times New Roman" w:hAnsi="Times New Roman"/>
                <w:b/>
                <w:sz w:val="24"/>
                <w:u w:val="single"/>
              </w:rPr>
              <w:t>Taux de coussin de fonds propres contracyclique fixé par l’autorité désignée</w:t>
            </w:r>
          </w:p>
          <w:p w:rsidR="00966663" w:rsidRPr="00392FFD" w:rsidRDefault="00966663" w:rsidP="00133107">
            <w:pPr>
              <w:autoSpaceDE w:val="0"/>
              <w:autoSpaceDN w:val="0"/>
              <w:adjustRightInd w:val="0"/>
              <w:rPr>
                <w:rFonts w:ascii="Times New Roman" w:hAnsi="Times New Roman"/>
                <w:sz w:val="24"/>
              </w:rPr>
            </w:pPr>
            <w:r>
              <w:rPr>
                <w:rFonts w:ascii="Times New Roman" w:hAnsi="Times New Roman"/>
                <w:sz w:val="24"/>
              </w:rPr>
              <w:t>Le taux de coussin de fonds propres contracyclique fixé pour le pays en question par l’autorité désignée de ce pays conformément aux articles 136, 137, 138 et 139 de la CRD.</w:t>
            </w:r>
          </w:p>
          <w:p w:rsidR="00C4425F" w:rsidRPr="00392FFD" w:rsidRDefault="00966663" w:rsidP="00133107">
            <w:pPr>
              <w:autoSpaceDE w:val="0"/>
              <w:autoSpaceDN w:val="0"/>
              <w:adjustRightInd w:val="0"/>
              <w:rPr>
                <w:rFonts w:ascii="Times New Roman" w:hAnsi="Times New Roman"/>
                <w:sz w:val="24"/>
              </w:rPr>
            </w:pPr>
            <w:r>
              <w:rPr>
                <w:rFonts w:ascii="Times New Roman" w:hAnsi="Times New Roman"/>
                <w:sz w:val="24"/>
              </w:rPr>
              <w:t>Cette ligne doit rester vide lorsque aucun taux de coussin contracyclique n’a été fixé pour le pays en question par l’autorité désignée de ce pays.</w:t>
            </w:r>
          </w:p>
          <w:p w:rsidR="00C4425F" w:rsidRPr="00392FFD" w:rsidRDefault="00966663" w:rsidP="00133107">
            <w:pPr>
              <w:autoSpaceDE w:val="0"/>
              <w:autoSpaceDN w:val="0"/>
              <w:adjustRightInd w:val="0"/>
              <w:rPr>
                <w:rFonts w:ascii="Times New Roman" w:hAnsi="Times New Roman"/>
                <w:sz w:val="24"/>
              </w:rPr>
            </w:pPr>
            <w:r>
              <w:rPr>
                <w:rFonts w:ascii="Times New Roman" w:hAnsi="Times New Roman"/>
                <w:sz w:val="24"/>
              </w:rPr>
              <w:t>Ne pas déclarer non plus les taux de coussin de fonds propres contracyclique qui ont été fixés par l’autorité désignée, mais qui ne sont pas encore applicable dans le pays en question à la date de référence pour la déclaration.</w:t>
            </w:r>
          </w:p>
          <w:p w:rsidR="00966663" w:rsidRPr="00392FFD" w:rsidRDefault="00966663" w:rsidP="000E6835">
            <w:pPr>
              <w:rPr>
                <w:rFonts w:ascii="Times New Roman" w:hAnsi="Times New Roman"/>
                <w:b/>
                <w:bCs/>
                <w:sz w:val="24"/>
                <w:u w:val="single"/>
              </w:rPr>
            </w:pPr>
            <w:r>
              <w:rPr>
                <w:rFonts w:ascii="Times New Roman" w:hAnsi="Times New Roman"/>
                <w:sz w:val="24"/>
              </w:rPr>
              <w:t xml:space="preserve">Aucune information concernant le taux de coussin contracyclique fixé par l’autorité désignée n’est à déclarer pour le «Total» de tous les pays. </w:t>
            </w:r>
          </w:p>
        </w:tc>
      </w:tr>
      <w:tr w:rsidR="00966663" w:rsidRPr="00392FFD" w:rsidTr="00133107">
        <w:tc>
          <w:tcPr>
            <w:tcW w:w="1697" w:type="dxa"/>
          </w:tcPr>
          <w:p w:rsidR="00966663" w:rsidRPr="00392FFD" w:rsidRDefault="00966663" w:rsidP="00133107">
            <w:pPr>
              <w:rPr>
                <w:rFonts w:ascii="Times New Roman" w:hAnsi="Times New Roman"/>
                <w:sz w:val="24"/>
              </w:rPr>
            </w:pPr>
            <w:r>
              <w:rPr>
                <w:rFonts w:ascii="Times New Roman" w:hAnsi="Times New Roman"/>
                <w:sz w:val="24"/>
              </w:rPr>
              <w:t>130</w:t>
            </w:r>
          </w:p>
        </w:tc>
        <w:tc>
          <w:tcPr>
            <w:tcW w:w="8131" w:type="dxa"/>
          </w:tcPr>
          <w:p w:rsidR="00966663" w:rsidRPr="00392FFD" w:rsidRDefault="00966663" w:rsidP="00133107">
            <w:pPr>
              <w:rPr>
                <w:rFonts w:ascii="Times New Roman" w:hAnsi="Times New Roman"/>
                <w:b/>
                <w:bCs/>
                <w:sz w:val="24"/>
                <w:u w:val="single"/>
              </w:rPr>
            </w:pPr>
            <w:r>
              <w:rPr>
                <w:rFonts w:ascii="Times New Roman" w:hAnsi="Times New Roman"/>
                <w:b/>
                <w:sz w:val="24"/>
                <w:u w:val="single"/>
              </w:rPr>
              <w:t>Taux de coussin de fonds propres contracyclique applicable dans le pays de l’établissement</w:t>
            </w:r>
          </w:p>
          <w:p w:rsidR="00C4425F" w:rsidRPr="00392FFD" w:rsidRDefault="00966663" w:rsidP="00133107">
            <w:pPr>
              <w:autoSpaceDE w:val="0"/>
              <w:autoSpaceDN w:val="0"/>
              <w:adjustRightInd w:val="0"/>
              <w:rPr>
                <w:rFonts w:ascii="Times New Roman" w:hAnsi="Times New Roman"/>
                <w:sz w:val="24"/>
              </w:rPr>
            </w:pPr>
            <w:r>
              <w:rPr>
                <w:rFonts w:ascii="Times New Roman" w:hAnsi="Times New Roman"/>
                <w:sz w:val="24"/>
              </w:rPr>
              <w:t>Le taux de coussin de fonds propres contracyclique applicable pour le pays en question, fixé par l’autorité désignée du pays de résidence de l’établissement, co</w:t>
            </w:r>
            <w:r>
              <w:rPr>
                <w:rFonts w:ascii="Times New Roman" w:hAnsi="Times New Roman"/>
                <w:sz w:val="24"/>
              </w:rPr>
              <w:t>n</w:t>
            </w:r>
            <w:r>
              <w:rPr>
                <w:rFonts w:ascii="Times New Roman" w:hAnsi="Times New Roman"/>
                <w:sz w:val="24"/>
              </w:rPr>
              <w:t>formément aux articles 137, 138 et 139 et à l’article 140, paragraphes 1, 2 et 3, de la CRD. Ne pas déclarer les taux de coussin de fonds propres contracyclique qui ne sont pas encore applicables à la date de référence pour la déclaration.</w:t>
            </w:r>
          </w:p>
          <w:p w:rsidR="00966663" w:rsidRPr="00392FFD" w:rsidRDefault="00966663" w:rsidP="00133107">
            <w:pPr>
              <w:rPr>
                <w:rFonts w:ascii="Times New Roman" w:hAnsi="Times New Roman"/>
                <w:b/>
                <w:bCs/>
                <w:sz w:val="24"/>
                <w:u w:val="single"/>
              </w:rPr>
            </w:pPr>
            <w:r>
              <w:rPr>
                <w:rFonts w:ascii="Times New Roman" w:hAnsi="Times New Roman"/>
                <w:sz w:val="24"/>
              </w:rPr>
              <w:t>Aucune information concernant le taux de coussin contracyclique applicable dans le pays de l’établissement n’est à déclarer pour le «Total» de tous les pays.</w:t>
            </w:r>
          </w:p>
        </w:tc>
      </w:tr>
      <w:tr w:rsidR="00966663" w:rsidRPr="00392FFD" w:rsidTr="00133107">
        <w:tc>
          <w:tcPr>
            <w:tcW w:w="1697" w:type="dxa"/>
          </w:tcPr>
          <w:p w:rsidR="00966663" w:rsidRPr="00392FFD" w:rsidRDefault="00966663" w:rsidP="00133107">
            <w:pPr>
              <w:rPr>
                <w:rFonts w:ascii="Times New Roman" w:hAnsi="Times New Roman"/>
                <w:sz w:val="24"/>
              </w:rPr>
            </w:pPr>
            <w:r>
              <w:rPr>
                <w:rFonts w:ascii="Times New Roman" w:hAnsi="Times New Roman"/>
                <w:sz w:val="24"/>
              </w:rPr>
              <w:t>140</w:t>
            </w:r>
          </w:p>
        </w:tc>
        <w:tc>
          <w:tcPr>
            <w:tcW w:w="8131" w:type="dxa"/>
          </w:tcPr>
          <w:p w:rsidR="00966663" w:rsidRPr="00392FFD" w:rsidRDefault="00966663" w:rsidP="00133107">
            <w:pPr>
              <w:rPr>
                <w:rFonts w:ascii="Times New Roman" w:hAnsi="Times New Roman"/>
                <w:b/>
                <w:bCs/>
                <w:sz w:val="24"/>
                <w:u w:val="single"/>
              </w:rPr>
            </w:pPr>
            <w:r>
              <w:rPr>
                <w:rFonts w:ascii="Times New Roman" w:hAnsi="Times New Roman"/>
                <w:b/>
                <w:sz w:val="24"/>
                <w:u w:val="single"/>
              </w:rPr>
              <w:t xml:space="preserve">Taux de coussin de fonds propres contracyclique spécifique à l’établissement </w:t>
            </w:r>
          </w:p>
          <w:p w:rsidR="00C4425F" w:rsidRPr="00392FFD" w:rsidRDefault="00966663" w:rsidP="00133107">
            <w:pPr>
              <w:autoSpaceDE w:val="0"/>
              <w:autoSpaceDN w:val="0"/>
              <w:adjustRightInd w:val="0"/>
              <w:rPr>
                <w:rFonts w:ascii="Times New Roman" w:hAnsi="Times New Roman"/>
                <w:sz w:val="24"/>
              </w:rPr>
            </w:pPr>
            <w:r>
              <w:rPr>
                <w:rFonts w:ascii="Times New Roman" w:hAnsi="Times New Roman"/>
                <w:sz w:val="24"/>
              </w:rPr>
              <w:t xml:space="preserve">Le taux de coussin de fonds propres contracyclique spécifique à l’établissement, déterminé conformément à l’article 140, paragraphe 1, de la CRD. </w:t>
            </w:r>
          </w:p>
          <w:p w:rsidR="00C4425F" w:rsidRPr="00392FFD" w:rsidRDefault="00966663" w:rsidP="00133107">
            <w:pPr>
              <w:autoSpaceDE w:val="0"/>
              <w:autoSpaceDN w:val="0"/>
              <w:adjustRightInd w:val="0"/>
              <w:rPr>
                <w:rFonts w:ascii="Times New Roman" w:hAnsi="Times New Roman"/>
                <w:sz w:val="24"/>
              </w:rPr>
            </w:pPr>
            <w:r>
              <w:rPr>
                <w:rFonts w:ascii="Times New Roman" w:hAnsi="Times New Roman"/>
                <w:sz w:val="24"/>
              </w:rPr>
              <w:t>Le taux de coussin de fonds propres contracyclique spécifique à l'établissement est égal à la moyenne pondérée des taux de coussin contracyclique qui s'appl</w:t>
            </w:r>
            <w:r>
              <w:rPr>
                <w:rFonts w:ascii="Times New Roman" w:hAnsi="Times New Roman"/>
                <w:sz w:val="24"/>
              </w:rPr>
              <w:t>i</w:t>
            </w:r>
            <w:r>
              <w:rPr>
                <w:rFonts w:ascii="Times New Roman" w:hAnsi="Times New Roman"/>
                <w:sz w:val="24"/>
              </w:rPr>
              <w:t xml:space="preserve">quent dans les juridictions où sont situées les expositions de crédit pertinentes de </w:t>
            </w:r>
            <w:r>
              <w:rPr>
                <w:rFonts w:ascii="Times New Roman" w:hAnsi="Times New Roman"/>
                <w:sz w:val="24"/>
              </w:rPr>
              <w:lastRenderedPageBreak/>
              <w:t>l'établissement ou qui sont appliqués aux fins de l’article 140, conformément à l'article 139, paragraphe 2 ou 3, de la CRD. Le taux de coussin contracyclique a</w:t>
            </w:r>
            <w:r>
              <w:rPr>
                <w:rFonts w:ascii="Times New Roman" w:hAnsi="Times New Roman"/>
                <w:sz w:val="24"/>
              </w:rPr>
              <w:t>p</w:t>
            </w:r>
            <w:r>
              <w:rPr>
                <w:rFonts w:ascii="Times New Roman" w:hAnsi="Times New Roman"/>
                <w:sz w:val="24"/>
              </w:rPr>
              <w:t>plicable est déclaré en [r120; c020; feuille pays] ou [r130; c020; feuille pays] s</w:t>
            </w:r>
            <w:r>
              <w:rPr>
                <w:rFonts w:ascii="Times New Roman" w:hAnsi="Times New Roman"/>
                <w:sz w:val="24"/>
              </w:rPr>
              <w:t>e</w:t>
            </w:r>
            <w:r>
              <w:rPr>
                <w:rFonts w:ascii="Times New Roman" w:hAnsi="Times New Roman"/>
                <w:sz w:val="24"/>
              </w:rPr>
              <w:t>lon le cas.</w:t>
            </w:r>
          </w:p>
          <w:p w:rsidR="00C4425F" w:rsidRPr="00392FFD" w:rsidRDefault="00966663" w:rsidP="00133107">
            <w:pPr>
              <w:autoSpaceDE w:val="0"/>
              <w:autoSpaceDN w:val="0"/>
              <w:adjustRightInd w:val="0"/>
              <w:rPr>
                <w:rFonts w:ascii="Times New Roman" w:hAnsi="Times New Roman"/>
                <w:b/>
                <w:strike/>
                <w:sz w:val="24"/>
              </w:rPr>
            </w:pPr>
            <w:r>
              <w:rPr>
                <w:rFonts w:ascii="Times New Roman" w:hAnsi="Times New Roman"/>
                <w:sz w:val="24"/>
              </w:rPr>
              <w:t>La pondération appliquée au taux de coussin contracyclique dans chaque pays correspond à la fraction des exigences de fonds propres dans le total des ex</w:t>
            </w:r>
            <w:r>
              <w:rPr>
                <w:rFonts w:ascii="Times New Roman" w:hAnsi="Times New Roman"/>
                <w:sz w:val="24"/>
              </w:rPr>
              <w:t>i</w:t>
            </w:r>
            <w:r>
              <w:rPr>
                <w:rFonts w:ascii="Times New Roman" w:hAnsi="Times New Roman"/>
                <w:sz w:val="24"/>
              </w:rPr>
              <w:t xml:space="preserve">gences de fonds propres; elle est déclarée en [r110; c020; feuille pays]. </w:t>
            </w:r>
          </w:p>
          <w:p w:rsidR="00966663" w:rsidRPr="00392FFD" w:rsidRDefault="00966663" w:rsidP="00B816A3">
            <w:pPr>
              <w:rPr>
                <w:rFonts w:ascii="Times New Roman" w:hAnsi="Times New Roman"/>
                <w:b/>
                <w:bCs/>
                <w:sz w:val="24"/>
                <w:u w:val="single"/>
              </w:rPr>
            </w:pPr>
            <w:r>
              <w:rPr>
                <w:rFonts w:ascii="Times New Roman" w:hAnsi="Times New Roman"/>
                <w:sz w:val="24"/>
              </w:rPr>
              <w:t>Les informations sur le taux de coussin de fonds propres contracyclique spéc</w:t>
            </w:r>
            <w:r>
              <w:rPr>
                <w:rFonts w:ascii="Times New Roman" w:hAnsi="Times New Roman"/>
                <w:sz w:val="24"/>
              </w:rPr>
              <w:t>i</w:t>
            </w:r>
            <w:r>
              <w:rPr>
                <w:rFonts w:ascii="Times New Roman" w:hAnsi="Times New Roman"/>
                <w:sz w:val="24"/>
              </w:rPr>
              <w:t>fique à l’établissement ne sont à déclarer que pour le «Total» de tous les pays et non pour chaque pays séparément.</w:t>
            </w:r>
          </w:p>
        </w:tc>
      </w:tr>
      <w:tr w:rsidR="006B1A77" w:rsidRPr="00392FFD" w:rsidTr="00133107">
        <w:tc>
          <w:tcPr>
            <w:tcW w:w="1697" w:type="dxa"/>
          </w:tcPr>
          <w:p w:rsidR="006B1A77" w:rsidRPr="00392FFD" w:rsidRDefault="006B1A77" w:rsidP="00FC0B81">
            <w:pPr>
              <w:rPr>
                <w:rFonts w:ascii="Times New Roman" w:hAnsi="Times New Roman"/>
                <w:sz w:val="24"/>
              </w:rPr>
            </w:pPr>
            <w:r>
              <w:rPr>
                <w:rFonts w:ascii="Times New Roman" w:hAnsi="Times New Roman"/>
                <w:sz w:val="24"/>
              </w:rPr>
              <w:lastRenderedPageBreak/>
              <w:t>150 - 160</w:t>
            </w:r>
          </w:p>
        </w:tc>
        <w:tc>
          <w:tcPr>
            <w:tcW w:w="8131" w:type="dxa"/>
          </w:tcPr>
          <w:p w:rsidR="006B1A77" w:rsidRPr="00392FFD" w:rsidRDefault="006B1A77" w:rsidP="00133107">
            <w:pPr>
              <w:rPr>
                <w:rFonts w:ascii="Times New Roman" w:hAnsi="Times New Roman"/>
                <w:b/>
                <w:bCs/>
                <w:sz w:val="24"/>
                <w:u w:val="single"/>
              </w:rPr>
            </w:pPr>
            <w:r>
              <w:rPr>
                <w:rFonts w:ascii="Times New Roman" w:hAnsi="Times New Roman"/>
                <w:b/>
                <w:sz w:val="24"/>
                <w:u w:val="single"/>
              </w:rPr>
              <w:t>Utilisation du seuil de 2 %</w:t>
            </w:r>
          </w:p>
        </w:tc>
      </w:tr>
      <w:tr w:rsidR="00966663" w:rsidRPr="00392FFD" w:rsidTr="00133107">
        <w:tc>
          <w:tcPr>
            <w:tcW w:w="1697" w:type="dxa"/>
          </w:tcPr>
          <w:p w:rsidR="00966663" w:rsidRPr="00392FFD" w:rsidRDefault="00966663" w:rsidP="00133107">
            <w:pPr>
              <w:rPr>
                <w:rFonts w:ascii="Times New Roman" w:hAnsi="Times New Roman"/>
                <w:sz w:val="24"/>
              </w:rPr>
            </w:pPr>
            <w:r>
              <w:rPr>
                <w:rFonts w:ascii="Times New Roman" w:hAnsi="Times New Roman"/>
                <w:sz w:val="24"/>
              </w:rPr>
              <w:t>150</w:t>
            </w:r>
          </w:p>
        </w:tc>
        <w:tc>
          <w:tcPr>
            <w:tcW w:w="8131" w:type="dxa"/>
          </w:tcPr>
          <w:p w:rsidR="006A3A82" w:rsidRPr="00392FFD" w:rsidRDefault="00FC0B81" w:rsidP="006A3A82">
            <w:pPr>
              <w:autoSpaceDE w:val="0"/>
              <w:autoSpaceDN w:val="0"/>
              <w:adjustRightInd w:val="0"/>
              <w:rPr>
                <w:rFonts w:ascii="Times New Roman" w:hAnsi="Times New Roman"/>
                <w:sz w:val="24"/>
              </w:rPr>
            </w:pPr>
            <w:r>
              <w:rPr>
                <w:rFonts w:ascii="Times New Roman" w:hAnsi="Times New Roman"/>
                <w:b/>
                <w:sz w:val="24"/>
                <w:u w:val="single"/>
              </w:rPr>
              <w:t>Utilisation du seuil de 2 % pour exposition générale de crédit</w:t>
            </w:r>
            <w:r>
              <w:rPr>
                <w:rFonts w:ascii="Times New Roman" w:hAnsi="Times New Roman"/>
                <w:sz w:val="24"/>
              </w:rPr>
              <w:t xml:space="preserve"> </w:t>
            </w:r>
          </w:p>
          <w:p w:rsidR="006A3A82" w:rsidRPr="00392FFD" w:rsidRDefault="006A3A82" w:rsidP="006A3A82">
            <w:pPr>
              <w:autoSpaceDE w:val="0"/>
              <w:autoSpaceDN w:val="0"/>
              <w:adjustRightInd w:val="0"/>
              <w:rPr>
                <w:rFonts w:ascii="Times New Roman" w:hAnsi="Times New Roman"/>
                <w:sz w:val="24"/>
              </w:rPr>
            </w:pPr>
            <w:r>
              <w:rPr>
                <w:rFonts w:ascii="Times New Roman" w:hAnsi="Times New Roman"/>
                <w:sz w:val="24"/>
              </w:rPr>
              <w:t>Conformément à l’article 2, paragraphe 5, point b), du règlement délégué (UE) nº 1152/2014 de la Commission, les expositions à un risque général de crédit étranger dont le montant agrégé ne dépasse pas 2 % du montant agrégé des exp</w:t>
            </w:r>
            <w:r>
              <w:rPr>
                <w:rFonts w:ascii="Times New Roman" w:hAnsi="Times New Roman"/>
                <w:sz w:val="24"/>
              </w:rPr>
              <w:t>o</w:t>
            </w:r>
            <w:r>
              <w:rPr>
                <w:rFonts w:ascii="Times New Roman" w:hAnsi="Times New Roman"/>
                <w:sz w:val="24"/>
              </w:rPr>
              <w:t>sitions générales de crédit, des expositions relevant du portefeuille de négociation et des expositions de titrisation de l’établissement peuvent être rattachées à l’État membre d’origine de l’établissement. Le montant agrégé des expositions gén</w:t>
            </w:r>
            <w:r>
              <w:rPr>
                <w:rFonts w:ascii="Times New Roman" w:hAnsi="Times New Roman"/>
                <w:sz w:val="24"/>
              </w:rPr>
              <w:t>é</w:t>
            </w:r>
            <w:r>
              <w:rPr>
                <w:rFonts w:ascii="Times New Roman" w:hAnsi="Times New Roman"/>
                <w:sz w:val="24"/>
              </w:rPr>
              <w:t>rales de crédit, des expositions relevant du portefeuille de négociation et des e</w:t>
            </w:r>
            <w:r>
              <w:rPr>
                <w:rFonts w:ascii="Times New Roman" w:hAnsi="Times New Roman"/>
                <w:sz w:val="24"/>
              </w:rPr>
              <w:t>x</w:t>
            </w:r>
            <w:r>
              <w:rPr>
                <w:rFonts w:ascii="Times New Roman" w:hAnsi="Times New Roman"/>
                <w:sz w:val="24"/>
              </w:rPr>
              <w:t>positions de titrisation est calculé en excluant les expositions générales de crédit localisées en application de l’article 2, paragraphe 5, point a), et de l’article 2, p</w:t>
            </w:r>
            <w:r>
              <w:rPr>
                <w:rFonts w:ascii="Times New Roman" w:hAnsi="Times New Roman"/>
                <w:sz w:val="24"/>
              </w:rPr>
              <w:t>a</w:t>
            </w:r>
            <w:r>
              <w:rPr>
                <w:rFonts w:ascii="Times New Roman" w:hAnsi="Times New Roman"/>
                <w:sz w:val="24"/>
              </w:rPr>
              <w:t>ragraphe 4, du règlement délégué (UE) nº 1152/2014 de la Commission.</w:t>
            </w:r>
          </w:p>
          <w:p w:rsidR="00966663" w:rsidRPr="00392FFD" w:rsidRDefault="006A3A82" w:rsidP="006A3A82">
            <w:pPr>
              <w:autoSpaceDE w:val="0"/>
              <w:autoSpaceDN w:val="0"/>
              <w:adjustRightInd w:val="0"/>
              <w:rPr>
                <w:rFonts w:ascii="Times New Roman" w:hAnsi="Times New Roman"/>
                <w:sz w:val="24"/>
              </w:rPr>
            </w:pPr>
            <w:r>
              <w:rPr>
                <w:rFonts w:ascii="Times New Roman" w:hAnsi="Times New Roman"/>
                <w:sz w:val="24"/>
              </w:rPr>
              <w:t>Si l’établissement fait usage de cette dérogation, il indique «y» dans le tableau de la juridiction qui correspond à son État membre d’origine et dans celui du «Total» de tous les pays.</w:t>
            </w:r>
          </w:p>
          <w:p w:rsidR="006A3A82" w:rsidRPr="00392FFD" w:rsidRDefault="006A3A82" w:rsidP="006A3A82">
            <w:pPr>
              <w:autoSpaceDE w:val="0"/>
              <w:autoSpaceDN w:val="0"/>
              <w:adjustRightInd w:val="0"/>
              <w:rPr>
                <w:rFonts w:ascii="Times New Roman" w:hAnsi="Times New Roman"/>
                <w:sz w:val="24"/>
              </w:rPr>
            </w:pPr>
            <w:r>
              <w:rPr>
                <w:rFonts w:ascii="Times New Roman" w:hAnsi="Times New Roman"/>
                <w:sz w:val="24"/>
              </w:rPr>
              <w:t>S’il ne fait pas usage de cette dérogation, il indique «n» dans la cellule correspo</w:t>
            </w:r>
            <w:r>
              <w:rPr>
                <w:rFonts w:ascii="Times New Roman" w:hAnsi="Times New Roman"/>
                <w:sz w:val="24"/>
              </w:rPr>
              <w:t>n</w:t>
            </w:r>
            <w:r>
              <w:rPr>
                <w:rFonts w:ascii="Times New Roman" w:hAnsi="Times New Roman"/>
                <w:sz w:val="24"/>
              </w:rPr>
              <w:t>dante.</w:t>
            </w:r>
          </w:p>
        </w:tc>
      </w:tr>
      <w:tr w:rsidR="00966663" w:rsidRPr="00392FFD" w:rsidTr="00133107">
        <w:tc>
          <w:tcPr>
            <w:tcW w:w="1697" w:type="dxa"/>
          </w:tcPr>
          <w:p w:rsidR="00966663" w:rsidRPr="00392FFD" w:rsidRDefault="00966663" w:rsidP="00133107">
            <w:pPr>
              <w:rPr>
                <w:rFonts w:ascii="Times New Roman" w:hAnsi="Times New Roman"/>
                <w:sz w:val="24"/>
              </w:rPr>
            </w:pPr>
            <w:r>
              <w:rPr>
                <w:rFonts w:ascii="Times New Roman" w:hAnsi="Times New Roman"/>
                <w:sz w:val="24"/>
              </w:rPr>
              <w:t>160</w:t>
            </w:r>
          </w:p>
        </w:tc>
        <w:tc>
          <w:tcPr>
            <w:tcW w:w="8131" w:type="dxa"/>
          </w:tcPr>
          <w:p w:rsidR="00535A98" w:rsidRPr="00392FFD" w:rsidRDefault="00FC0B81" w:rsidP="006A3A82">
            <w:pPr>
              <w:autoSpaceDE w:val="0"/>
              <w:autoSpaceDN w:val="0"/>
              <w:adjustRightInd w:val="0"/>
              <w:rPr>
                <w:rFonts w:ascii="Times New Roman" w:hAnsi="Times New Roman"/>
                <w:sz w:val="24"/>
              </w:rPr>
            </w:pPr>
            <w:r>
              <w:rPr>
                <w:rFonts w:ascii="Times New Roman" w:hAnsi="Times New Roman"/>
                <w:b/>
                <w:sz w:val="24"/>
                <w:u w:val="single"/>
              </w:rPr>
              <w:t>Utilisation du seuil de 2 % pour expositions relevant du portefeuille de nég</w:t>
            </w:r>
            <w:r>
              <w:rPr>
                <w:rFonts w:ascii="Times New Roman" w:hAnsi="Times New Roman"/>
                <w:b/>
                <w:sz w:val="24"/>
                <w:u w:val="single"/>
              </w:rPr>
              <w:t>o</w:t>
            </w:r>
            <w:r>
              <w:rPr>
                <w:rFonts w:ascii="Times New Roman" w:hAnsi="Times New Roman"/>
                <w:b/>
                <w:sz w:val="24"/>
                <w:u w:val="single"/>
              </w:rPr>
              <w:t>ciation</w:t>
            </w:r>
          </w:p>
          <w:p w:rsidR="006A3A82" w:rsidRPr="00392FFD" w:rsidRDefault="006A3A82" w:rsidP="006A3A82">
            <w:pPr>
              <w:autoSpaceDE w:val="0"/>
              <w:autoSpaceDN w:val="0"/>
              <w:adjustRightInd w:val="0"/>
              <w:rPr>
                <w:rFonts w:ascii="Times New Roman" w:hAnsi="Times New Roman"/>
                <w:sz w:val="24"/>
              </w:rPr>
            </w:pPr>
            <w:r>
              <w:rPr>
                <w:rFonts w:ascii="Times New Roman" w:hAnsi="Times New Roman"/>
                <w:sz w:val="24"/>
              </w:rPr>
              <w:t>Conformément à l’article 3, paragraphe 3, du règlement délégué (UE) nº 1152/2014 de la Commission, les établissements peuvent rattacher les expos</w:t>
            </w:r>
            <w:r>
              <w:rPr>
                <w:rFonts w:ascii="Times New Roman" w:hAnsi="Times New Roman"/>
                <w:sz w:val="24"/>
              </w:rPr>
              <w:t>i</w:t>
            </w:r>
            <w:r>
              <w:rPr>
                <w:rFonts w:ascii="Times New Roman" w:hAnsi="Times New Roman"/>
                <w:sz w:val="24"/>
              </w:rPr>
              <w:t>tions du portefeuille de négociation à leur État membre d’origine si le total des expositions relevant du portefeuille de négociation n’excède pas 2 % du total de leurs expositions générales de crédit, de leurs expositions relevant du portefeuille de négociation et de leurs expositions de titrisation.</w:t>
            </w:r>
          </w:p>
          <w:p w:rsidR="006A3A82" w:rsidRPr="00392FFD" w:rsidRDefault="006A3A82" w:rsidP="006A3A82">
            <w:pPr>
              <w:rPr>
                <w:rFonts w:ascii="Times New Roman" w:hAnsi="Times New Roman"/>
                <w:sz w:val="24"/>
              </w:rPr>
            </w:pPr>
            <w:r>
              <w:rPr>
                <w:rFonts w:ascii="Times New Roman" w:hAnsi="Times New Roman"/>
                <w:sz w:val="24"/>
              </w:rPr>
              <w:t>Si l’établissement fait usage de cette dérogation, il indique «y» dans le tableau de la juridiction qui correspond à son État membre d’origine et dans celui du «Total» de tous les pays.</w:t>
            </w:r>
          </w:p>
          <w:p w:rsidR="00966663" w:rsidRPr="00392FFD" w:rsidRDefault="006A3A82" w:rsidP="006A3A82">
            <w:pPr>
              <w:rPr>
                <w:rFonts w:ascii="Times New Roman" w:hAnsi="Times New Roman"/>
                <w:b/>
                <w:bCs/>
                <w:sz w:val="24"/>
                <w:u w:val="single"/>
              </w:rPr>
            </w:pPr>
            <w:r>
              <w:rPr>
                <w:rFonts w:ascii="Times New Roman" w:hAnsi="Times New Roman"/>
                <w:sz w:val="24"/>
              </w:rPr>
              <w:t>S’il ne fait pas usage de cette dérogation, il indique «n» dans la cellule correspo</w:t>
            </w:r>
            <w:r>
              <w:rPr>
                <w:rFonts w:ascii="Times New Roman" w:hAnsi="Times New Roman"/>
                <w:sz w:val="24"/>
              </w:rPr>
              <w:t>n</w:t>
            </w:r>
            <w:r>
              <w:rPr>
                <w:rFonts w:ascii="Times New Roman" w:hAnsi="Times New Roman"/>
                <w:sz w:val="24"/>
              </w:rPr>
              <w:t>dante.</w:t>
            </w:r>
          </w:p>
        </w:tc>
      </w:tr>
    </w:tbl>
    <w:p w:rsidR="004357B9" w:rsidRPr="00392FFD" w:rsidRDefault="004357B9">
      <w:pPr>
        <w:spacing w:before="0" w:after="0"/>
        <w:jc w:val="left"/>
        <w:rPr>
          <w:rFonts w:ascii="Times New Roman" w:hAnsi="Times New Roman"/>
          <w:bCs/>
          <w:sz w:val="24"/>
        </w:rPr>
      </w:pPr>
    </w:p>
    <w:p w:rsidR="00C61FF5" w:rsidRPr="00392FFD" w:rsidRDefault="00125707" w:rsidP="0023700C">
      <w:pPr>
        <w:pStyle w:val="Instructionsberschrift2"/>
        <w:numPr>
          <w:ilvl w:val="0"/>
          <w:numId w:val="0"/>
        </w:numPr>
        <w:ind w:left="357" w:hanging="357"/>
        <w:rPr>
          <w:rFonts w:ascii="Times New Roman" w:hAnsi="Times New Roman" w:cs="Times New Roman"/>
          <w:sz w:val="24"/>
        </w:rPr>
      </w:pPr>
      <w:bookmarkStart w:id="348" w:name="_Toc295829919"/>
      <w:bookmarkStart w:id="349" w:name="_Toc310415031"/>
      <w:bookmarkStart w:id="350" w:name="_Toc360188369"/>
      <w:bookmarkStart w:id="351" w:name="_Toc473560920"/>
      <w:bookmarkStart w:id="352" w:name="_Toc496022315"/>
      <w:r>
        <w:rPr>
          <w:rFonts w:ascii="Times New Roman" w:hAnsi="Times New Roman"/>
          <w:sz w:val="24"/>
          <w:u w:val="none"/>
        </w:rPr>
        <w:lastRenderedPageBreak/>
        <w:t>3.5.</w:t>
      </w:r>
      <w:r>
        <w:tab/>
      </w:r>
      <w:r>
        <w:rPr>
          <w:rFonts w:ascii="Times New Roman" w:hAnsi="Times New Roman"/>
          <w:sz w:val="24"/>
        </w:rPr>
        <w:t>C 10.01 et C 10.02 – Expositions sous forme d’actions selon l'approche NI</w:t>
      </w:r>
      <w:bookmarkEnd w:id="348"/>
      <w:bookmarkEnd w:id="349"/>
      <w:bookmarkEnd w:id="350"/>
      <w:r>
        <w:rPr>
          <w:rFonts w:ascii="Times New Roman" w:hAnsi="Times New Roman"/>
          <w:sz w:val="24"/>
        </w:rPr>
        <w:t xml:space="preserve"> (CR EQU IRB 1 et CR EQU IRB 2)</w:t>
      </w:r>
      <w:bookmarkEnd w:id="351"/>
      <w:bookmarkEnd w:id="352"/>
    </w:p>
    <w:p w:rsidR="00C61FF5" w:rsidRPr="00392FFD" w:rsidRDefault="00125707" w:rsidP="0023700C">
      <w:pPr>
        <w:pStyle w:val="Instructionsberschrift2"/>
        <w:numPr>
          <w:ilvl w:val="0"/>
          <w:numId w:val="0"/>
        </w:numPr>
        <w:ind w:left="357" w:hanging="357"/>
        <w:rPr>
          <w:rFonts w:ascii="Times New Roman" w:hAnsi="Times New Roman" w:cs="Times New Roman"/>
          <w:sz w:val="24"/>
        </w:rPr>
      </w:pPr>
      <w:bookmarkStart w:id="353" w:name="_Toc239157382"/>
      <w:bookmarkStart w:id="354" w:name="_Toc295829920"/>
      <w:bookmarkStart w:id="355" w:name="_Toc310415032"/>
      <w:bookmarkStart w:id="356" w:name="_Toc360188370"/>
      <w:bookmarkStart w:id="357" w:name="_Toc473560921"/>
      <w:bookmarkStart w:id="358" w:name="_Toc496022316"/>
      <w:r>
        <w:rPr>
          <w:rFonts w:ascii="Times New Roman" w:hAnsi="Times New Roman"/>
          <w:sz w:val="24"/>
          <w:u w:val="none"/>
        </w:rPr>
        <w:t>3.5.1.</w:t>
      </w:r>
      <w:r>
        <w:tab/>
      </w:r>
      <w:r>
        <w:rPr>
          <w:rFonts w:ascii="Times New Roman" w:hAnsi="Times New Roman"/>
          <w:sz w:val="24"/>
        </w:rPr>
        <w:t>Remarques générales</w:t>
      </w:r>
      <w:bookmarkEnd w:id="353"/>
      <w:bookmarkEnd w:id="354"/>
      <w:bookmarkEnd w:id="355"/>
      <w:bookmarkEnd w:id="356"/>
      <w:bookmarkEnd w:id="357"/>
      <w:bookmarkEnd w:id="358"/>
    </w:p>
    <w:p w:rsidR="00C61FF5" w:rsidRPr="00392FFD" w:rsidRDefault="00125707" w:rsidP="0023700C">
      <w:pPr>
        <w:pStyle w:val="InstructionsText2"/>
        <w:numPr>
          <w:ilvl w:val="0"/>
          <w:numId w:val="0"/>
        </w:numPr>
        <w:ind w:left="1353" w:hanging="360"/>
      </w:pPr>
      <w:r>
        <w:t>86.</w:t>
      </w:r>
      <w:r>
        <w:tab/>
        <w:t>Le modèle CR EQU IRB se compose de deux parties: CR EQU IRB 1 fournit un aperçu général des expositions NI de la catégorie des expositions sous forme d’actions et des différents modes de calcul des montants totaux d’exposition au risque. CR EQU IRB 2 fournit une ventilation du total des expositions attr</w:t>
      </w:r>
      <w:r>
        <w:t>i</w:t>
      </w:r>
      <w:r>
        <w:t>buées aux échelons de débiteurs dans le cadre de la méthode PD/LGD. Le cas échéant, dans les instructions suivantes, «CR EQU IRB» désigne à la fois les sous-modèles «CR EQU IRB 1» et «CR EQU IRB 2».</w:t>
      </w:r>
    </w:p>
    <w:p w:rsidR="00C61FF5" w:rsidRPr="00392FFD" w:rsidRDefault="00125707" w:rsidP="0023700C">
      <w:pPr>
        <w:pStyle w:val="InstructionsText2"/>
        <w:numPr>
          <w:ilvl w:val="0"/>
          <w:numId w:val="0"/>
        </w:numPr>
        <w:ind w:left="1353" w:hanging="360"/>
      </w:pPr>
      <w:r>
        <w:t>87.</w:t>
      </w:r>
      <w:r>
        <w:tab/>
        <w:t>Le modèle CR EQU IRB fournit des informations sur le calcul des montants d’exposition pondérés pour risque de crédit (article 92, paragraphe 3, point a), du CRR) selon la méthode NI (troisième partie, titre II, chapitre 3 du CRR), pour les expositions sous forme d’actions visées à l’article 147, paragraphe 2, point e), du CRR.</w:t>
      </w:r>
    </w:p>
    <w:p w:rsidR="00C61FF5" w:rsidRPr="00392FFD" w:rsidRDefault="00125707" w:rsidP="0023700C">
      <w:pPr>
        <w:pStyle w:val="InstructionsText2"/>
        <w:numPr>
          <w:ilvl w:val="0"/>
          <w:numId w:val="0"/>
        </w:numPr>
        <w:ind w:left="1353" w:hanging="360"/>
      </w:pPr>
      <w:r>
        <w:t>88.</w:t>
      </w:r>
      <w:r>
        <w:tab/>
        <w:t>Selon l’article 147, paragraphe 6, du CRR, les expositions suivantes seront a</w:t>
      </w:r>
      <w:r>
        <w:t>f</w:t>
      </w:r>
      <w:r>
        <w:t>fectées à la catégorie d’expositions sous forme d’actions:</w:t>
      </w:r>
    </w:p>
    <w:p w:rsidR="00C61FF5" w:rsidRPr="00392FFD" w:rsidRDefault="00125707" w:rsidP="0023700C">
      <w:pPr>
        <w:pStyle w:val="InstructionsText2"/>
        <w:numPr>
          <w:ilvl w:val="0"/>
          <w:numId w:val="0"/>
        </w:numPr>
        <w:ind w:left="1440" w:hanging="360"/>
      </w:pPr>
      <w:r>
        <w:t>a)</w:t>
      </w:r>
      <w:r>
        <w:tab/>
        <w:t>les expositions ne portant pas sur des créances et donnant droit à une créance subordonnée et résiduelle sur les actifs ou le revenu de l’émetteur; ou</w:t>
      </w:r>
    </w:p>
    <w:p w:rsidR="00C61FF5" w:rsidRPr="00392FFD" w:rsidRDefault="00125707" w:rsidP="0023700C">
      <w:pPr>
        <w:pStyle w:val="InstructionsText2"/>
        <w:numPr>
          <w:ilvl w:val="0"/>
          <w:numId w:val="0"/>
        </w:numPr>
        <w:ind w:left="1440" w:hanging="360"/>
      </w:pPr>
      <w:r>
        <w:t>b)</w:t>
      </w:r>
      <w:r>
        <w:tab/>
        <w:t>les expositions portant sur des créances et autres titres, partenariats, instr</w:t>
      </w:r>
      <w:r>
        <w:t>u</w:t>
      </w:r>
      <w:r>
        <w:t>ments dérivés, ou autres véhicules, dont la substance économique est similaire à celle des expositions visées au point a).</w:t>
      </w:r>
    </w:p>
    <w:p w:rsidR="00C61FF5" w:rsidRPr="00392FFD" w:rsidRDefault="00125707" w:rsidP="0023700C">
      <w:pPr>
        <w:pStyle w:val="InstructionsText2"/>
        <w:numPr>
          <w:ilvl w:val="0"/>
          <w:numId w:val="0"/>
        </w:numPr>
        <w:ind w:left="1353" w:hanging="360"/>
      </w:pPr>
      <w:r>
        <w:t>89.</w:t>
      </w:r>
      <w:r>
        <w:tab/>
        <w:t>Les organismes de placement collectif traités selon la méthode de pondération simple conformément à l’article 152 du CRR seront également déclarés dans le modèle CR EQU IRB.</w:t>
      </w:r>
    </w:p>
    <w:p w:rsidR="00C61FF5" w:rsidRPr="00392FFD" w:rsidRDefault="00125707" w:rsidP="0023700C">
      <w:pPr>
        <w:pStyle w:val="InstructionsText2"/>
        <w:numPr>
          <w:ilvl w:val="0"/>
          <w:numId w:val="0"/>
        </w:numPr>
        <w:ind w:left="1353" w:hanging="360"/>
      </w:pPr>
      <w:r>
        <w:t>90.</w:t>
      </w:r>
      <w:r>
        <w:tab/>
        <w:t>Conformément à l’article 151, paragraphe 1, du CRR, les établissements re</w:t>
      </w:r>
      <w:r>
        <w:t>m</w:t>
      </w:r>
      <w:r>
        <w:t xml:space="preserve">plissent le modèle CR EQU IRB lorsqu’ils appliquent l’une des trois méthodes visées à l’article 155 du CRR: </w:t>
      </w:r>
    </w:p>
    <w:p w:rsidR="00C61FF5" w:rsidRPr="00392FFD" w:rsidRDefault="00C61FF5" w:rsidP="00622B37">
      <w:pPr>
        <w:pStyle w:val="InstructionsText"/>
      </w:pPr>
      <w:r>
        <w:t xml:space="preserve">- la méthode de pondération simple; </w:t>
      </w:r>
    </w:p>
    <w:p w:rsidR="00C61FF5" w:rsidRPr="00392FFD" w:rsidRDefault="00C61FF5" w:rsidP="00622B37">
      <w:pPr>
        <w:pStyle w:val="InstructionsText"/>
      </w:pPr>
      <w:r>
        <w:t xml:space="preserve">- l'approche fondée sur la probabilité de défaut et les pertes en cas de défaut (PD/LGD), ou </w:t>
      </w:r>
    </w:p>
    <w:p w:rsidR="00C61FF5" w:rsidRPr="00392FFD" w:rsidRDefault="00C61FF5" w:rsidP="00622B37">
      <w:pPr>
        <w:pStyle w:val="InstructionsText"/>
      </w:pPr>
      <w:r>
        <w:t>- l’approche fondée sur les modèles internes.</w:t>
      </w:r>
    </w:p>
    <w:p w:rsidR="00C61FF5" w:rsidRPr="00392FFD" w:rsidRDefault="00C61FF5" w:rsidP="00622B37">
      <w:pPr>
        <w:pStyle w:val="InstructionsText"/>
      </w:pPr>
      <w:r>
        <w:t>De plus, les établissements qui appliquent l’approche NI devront également déclarer dans le modèle CR EQU IRB les montants d’exposition pondérés pour les expositions sous forme d’actions qui impliquent un traitement de pondération fixe [sans pour autant être traitées e</w:t>
      </w:r>
      <w:r>
        <w:t>x</w:t>
      </w:r>
      <w:r>
        <w:t>plicitement selon la méthode de pondération simple ou selon le recours partiel (temporaire ou permanent) à l’approche standard du risque de crédit (par ex. expositions sous forme d’actions impliquant une pondération de risque de 250 % conformément à l’article 48, paragraphe 4, du CRR, ou respectivement de 370 % conformément à l’article 471, paragraphe 2, du CRR)].</w:t>
      </w:r>
    </w:p>
    <w:p w:rsidR="00C61FF5" w:rsidRPr="00392FFD" w:rsidRDefault="00125707" w:rsidP="0023700C">
      <w:pPr>
        <w:pStyle w:val="InstructionsText2"/>
        <w:numPr>
          <w:ilvl w:val="0"/>
          <w:numId w:val="0"/>
        </w:numPr>
        <w:ind w:left="1353" w:hanging="360"/>
      </w:pPr>
      <w:r>
        <w:t>91.</w:t>
      </w:r>
      <w:r>
        <w:tab/>
        <w:t>Les engagements sous forme d’actions suivants ne seront pas déclarés dans le modèle CR EQU IRB:</w:t>
      </w:r>
    </w:p>
    <w:p w:rsidR="00C61FF5" w:rsidRPr="00392FFD" w:rsidRDefault="00C61FF5" w:rsidP="00622B37">
      <w:pPr>
        <w:pStyle w:val="InstructionsText"/>
      </w:pPr>
      <w:r>
        <w:lastRenderedPageBreak/>
        <w:t>- expositions sous forme d’actions dans le portefeuille de négociation (pour les cas où les ét</w:t>
      </w:r>
      <w:r>
        <w:t>a</w:t>
      </w:r>
      <w:r>
        <w:t xml:space="preserve">blissements ne sont pas exonérés du calcul des exigences de fonds propres pour les positions du portefeuille de négociation, conformément à l’article 94 du CRR). </w:t>
      </w:r>
    </w:p>
    <w:p w:rsidR="00C61FF5" w:rsidRPr="00392FFD" w:rsidRDefault="00C61FF5" w:rsidP="00622B37">
      <w:pPr>
        <w:pStyle w:val="InstructionsText"/>
      </w:pPr>
      <w:r>
        <w:t>- expositions sous forme d’actions soumises au recours partiel à l’approche standard (article 150 du CRR), y compris:</w:t>
      </w:r>
    </w:p>
    <w:p w:rsidR="00C61FF5" w:rsidRPr="00392FFD" w:rsidRDefault="00C61FF5" w:rsidP="00622B37">
      <w:pPr>
        <w:pStyle w:val="InstructionsText"/>
      </w:pPr>
      <w:r>
        <w:t>- les expositions sous forme d’actions bénéficiant d’une clause d’antériorité conformément à l’article 495, paragraphe 1, du CRR;</w:t>
      </w:r>
    </w:p>
    <w:p w:rsidR="00C61FF5" w:rsidRPr="00392FFD" w:rsidRDefault="00C61FF5" w:rsidP="00622B37">
      <w:pPr>
        <w:pStyle w:val="InstructionsText"/>
      </w:pPr>
      <w:r>
        <w:t>- les expositions sous forme d’actions d’entités dont les obligations de crédit reçoivent une pondération de risque de 0 % en vertu de l’approche standard, y compris les entités à caractère public auxquels une pondération de risque de 0 % peut être appliquée (article 150, paragraphe 1, point g), du CRR);</w:t>
      </w:r>
    </w:p>
    <w:p w:rsidR="00C61FF5" w:rsidRPr="00392FFD" w:rsidRDefault="00C61FF5" w:rsidP="00622B37">
      <w:pPr>
        <w:pStyle w:val="InstructionsText"/>
      </w:pPr>
      <w:r>
        <w:t>- les expositions sous forme d’actions prises dans le cadre de programmes législatifs visant à promouvoir certains secteurs de l’économie, qui accordent à l’établissement d’importantes subventions à l’investissement et impliquent aussi une certaine forme de contrôle public et des restrictions aux investissements en actions (article 150, paragraphe 1, point h), du CRR);</w:t>
      </w:r>
    </w:p>
    <w:p w:rsidR="00C61FF5" w:rsidRPr="00392FFD" w:rsidRDefault="00C61FF5" w:rsidP="00622B37">
      <w:pPr>
        <w:pStyle w:val="InstructionsText"/>
      </w:pPr>
      <w:r>
        <w:t xml:space="preserve">- les expositions sur des actions d’entreprises de services auxiliaires dont les montants d’exposition pondérés peuvent être calculés selon le traitement réservé aux «actifs autres que des obligations de crédit» (conformément à l’article 155, paragraphe 1, du CRR); </w:t>
      </w:r>
    </w:p>
    <w:p w:rsidR="00C61FF5" w:rsidRPr="00392FFD" w:rsidRDefault="00C61FF5" w:rsidP="00622B37">
      <w:pPr>
        <w:pStyle w:val="InstructionsText"/>
      </w:pPr>
      <w:r>
        <w:t>- les engagements sous forme d’actions déduits des fonds propres, conformément aux articles 46 et 48 du CRR.</w:t>
      </w:r>
    </w:p>
    <w:p w:rsidR="00C61FF5" w:rsidRPr="00392FFD" w:rsidRDefault="00C61FF5" w:rsidP="00622B37">
      <w:pPr>
        <w:pStyle w:val="InstructionsText"/>
      </w:pPr>
    </w:p>
    <w:p w:rsidR="00C61FF5" w:rsidRPr="00392FFD" w:rsidRDefault="00125707" w:rsidP="0023700C">
      <w:pPr>
        <w:pStyle w:val="Instructionsberschrift2"/>
        <w:numPr>
          <w:ilvl w:val="0"/>
          <w:numId w:val="0"/>
        </w:numPr>
        <w:ind w:left="357" w:hanging="357"/>
        <w:rPr>
          <w:rFonts w:ascii="Times New Roman" w:hAnsi="Times New Roman" w:cs="Times New Roman"/>
          <w:sz w:val="24"/>
        </w:rPr>
      </w:pPr>
      <w:bookmarkStart w:id="359" w:name="_Toc295829921"/>
      <w:bookmarkStart w:id="360" w:name="_Toc310415033"/>
      <w:bookmarkStart w:id="361" w:name="_Toc360188371"/>
      <w:bookmarkStart w:id="362" w:name="_Toc473560922"/>
      <w:bookmarkStart w:id="363" w:name="_Toc496022317"/>
      <w:r>
        <w:rPr>
          <w:rFonts w:ascii="Times New Roman" w:hAnsi="Times New Roman"/>
          <w:sz w:val="24"/>
          <w:u w:val="none"/>
        </w:rPr>
        <w:t>3.5.2.</w:t>
      </w:r>
      <w:r>
        <w:tab/>
      </w:r>
      <w:r>
        <w:rPr>
          <w:rFonts w:ascii="Times New Roman" w:hAnsi="Times New Roman"/>
          <w:sz w:val="24"/>
        </w:rPr>
        <w:t>Instructions concernant certaines positions</w:t>
      </w:r>
      <w:bookmarkEnd w:id="359"/>
      <w:bookmarkEnd w:id="360"/>
      <w:r>
        <w:rPr>
          <w:rFonts w:ascii="Times New Roman" w:hAnsi="Times New Roman"/>
          <w:sz w:val="24"/>
        </w:rPr>
        <w:t xml:space="preserve"> (applicables aux sous-modèles CR EQU IRB 1 et CR EQU IRB 2)</w:t>
      </w:r>
      <w:bookmarkEnd w:id="361"/>
      <w:bookmarkEnd w:id="362"/>
      <w:bookmarkEnd w:id="363"/>
    </w:p>
    <w:tbl>
      <w:tblPr>
        <w:tblW w:w="0" w:type="auto"/>
        <w:tblLook w:val="01E0" w:firstRow="1" w:lastRow="1" w:firstColumn="1" w:lastColumn="1" w:noHBand="0" w:noVBand="0"/>
      </w:tblPr>
      <w:tblGrid>
        <w:gridCol w:w="852"/>
        <w:gridCol w:w="8004"/>
      </w:tblGrid>
      <w:tr w:rsidR="00C61FF5" w:rsidRPr="00392FFD" w:rsidTr="00C61FF5">
        <w:tc>
          <w:tcPr>
            <w:tcW w:w="8856" w:type="dxa"/>
            <w:gridSpan w:val="2"/>
            <w:tcBorders>
              <w:top w:val="single" w:sz="4" w:space="0" w:color="auto"/>
              <w:left w:val="single" w:sz="4" w:space="0" w:color="auto"/>
              <w:bottom w:val="single" w:sz="4" w:space="0" w:color="auto"/>
              <w:right w:val="single" w:sz="4" w:space="0" w:color="auto"/>
            </w:tcBorders>
            <w:shd w:val="clear" w:color="auto" w:fill="BFBFBF"/>
          </w:tcPr>
          <w:p w:rsidR="00745369" w:rsidRPr="00392FFD" w:rsidRDefault="00C61FF5" w:rsidP="00EA0BAB">
            <w:pPr>
              <w:spacing w:beforeLines="60" w:before="144" w:afterLines="60" w:after="144"/>
              <w:rPr>
                <w:rStyle w:val="InstructionsTabelleText"/>
                <w:rFonts w:ascii="Times New Roman" w:hAnsi="Times New Roman"/>
                <w:b/>
                <w:sz w:val="24"/>
              </w:rPr>
            </w:pPr>
            <w:r>
              <w:rPr>
                <w:rStyle w:val="InstructionsTabelleText"/>
                <w:rFonts w:ascii="Times New Roman" w:hAnsi="Times New Roman"/>
                <w:b/>
                <w:sz w:val="24"/>
              </w:rPr>
              <w:t>Colonnes</w:t>
            </w:r>
          </w:p>
        </w:tc>
      </w:tr>
      <w:tr w:rsidR="003F05A0" w:rsidRPr="00392FFD" w:rsidTr="00C61F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2" w:type="dxa"/>
          </w:tcPr>
          <w:p w:rsidR="003F05A0" w:rsidRPr="00392FFD" w:rsidRDefault="003F05A0" w:rsidP="00EA0BAB">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005</w:t>
            </w:r>
          </w:p>
        </w:tc>
        <w:tc>
          <w:tcPr>
            <w:tcW w:w="8004" w:type="dxa"/>
          </w:tcPr>
          <w:p w:rsidR="003F05A0" w:rsidRPr="00392FFD" w:rsidRDefault="003F05A0"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ÉCHELON DE DÉBITEUR (IDENTIFIANT DE LIGNE)</w:t>
            </w:r>
          </w:p>
          <w:p w:rsidR="003F05A0" w:rsidRPr="00392FFD" w:rsidRDefault="003F05A0" w:rsidP="003F05A0">
            <w:pPr>
              <w:spacing w:beforeLines="60" w:before="144" w:afterLines="60" w:after="144"/>
              <w:rPr>
                <w:rStyle w:val="InstructionsTabelleberschrift"/>
                <w:rFonts w:ascii="Times New Roman" w:hAnsi="Times New Roman"/>
                <w:b w:val="0"/>
                <w:sz w:val="24"/>
                <w:u w:val="none"/>
              </w:rPr>
            </w:pPr>
            <w:r>
              <w:rPr>
                <w:rStyle w:val="InstructionsTabelleberschrift"/>
                <w:rFonts w:ascii="Times New Roman" w:hAnsi="Times New Roman"/>
                <w:b w:val="0"/>
                <w:sz w:val="24"/>
                <w:u w:val="none"/>
              </w:rPr>
              <w:t xml:space="preserve">L’échelon de débiteur est un identifiant de ligne qui est propre à chaque ligne du tableau. </w:t>
            </w:r>
            <w:r>
              <w:rPr>
                <w:rFonts w:ascii="Times New Roman" w:hAnsi="Times New Roman"/>
                <w:sz w:val="24"/>
              </w:rPr>
              <w:t>Il suit l’ordre numérique: 1, 2, 3, etc.</w:t>
            </w:r>
          </w:p>
        </w:tc>
      </w:tr>
      <w:tr w:rsidR="00C61FF5" w:rsidRPr="00392FFD" w:rsidTr="00C61F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2" w:type="dxa"/>
          </w:tcPr>
          <w:p w:rsidR="00745369" w:rsidRPr="00392FFD" w:rsidRDefault="00C61FF5" w:rsidP="00EA0BAB">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010</w:t>
            </w:r>
          </w:p>
        </w:tc>
        <w:tc>
          <w:tcPr>
            <w:tcW w:w="8004" w:type="dxa"/>
          </w:tcPr>
          <w:p w:rsidR="00745369" w:rsidRPr="00392FFD" w:rsidRDefault="00C61FF5"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 xml:space="preserve">SYSTÈME DE NOTATION INTERNE </w:t>
            </w:r>
          </w:p>
          <w:p w:rsidR="00745369" w:rsidRPr="00392FFD" w:rsidRDefault="00C61FF5"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PD AFFECTÉE À L’ÉCHELON DE DÉBITEUR (%)</w:t>
            </w:r>
          </w:p>
          <w:p w:rsidR="00745369" w:rsidRPr="00392FFD" w:rsidRDefault="00C61FF5" w:rsidP="00450A2E">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Dans la colonne 010, les établissements qui appliquent la méthode PD/LGD d</w:t>
            </w:r>
            <w:r>
              <w:rPr>
                <w:rStyle w:val="InstructionsTabelleText"/>
                <w:rFonts w:ascii="Times New Roman" w:hAnsi="Times New Roman"/>
                <w:sz w:val="24"/>
              </w:rPr>
              <w:t>é</w:t>
            </w:r>
            <w:r>
              <w:rPr>
                <w:rStyle w:val="InstructionsTabelleText"/>
                <w:rFonts w:ascii="Times New Roman" w:hAnsi="Times New Roman"/>
                <w:sz w:val="24"/>
              </w:rPr>
              <w:t>clarent la probabilité de défaut (PD) calculée conformément aux dispositions de l’article 165, paragraphe 1, du CRR.</w:t>
            </w:r>
          </w:p>
          <w:p w:rsidR="00745369" w:rsidRPr="00392FFD" w:rsidRDefault="00C61FF5" w:rsidP="00450A2E">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La PD attribuée à l’échelon ou catégorie de débiteurs à déclarer satisfait aux exigences minimales prévues à la troisième partie, titre II, chapitre 3, section 6 du CRR. Pour chaque échelon ou catégorie, la PD qui lui est spécifiquement a</w:t>
            </w:r>
            <w:r>
              <w:rPr>
                <w:rStyle w:val="InstructionsTabelleText"/>
                <w:rFonts w:ascii="Times New Roman" w:hAnsi="Times New Roman"/>
                <w:sz w:val="24"/>
              </w:rPr>
              <w:t>t</w:t>
            </w:r>
            <w:r>
              <w:rPr>
                <w:rStyle w:val="InstructionsTabelleText"/>
                <w:rFonts w:ascii="Times New Roman" w:hAnsi="Times New Roman"/>
                <w:sz w:val="24"/>
              </w:rPr>
              <w:t>tribuée est déclarée. Tous les paramètres de risque déclarés seront tirés des p</w:t>
            </w:r>
            <w:r>
              <w:rPr>
                <w:rStyle w:val="InstructionsTabelleText"/>
                <w:rFonts w:ascii="Times New Roman" w:hAnsi="Times New Roman"/>
                <w:sz w:val="24"/>
              </w:rPr>
              <w:t>a</w:t>
            </w:r>
            <w:r>
              <w:rPr>
                <w:rStyle w:val="InstructionsTabelleText"/>
                <w:rFonts w:ascii="Times New Roman" w:hAnsi="Times New Roman"/>
                <w:sz w:val="24"/>
              </w:rPr>
              <w:t>ramètres de risque utilisés dans le système de notations internes approuvé par les autorités compétentes respectives.</w:t>
            </w:r>
          </w:p>
          <w:p w:rsidR="00745369" w:rsidRPr="00392FFD" w:rsidRDefault="00C61FF5" w:rsidP="00450A2E">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 xml:space="preserve">En ce qui concerne les chiffres correspondant à un ensemble d'échelons ou de catégories de débiteurs (par ex. le montant total des expositions), la moyenne </w:t>
            </w:r>
            <w:r>
              <w:rPr>
                <w:rStyle w:val="InstructionsTabelleText"/>
                <w:rFonts w:ascii="Times New Roman" w:hAnsi="Times New Roman"/>
                <w:sz w:val="24"/>
              </w:rPr>
              <w:lastRenderedPageBreak/>
              <w:t>pondérée en fonction de l'exposition des PD attribuées aux échelons ou aux c</w:t>
            </w:r>
            <w:r>
              <w:rPr>
                <w:rStyle w:val="InstructionsTabelleText"/>
                <w:rFonts w:ascii="Times New Roman" w:hAnsi="Times New Roman"/>
                <w:sz w:val="24"/>
              </w:rPr>
              <w:t>a</w:t>
            </w:r>
            <w:r>
              <w:rPr>
                <w:rStyle w:val="InstructionsTabelleText"/>
                <w:rFonts w:ascii="Times New Roman" w:hAnsi="Times New Roman"/>
                <w:sz w:val="24"/>
              </w:rPr>
              <w:t>tégories de débiteurs inclus dans cet ensemble sera fournie. Toutes les expos</w:t>
            </w:r>
            <w:r>
              <w:rPr>
                <w:rStyle w:val="InstructionsTabelleText"/>
                <w:rFonts w:ascii="Times New Roman" w:hAnsi="Times New Roman"/>
                <w:sz w:val="24"/>
              </w:rPr>
              <w:t>i</w:t>
            </w:r>
            <w:r>
              <w:rPr>
                <w:rStyle w:val="InstructionsTabelleText"/>
                <w:rFonts w:ascii="Times New Roman" w:hAnsi="Times New Roman"/>
                <w:sz w:val="24"/>
              </w:rPr>
              <w:t xml:space="preserve">tions, y compris celles en défaut, doivent être prises en compte pour le calcul de la moyenne pondérée en fonction de l'exposition des PD. Pour le calcul de la moyenne pondérée en fonction de l'exposition des PD, on utilisera, à des fins de pondération, la valeur exposée au risque tenant compte de la protection de crédit non financée (colonne 060). </w:t>
            </w:r>
          </w:p>
        </w:tc>
      </w:tr>
      <w:tr w:rsidR="00C61FF5" w:rsidRPr="00392FFD" w:rsidTr="00C61F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2" w:type="dxa"/>
          </w:tcPr>
          <w:p w:rsidR="00745369" w:rsidRPr="00392FFD" w:rsidRDefault="00C61FF5" w:rsidP="00EA0BAB">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lastRenderedPageBreak/>
              <w:t>020</w:t>
            </w:r>
          </w:p>
        </w:tc>
        <w:tc>
          <w:tcPr>
            <w:tcW w:w="8004" w:type="dxa"/>
          </w:tcPr>
          <w:p w:rsidR="00745369" w:rsidRPr="00392FFD" w:rsidRDefault="00C61FF5"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EXPOSITION INITIALE AVANT APPLICATION DES FACTEURS DE CONVERSION</w:t>
            </w:r>
          </w:p>
          <w:p w:rsidR="00C61FF5" w:rsidRPr="00392FFD" w:rsidRDefault="00C61FF5" w:rsidP="00C61FF5">
            <w:pPr>
              <w:autoSpaceDE w:val="0"/>
              <w:autoSpaceDN w:val="0"/>
              <w:adjustRightInd w:val="0"/>
              <w:spacing w:before="0" w:after="0"/>
              <w:rPr>
                <w:rStyle w:val="InstructionsTabelleText"/>
                <w:rFonts w:ascii="Times New Roman" w:hAnsi="Times New Roman"/>
                <w:sz w:val="24"/>
              </w:rPr>
            </w:pPr>
            <w:r>
              <w:rPr>
                <w:rStyle w:val="InstructionsTabelleText"/>
                <w:rFonts w:ascii="Times New Roman" w:hAnsi="Times New Roman"/>
                <w:sz w:val="24"/>
              </w:rPr>
              <w:t>Dans la colonne 020, les établissements déclarent la valeur exposée au risque initiale (avant application des facteurs de conversion). Conformément aux disp</w:t>
            </w:r>
            <w:r>
              <w:rPr>
                <w:rStyle w:val="InstructionsTabelleText"/>
                <w:rFonts w:ascii="Times New Roman" w:hAnsi="Times New Roman"/>
                <w:sz w:val="24"/>
              </w:rPr>
              <w:t>o</w:t>
            </w:r>
            <w:r>
              <w:rPr>
                <w:rStyle w:val="InstructionsTabelleText"/>
                <w:rFonts w:ascii="Times New Roman" w:hAnsi="Times New Roman"/>
                <w:sz w:val="24"/>
              </w:rPr>
              <w:t xml:space="preserve">sitions de l’article 167 du CRR, la valeur exposée au risque pour les expositions sous forme d’actions sera la valeur comptable résiduelle après ajustements pour risque de crédit spécifique. La </w:t>
            </w:r>
            <w:r>
              <w:rPr>
                <w:rFonts w:ascii="Times New Roman" w:hAnsi="Times New Roman"/>
                <w:sz w:val="24"/>
              </w:rPr>
              <w:t>valeur exposée au risque des expositions sous forme d’actions hors bilan sera la valeur nominale après ajustements pour risque de crédit spécifique.</w:t>
            </w:r>
          </w:p>
          <w:p w:rsidR="00745369" w:rsidRPr="00392FFD" w:rsidRDefault="00C61FF5" w:rsidP="00EA0BAB">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Dans la colonne 020, les établissements déclarent également les éléments hors bilan visés à l'annexe I du CRR, affectés à la catégorie des expositions sous forme d’actions (par ex. «la fraction non versée d'actions et de titres partiell</w:t>
            </w:r>
            <w:r>
              <w:rPr>
                <w:rStyle w:val="InstructionsTabelleText"/>
                <w:rFonts w:ascii="Times New Roman" w:hAnsi="Times New Roman"/>
                <w:sz w:val="24"/>
              </w:rPr>
              <w:t>e</w:t>
            </w:r>
            <w:r>
              <w:rPr>
                <w:rStyle w:val="InstructionsTabelleText"/>
                <w:rFonts w:ascii="Times New Roman" w:hAnsi="Times New Roman"/>
                <w:sz w:val="24"/>
              </w:rPr>
              <w:t>ment libérés»).</w:t>
            </w:r>
          </w:p>
          <w:p w:rsidR="00745369" w:rsidRPr="00392FFD" w:rsidRDefault="00C61FF5" w:rsidP="00450A2E">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Les établissements qui appliquent la méthode de la pondération simple ou la m</w:t>
            </w:r>
            <w:r>
              <w:rPr>
                <w:rStyle w:val="InstructionsTabelleText"/>
                <w:rFonts w:ascii="Times New Roman" w:hAnsi="Times New Roman"/>
                <w:sz w:val="24"/>
              </w:rPr>
              <w:t>é</w:t>
            </w:r>
            <w:r>
              <w:rPr>
                <w:rStyle w:val="InstructionsTabelleText"/>
                <w:rFonts w:ascii="Times New Roman" w:hAnsi="Times New Roman"/>
                <w:sz w:val="24"/>
              </w:rPr>
              <w:t xml:space="preserve">thode PD/LGD (visée à l’article 165, paragraphe 1) tiennent également compte des dispositions de compensation visées à l’article 155, paragraphe 2, du CRR. </w:t>
            </w:r>
          </w:p>
        </w:tc>
      </w:tr>
      <w:tr w:rsidR="00C61FF5" w:rsidRPr="00392FFD" w:rsidTr="00C61F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2" w:type="dxa"/>
          </w:tcPr>
          <w:p w:rsidR="00745369" w:rsidRPr="00392FFD" w:rsidRDefault="00C61FF5" w:rsidP="00EA0BAB">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030-040</w:t>
            </w:r>
          </w:p>
        </w:tc>
        <w:tc>
          <w:tcPr>
            <w:tcW w:w="8004" w:type="dxa"/>
          </w:tcPr>
          <w:p w:rsidR="00745369" w:rsidRPr="00392FFD" w:rsidRDefault="00C61FF5"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TECHNIQUES D'ATTÉNUATION DU RISQUE DE CRÉDIT (ARC) AVEC EFFETS DE SUBSTITUTION SUR L'EXPOSITION</w:t>
            </w:r>
          </w:p>
          <w:p w:rsidR="00745369" w:rsidRPr="00392FFD" w:rsidRDefault="00C61FF5"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PROTECTION DE CRÉDIT NON FINANCÉE</w:t>
            </w:r>
          </w:p>
          <w:p w:rsidR="00745369" w:rsidRPr="00392FFD" w:rsidRDefault="00C61FF5"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GARANTIES</w:t>
            </w:r>
          </w:p>
          <w:p w:rsidR="00745369" w:rsidRPr="00392FFD" w:rsidRDefault="00C61FF5"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DÉRIVÉS DE CRÉDIT</w:t>
            </w:r>
          </w:p>
          <w:p w:rsidR="00745369" w:rsidRPr="00392FFD" w:rsidRDefault="00C61FF5" w:rsidP="00450A2E">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Indépendamment de l’approche adoptée pour le calcul des montants d’exposition pondérés pour les expositions sous forme d’actions, les établiss</w:t>
            </w:r>
            <w:r>
              <w:rPr>
                <w:rStyle w:val="InstructionsTabelleText"/>
                <w:rFonts w:ascii="Times New Roman" w:hAnsi="Times New Roman"/>
                <w:sz w:val="24"/>
              </w:rPr>
              <w:t>e</w:t>
            </w:r>
            <w:r>
              <w:rPr>
                <w:rStyle w:val="InstructionsTabelleText"/>
                <w:rFonts w:ascii="Times New Roman" w:hAnsi="Times New Roman"/>
                <w:sz w:val="24"/>
              </w:rPr>
              <w:t>ments peuvent comptabiliser la protection de crédit non financée obtenue pour une exposition sous forme d’actions (article 155, paragraphes 2, 3 et 4, du CRR). Les établissements qui appliquent la méthode de la pondération simple ou la m</w:t>
            </w:r>
            <w:r>
              <w:rPr>
                <w:rStyle w:val="InstructionsTabelleText"/>
                <w:rFonts w:ascii="Times New Roman" w:hAnsi="Times New Roman"/>
                <w:sz w:val="24"/>
              </w:rPr>
              <w:t>é</w:t>
            </w:r>
            <w:r>
              <w:rPr>
                <w:rStyle w:val="InstructionsTabelleText"/>
                <w:rFonts w:ascii="Times New Roman" w:hAnsi="Times New Roman"/>
                <w:sz w:val="24"/>
              </w:rPr>
              <w:t>thode PD/LGD déclarent dans les colonnes 030 et 040 le montant de la prote</w:t>
            </w:r>
            <w:r>
              <w:rPr>
                <w:rStyle w:val="InstructionsTabelleText"/>
                <w:rFonts w:ascii="Times New Roman" w:hAnsi="Times New Roman"/>
                <w:sz w:val="24"/>
              </w:rPr>
              <w:t>c</w:t>
            </w:r>
            <w:r>
              <w:rPr>
                <w:rStyle w:val="InstructionsTabelleText"/>
                <w:rFonts w:ascii="Times New Roman" w:hAnsi="Times New Roman"/>
                <w:sz w:val="24"/>
              </w:rPr>
              <w:t>tion de crédit non financée sous la forme de garanties (colonne 030) ou de dér</w:t>
            </w:r>
            <w:r>
              <w:rPr>
                <w:rStyle w:val="InstructionsTabelleText"/>
                <w:rFonts w:ascii="Times New Roman" w:hAnsi="Times New Roman"/>
                <w:sz w:val="24"/>
              </w:rPr>
              <w:t>i</w:t>
            </w:r>
            <w:r>
              <w:rPr>
                <w:rStyle w:val="InstructionsTabelleText"/>
                <w:rFonts w:ascii="Times New Roman" w:hAnsi="Times New Roman"/>
                <w:sz w:val="24"/>
              </w:rPr>
              <w:t>vés de crédit (colonne 040), comptabilisée selon les méthodes prévues dans la troisième partie, titre II, chapitre 4 du CRR.</w:t>
            </w:r>
          </w:p>
        </w:tc>
      </w:tr>
      <w:tr w:rsidR="00C61FF5" w:rsidRPr="00392FFD" w:rsidTr="00C61F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2" w:type="dxa"/>
          </w:tcPr>
          <w:p w:rsidR="00745369" w:rsidRPr="00392FFD" w:rsidRDefault="00C61FF5" w:rsidP="00EA0BAB">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050</w:t>
            </w:r>
          </w:p>
        </w:tc>
        <w:tc>
          <w:tcPr>
            <w:tcW w:w="8004" w:type="dxa"/>
          </w:tcPr>
          <w:p w:rsidR="00745369" w:rsidRPr="00392FFD" w:rsidRDefault="00C61FF5"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TECHNIQUES D'ATTÉNUATION DU RISQUE DE CRÉDIT (ARC) AVEC EFFETS DE SUBSTITUTION SUR L'EXPOSITION</w:t>
            </w:r>
          </w:p>
          <w:p w:rsidR="00745369" w:rsidRPr="00392FFD" w:rsidRDefault="00C61FF5"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SUBSTITUTION DE L’EXPOSITION DUE À L’ARC</w:t>
            </w:r>
          </w:p>
          <w:p w:rsidR="00745369" w:rsidRPr="00392FFD" w:rsidRDefault="00C61FF5"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 TOTAL SORTIES</w:t>
            </w:r>
          </w:p>
          <w:p w:rsidR="00745369" w:rsidRPr="00392FFD" w:rsidRDefault="00C61FF5" w:rsidP="00450A2E">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Dans la colonne 050, les établissements déclarent la portion de l’exposition in</w:t>
            </w:r>
            <w:r>
              <w:rPr>
                <w:rStyle w:val="InstructionsTabelleText"/>
                <w:rFonts w:ascii="Times New Roman" w:hAnsi="Times New Roman"/>
                <w:sz w:val="24"/>
              </w:rPr>
              <w:t>i</w:t>
            </w:r>
            <w:r>
              <w:rPr>
                <w:rStyle w:val="InstructionsTabelleText"/>
                <w:rFonts w:ascii="Times New Roman" w:hAnsi="Times New Roman"/>
                <w:sz w:val="24"/>
              </w:rPr>
              <w:lastRenderedPageBreak/>
              <w:t>tiale avant application des facteurs de conversion, couverte par une protection de crédit non financée comptabilisée selon les méthodes visées dans la troisième partie, titre II, chapitre 4 du CRR.</w:t>
            </w:r>
          </w:p>
        </w:tc>
      </w:tr>
      <w:tr w:rsidR="00C61FF5" w:rsidRPr="00392FFD" w:rsidTr="00C61F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2" w:type="dxa"/>
          </w:tcPr>
          <w:p w:rsidR="00745369" w:rsidRPr="00392FFD" w:rsidRDefault="00C61FF5" w:rsidP="00450A2E">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lastRenderedPageBreak/>
              <w:t>060</w:t>
            </w:r>
          </w:p>
        </w:tc>
        <w:tc>
          <w:tcPr>
            <w:tcW w:w="8004" w:type="dxa"/>
          </w:tcPr>
          <w:p w:rsidR="00745369" w:rsidRPr="00392FFD" w:rsidRDefault="00C61FF5"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VALEUR EXPOSÉE AU RISQUE</w:t>
            </w:r>
          </w:p>
          <w:p w:rsidR="00745369" w:rsidRPr="00392FFD" w:rsidRDefault="00C61FF5" w:rsidP="00450A2E">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Les établissements qui appliquent la méthode de la pondération simple ou la m</w:t>
            </w:r>
            <w:r>
              <w:rPr>
                <w:rStyle w:val="InstructionsTabelleText"/>
                <w:rFonts w:ascii="Times New Roman" w:hAnsi="Times New Roman"/>
                <w:sz w:val="24"/>
              </w:rPr>
              <w:t>é</w:t>
            </w:r>
            <w:r>
              <w:rPr>
                <w:rStyle w:val="InstructionsTabelleText"/>
                <w:rFonts w:ascii="Times New Roman" w:hAnsi="Times New Roman"/>
                <w:sz w:val="24"/>
              </w:rPr>
              <w:t xml:space="preserve">thode PD/LGD déclarent dans la colonne 060 la valeur exposée au risque compte tenu des effets de substitution découlant de la protection de crédit non financée (article 155, paragraphes 2 et 3, et article 167 du CRR). </w:t>
            </w:r>
          </w:p>
          <w:p w:rsidR="00745369" w:rsidRPr="00392FFD" w:rsidRDefault="00C61FF5" w:rsidP="00450A2E">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Pour rappel, dans le cas des expositions sous forme d’actions hors bilan, la v</w:t>
            </w:r>
            <w:r>
              <w:rPr>
                <w:rStyle w:val="InstructionsTabelleText"/>
                <w:rFonts w:ascii="Times New Roman" w:hAnsi="Times New Roman"/>
                <w:sz w:val="24"/>
              </w:rPr>
              <w:t>a</w:t>
            </w:r>
            <w:r>
              <w:rPr>
                <w:rStyle w:val="InstructionsTabelleText"/>
                <w:rFonts w:ascii="Times New Roman" w:hAnsi="Times New Roman"/>
                <w:sz w:val="24"/>
              </w:rPr>
              <w:t>leur exposée au risque sera la valeur nominale après ajustements pour risque de crédit spécifique (article 167 du CRR).</w:t>
            </w:r>
          </w:p>
        </w:tc>
      </w:tr>
      <w:tr w:rsidR="00C61FF5" w:rsidRPr="00392FFD" w:rsidTr="00C61F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2" w:type="dxa"/>
          </w:tcPr>
          <w:p w:rsidR="00745369" w:rsidRPr="00392FFD" w:rsidRDefault="00C61FF5" w:rsidP="00450A2E">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070</w:t>
            </w:r>
          </w:p>
        </w:tc>
        <w:tc>
          <w:tcPr>
            <w:tcW w:w="8004" w:type="dxa"/>
          </w:tcPr>
          <w:p w:rsidR="00745369" w:rsidRPr="00392FFD" w:rsidRDefault="00C61FF5"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LGD MOYENNE, PONDÉRÉE (%)</w:t>
            </w:r>
          </w:p>
          <w:p w:rsidR="00745369" w:rsidRPr="00392FFD" w:rsidRDefault="00C61FF5" w:rsidP="00450A2E">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Les établissements qui appliquent la méthode PD/LGD déclarent dans la colonne 070 du modèle CR EQU IRB 2 la valeur moyenne, pondérée en fonction de l’exposition, des pertes en cas de défaut affectées aux échelons ou catégories de débiteurs de l’ensemble; il en va de même pour la ligne 020 du modèle CR EQU IRB. La valeur exposée au risque compte tenu de la protection de crédit non f</w:t>
            </w:r>
            <w:r>
              <w:rPr>
                <w:rStyle w:val="InstructionsTabelleText"/>
                <w:rFonts w:ascii="Times New Roman" w:hAnsi="Times New Roman"/>
                <w:sz w:val="24"/>
              </w:rPr>
              <w:t>i</w:t>
            </w:r>
            <w:r>
              <w:rPr>
                <w:rStyle w:val="InstructionsTabelleText"/>
                <w:rFonts w:ascii="Times New Roman" w:hAnsi="Times New Roman"/>
                <w:sz w:val="24"/>
              </w:rPr>
              <w:t>nancée (colonne 060) sera utilisée pour le calcul du montant pondéré moyen des pertes en cas de défaut. Les établissements tiendront compte des dispositions de l’article 165, paragraphe 2, du CRR.</w:t>
            </w:r>
          </w:p>
        </w:tc>
      </w:tr>
      <w:tr w:rsidR="00C61FF5" w:rsidRPr="00392FFD" w:rsidTr="00C61F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2" w:type="dxa"/>
          </w:tcPr>
          <w:p w:rsidR="00745369" w:rsidRPr="00392FFD" w:rsidRDefault="00C61FF5" w:rsidP="00450A2E">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080</w:t>
            </w:r>
          </w:p>
        </w:tc>
        <w:tc>
          <w:tcPr>
            <w:tcW w:w="8004" w:type="dxa"/>
          </w:tcPr>
          <w:p w:rsidR="00745369" w:rsidRPr="00392FFD" w:rsidRDefault="00C61FF5"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MONTANT D’EXPOSITION PONDÉRÉ</w:t>
            </w:r>
          </w:p>
          <w:p w:rsidR="00745369" w:rsidRPr="00392FFD" w:rsidRDefault="00C61FF5" w:rsidP="00450A2E">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Dans la colonne 080, les établissements déclarent les montants d’exposition pondérés pour les expositions sous forme d’actions, calculés conformément aux dispositions de l’article 155 du CRR.</w:t>
            </w:r>
          </w:p>
          <w:p w:rsidR="00745369" w:rsidRPr="00392FFD" w:rsidRDefault="00C61FF5" w:rsidP="00450A2E">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Lorsque les établissements qui appliquent la méthode PD/LGD ne disposent pas d’informations suffisantes pour pouvoir utiliser la définition du défaut énoncée à l’article 178 du CRR, un facteur de majoration de 1,5 est appliqué aux pondér</w:t>
            </w:r>
            <w:r>
              <w:rPr>
                <w:rStyle w:val="InstructionsTabelleText"/>
                <w:rFonts w:ascii="Times New Roman" w:hAnsi="Times New Roman"/>
                <w:sz w:val="24"/>
              </w:rPr>
              <w:t>a</w:t>
            </w:r>
            <w:r>
              <w:rPr>
                <w:rStyle w:val="InstructionsTabelleText"/>
                <w:rFonts w:ascii="Times New Roman" w:hAnsi="Times New Roman"/>
                <w:sz w:val="24"/>
              </w:rPr>
              <w:t xml:space="preserve">tions de risque lors du calcul des montants d’exposition pondérés (article 155, paragraphe 3, du CRR). </w:t>
            </w:r>
          </w:p>
          <w:p w:rsidR="00745369" w:rsidRPr="00392FFD" w:rsidRDefault="00C61FF5" w:rsidP="00450A2E">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En ce qui concerne le paramètre d’entrée M (Maturity, échéance) de la fonction de pondération de risque, l’échéance attribuée aux expositions sous forme d’actions est de cinq ans (article 165, paragraphe 3, du CRR).</w:t>
            </w:r>
          </w:p>
        </w:tc>
      </w:tr>
      <w:tr w:rsidR="00C61FF5" w:rsidRPr="00392FFD" w:rsidTr="00C61F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2" w:type="dxa"/>
          </w:tcPr>
          <w:p w:rsidR="00745369" w:rsidRPr="00392FFD" w:rsidRDefault="00C61FF5" w:rsidP="00450A2E">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090</w:t>
            </w:r>
          </w:p>
        </w:tc>
        <w:tc>
          <w:tcPr>
            <w:tcW w:w="8004" w:type="dxa"/>
          </w:tcPr>
          <w:p w:rsidR="00745369" w:rsidRPr="00392FFD" w:rsidRDefault="00C61FF5"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POUR MÉMOIRE: MONTANT DES PERTES ANTICIPÉES</w:t>
            </w:r>
          </w:p>
          <w:p w:rsidR="00745369" w:rsidRPr="00392FFD" w:rsidRDefault="00C61FF5" w:rsidP="00450A2E">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Dans la colonne 090, les établissements déclarent le montant de la perte antic</w:t>
            </w:r>
            <w:r>
              <w:rPr>
                <w:rStyle w:val="InstructionsTabelleText"/>
                <w:rFonts w:ascii="Times New Roman" w:hAnsi="Times New Roman"/>
                <w:sz w:val="24"/>
              </w:rPr>
              <w:t>i</w:t>
            </w:r>
            <w:r>
              <w:rPr>
                <w:rStyle w:val="InstructionsTabelleText"/>
                <w:rFonts w:ascii="Times New Roman" w:hAnsi="Times New Roman"/>
                <w:sz w:val="24"/>
              </w:rPr>
              <w:t>pée pour les expositions sous forme d’actions, conformément à l’article 158, p</w:t>
            </w:r>
            <w:r>
              <w:rPr>
                <w:rStyle w:val="InstructionsTabelleText"/>
                <w:rFonts w:ascii="Times New Roman" w:hAnsi="Times New Roman"/>
                <w:sz w:val="24"/>
              </w:rPr>
              <w:t>a</w:t>
            </w:r>
            <w:r>
              <w:rPr>
                <w:rStyle w:val="InstructionsTabelleText"/>
                <w:rFonts w:ascii="Times New Roman" w:hAnsi="Times New Roman"/>
                <w:sz w:val="24"/>
              </w:rPr>
              <w:t xml:space="preserve">ragraphes 4, 7, 8 et 9, du CRR. </w:t>
            </w:r>
          </w:p>
        </w:tc>
      </w:tr>
    </w:tbl>
    <w:p w:rsidR="00745369" w:rsidRPr="00392FFD" w:rsidRDefault="00745369" w:rsidP="00622B37">
      <w:pPr>
        <w:pStyle w:val="InstructionsText"/>
      </w:pPr>
    </w:p>
    <w:p w:rsidR="00C61FF5" w:rsidRPr="00392FFD" w:rsidRDefault="00125707" w:rsidP="0023700C">
      <w:pPr>
        <w:pStyle w:val="InstructionsText2"/>
        <w:numPr>
          <w:ilvl w:val="0"/>
          <w:numId w:val="0"/>
        </w:numPr>
        <w:ind w:left="1353" w:hanging="360"/>
      </w:pPr>
      <w:r>
        <w:t>92.</w:t>
      </w:r>
      <w:r>
        <w:tab/>
        <w:t xml:space="preserve">Conformément à l’article 155 du CRR, les établissements peuvent appliquer différentes approches (méthode de la pondération simple, méthode PD/LGD, approche fondée sur les modèles internes) à différents portefeuilles lorsqu’ils utilisent ces différentes approches en interne. Dans le modèle CR QU IRB 1, les </w:t>
      </w:r>
      <w:r>
        <w:lastRenderedPageBreak/>
        <w:t>établissements déclarent également les montants d’exposition pondérés pour les expositions sous forme d’actions qui impliquent un traitement de pondération fixe [sans pour autant être explicitement traitées selon la méthode de pondér</w:t>
      </w:r>
      <w:r>
        <w:t>a</w:t>
      </w:r>
      <w:r>
        <w:t>tion simple ou selon le recours partiel (temporaire ou permanent) à l’approche standard du risque de crédit].</w:t>
      </w:r>
    </w:p>
    <w:tbl>
      <w:tblPr>
        <w:tblW w:w="9524" w:type="dxa"/>
        <w:tblLook w:val="01E0" w:firstRow="1" w:lastRow="1" w:firstColumn="1" w:lastColumn="1" w:noHBand="0" w:noVBand="0"/>
      </w:tblPr>
      <w:tblGrid>
        <w:gridCol w:w="1608"/>
        <w:gridCol w:w="7916"/>
      </w:tblGrid>
      <w:tr w:rsidR="00C61FF5" w:rsidRPr="00392FFD" w:rsidTr="00334093">
        <w:tc>
          <w:tcPr>
            <w:tcW w:w="9524" w:type="dxa"/>
            <w:gridSpan w:val="2"/>
            <w:tcBorders>
              <w:top w:val="single" w:sz="4" w:space="0" w:color="auto"/>
              <w:left w:val="single" w:sz="4" w:space="0" w:color="auto"/>
              <w:bottom w:val="single" w:sz="4" w:space="0" w:color="auto"/>
              <w:right w:val="single" w:sz="4" w:space="0" w:color="auto"/>
            </w:tcBorders>
            <w:shd w:val="clear" w:color="auto" w:fill="A6A6A6"/>
          </w:tcPr>
          <w:p w:rsidR="00745369" w:rsidRPr="00392FFD" w:rsidRDefault="00C61FF5" w:rsidP="00EA0BAB">
            <w:pPr>
              <w:spacing w:beforeLines="60" w:before="144" w:afterLines="60" w:after="144"/>
              <w:rPr>
                <w:rStyle w:val="InstructionsTabelleText"/>
                <w:rFonts w:ascii="Times New Roman" w:hAnsi="Times New Roman"/>
                <w:b/>
                <w:sz w:val="24"/>
              </w:rPr>
            </w:pPr>
            <w:r>
              <w:rPr>
                <w:rStyle w:val="InstructionsTabelleText"/>
                <w:rFonts w:ascii="Times New Roman" w:hAnsi="Times New Roman"/>
                <w:b/>
                <w:sz w:val="24"/>
              </w:rPr>
              <w:t>Lignes</w:t>
            </w:r>
          </w:p>
        </w:tc>
      </w:tr>
      <w:tr w:rsidR="00C61FF5" w:rsidRPr="00392FFD" w:rsidTr="00C61FF5">
        <w:tc>
          <w:tcPr>
            <w:tcW w:w="1608" w:type="dxa"/>
            <w:tcBorders>
              <w:top w:val="single" w:sz="4" w:space="0" w:color="auto"/>
              <w:left w:val="single" w:sz="4" w:space="0" w:color="auto"/>
              <w:bottom w:val="single" w:sz="4" w:space="0" w:color="auto"/>
              <w:right w:val="single" w:sz="4" w:space="0" w:color="auto"/>
            </w:tcBorders>
          </w:tcPr>
          <w:p w:rsidR="00745369" w:rsidRPr="00392FFD" w:rsidRDefault="00C61FF5" w:rsidP="00EA0BAB">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CR EQU IRB 1 - ligne 020</w:t>
            </w:r>
          </w:p>
          <w:p w:rsidR="00745369" w:rsidRPr="00392FFD" w:rsidRDefault="00745369" w:rsidP="00450A2E">
            <w:pPr>
              <w:spacing w:beforeLines="60" w:before="144" w:afterLines="60" w:after="144"/>
              <w:rPr>
                <w:rStyle w:val="InstructionsTabelleText"/>
                <w:rFonts w:ascii="Times New Roman" w:hAnsi="Times New Roman"/>
                <w:sz w:val="24"/>
              </w:rPr>
            </w:pPr>
          </w:p>
        </w:tc>
        <w:tc>
          <w:tcPr>
            <w:tcW w:w="7916" w:type="dxa"/>
            <w:tcBorders>
              <w:top w:val="single" w:sz="4" w:space="0" w:color="auto"/>
              <w:left w:val="single" w:sz="4" w:space="0" w:color="auto"/>
              <w:bottom w:val="single" w:sz="4" w:space="0" w:color="auto"/>
              <w:right w:val="single" w:sz="4" w:space="0" w:color="auto"/>
            </w:tcBorders>
          </w:tcPr>
          <w:p w:rsidR="00745369" w:rsidRPr="00392FFD" w:rsidRDefault="00C61FF5" w:rsidP="00450A2E">
            <w:pPr>
              <w:keepNext/>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 xml:space="preserve">MÉTHODE PD/LGD: TOTAL </w:t>
            </w:r>
          </w:p>
          <w:p w:rsidR="00745369" w:rsidRPr="00392FFD" w:rsidRDefault="00C61FF5" w:rsidP="00450A2E">
            <w:pPr>
              <w:keepNext/>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Les établissements qui appliquent la méthode PD/LGD (article 155, paragraphe 3, du CRR) déclarent les informations requises à la ligne 020 du modèle CR EQU IRB 1.</w:t>
            </w:r>
          </w:p>
        </w:tc>
      </w:tr>
      <w:tr w:rsidR="00C61FF5" w:rsidRPr="00392FFD" w:rsidTr="00C61FF5">
        <w:tc>
          <w:tcPr>
            <w:tcW w:w="1608" w:type="dxa"/>
            <w:tcBorders>
              <w:top w:val="single" w:sz="4" w:space="0" w:color="auto"/>
              <w:left w:val="single" w:sz="4" w:space="0" w:color="auto"/>
              <w:bottom w:val="single" w:sz="4" w:space="0" w:color="auto"/>
              <w:right w:val="single" w:sz="4" w:space="0" w:color="auto"/>
            </w:tcBorders>
          </w:tcPr>
          <w:p w:rsidR="00745369" w:rsidRPr="00392FFD" w:rsidRDefault="00C61FF5" w:rsidP="00EA0BAB">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CR EQU IRB 1 - lignes 050 - 090</w:t>
            </w:r>
          </w:p>
        </w:tc>
        <w:tc>
          <w:tcPr>
            <w:tcW w:w="7916" w:type="dxa"/>
            <w:tcBorders>
              <w:top w:val="single" w:sz="4" w:space="0" w:color="auto"/>
              <w:left w:val="single" w:sz="4" w:space="0" w:color="auto"/>
              <w:bottom w:val="single" w:sz="4" w:space="0" w:color="auto"/>
              <w:right w:val="single" w:sz="4" w:space="0" w:color="auto"/>
            </w:tcBorders>
          </w:tcPr>
          <w:p w:rsidR="00C61FF5" w:rsidRPr="00392FFD" w:rsidRDefault="00C61FF5" w:rsidP="00C61FF5">
            <w:pPr>
              <w:rPr>
                <w:rStyle w:val="InstructionsTabelleText"/>
                <w:rFonts w:ascii="Times New Roman" w:hAnsi="Times New Roman"/>
                <w:b/>
                <w:sz w:val="24"/>
                <w:u w:val="single"/>
              </w:rPr>
            </w:pPr>
            <w:r>
              <w:rPr>
                <w:rStyle w:val="InstructionsTabelleText"/>
                <w:rFonts w:ascii="Times New Roman" w:hAnsi="Times New Roman"/>
                <w:b/>
                <w:sz w:val="24"/>
                <w:u w:val="single"/>
              </w:rPr>
              <w:t>MÉTHODE DE PONDÉRATION SIMPLE: TOTAL</w:t>
            </w:r>
          </w:p>
          <w:p w:rsidR="00C61FF5" w:rsidRPr="00392FFD" w:rsidRDefault="00C61FF5" w:rsidP="00C61FF5">
            <w:pPr>
              <w:rPr>
                <w:rStyle w:val="InstructionsTabelleText"/>
                <w:rFonts w:ascii="Times New Roman" w:hAnsi="Times New Roman"/>
                <w:b/>
                <w:sz w:val="24"/>
                <w:u w:val="single"/>
              </w:rPr>
            </w:pPr>
            <w:r>
              <w:rPr>
                <w:rStyle w:val="InstructionsTabelleText"/>
                <w:rFonts w:ascii="Times New Roman" w:hAnsi="Times New Roman"/>
                <w:b/>
                <w:sz w:val="24"/>
                <w:u w:val="single"/>
              </w:rPr>
              <w:t>RÉPARTITION DES EXPOSITIONS TOTALES PAR PONDÉRATION SELON LA MÉTHODE DE PONDÉRATION SIMPLE:</w:t>
            </w:r>
          </w:p>
          <w:p w:rsidR="00745369" w:rsidRPr="00392FFD" w:rsidRDefault="00C61FF5" w:rsidP="00EA0BAB">
            <w:pPr>
              <w:keepNext/>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Les établissements qui appliquent la méthode de pondération simple (article 155, paragraphe 2, du CRR) déclarent aux lignes 050 à 090 les informations r</w:t>
            </w:r>
            <w:r>
              <w:rPr>
                <w:rStyle w:val="InstructionsTabelleText"/>
                <w:rFonts w:ascii="Times New Roman" w:hAnsi="Times New Roman"/>
                <w:sz w:val="24"/>
              </w:rPr>
              <w:t>e</w:t>
            </w:r>
            <w:r>
              <w:rPr>
                <w:rStyle w:val="InstructionsTabelleText"/>
                <w:rFonts w:ascii="Times New Roman" w:hAnsi="Times New Roman"/>
                <w:sz w:val="24"/>
              </w:rPr>
              <w:t>quises en fonction des caractéristiques des expositions sous-jacentes.</w:t>
            </w:r>
          </w:p>
        </w:tc>
      </w:tr>
      <w:tr w:rsidR="00C61FF5" w:rsidRPr="00392FFD" w:rsidTr="00C61FF5">
        <w:tc>
          <w:tcPr>
            <w:tcW w:w="1608" w:type="dxa"/>
            <w:tcBorders>
              <w:top w:val="single" w:sz="4" w:space="0" w:color="auto"/>
              <w:left w:val="single" w:sz="4" w:space="0" w:color="auto"/>
              <w:bottom w:val="single" w:sz="4" w:space="0" w:color="auto"/>
              <w:right w:val="single" w:sz="4" w:space="0" w:color="auto"/>
            </w:tcBorders>
          </w:tcPr>
          <w:p w:rsidR="00745369" w:rsidRPr="00392FFD" w:rsidRDefault="00C61FF5" w:rsidP="00EA0BAB">
            <w:pPr>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CR EQU IRB 1 - ligne 100</w:t>
            </w:r>
          </w:p>
        </w:tc>
        <w:tc>
          <w:tcPr>
            <w:tcW w:w="7916" w:type="dxa"/>
            <w:tcBorders>
              <w:top w:val="single" w:sz="4" w:space="0" w:color="auto"/>
              <w:left w:val="single" w:sz="4" w:space="0" w:color="auto"/>
              <w:bottom w:val="single" w:sz="4" w:space="0" w:color="auto"/>
              <w:right w:val="single" w:sz="4" w:space="0" w:color="auto"/>
            </w:tcBorders>
          </w:tcPr>
          <w:p w:rsidR="00C61FF5" w:rsidRPr="00392FFD" w:rsidRDefault="00C61FF5" w:rsidP="00C61FF5">
            <w:pPr>
              <w:rPr>
                <w:rStyle w:val="InstructionsTabelleberschrift"/>
                <w:rFonts w:ascii="Times New Roman" w:hAnsi="Times New Roman"/>
                <w:sz w:val="24"/>
              </w:rPr>
            </w:pPr>
            <w:r>
              <w:rPr>
                <w:rStyle w:val="InstructionsTabelleberschrift"/>
                <w:rFonts w:ascii="Times New Roman" w:hAnsi="Times New Roman"/>
                <w:sz w:val="24"/>
              </w:rPr>
              <w:t>APPROCHE FONDÉE SUR LES MODÈLES INTERNES</w:t>
            </w:r>
          </w:p>
          <w:p w:rsidR="00C61FF5" w:rsidRPr="00392FFD" w:rsidRDefault="00C61FF5" w:rsidP="00622B37">
            <w:pPr>
              <w:pStyle w:val="InstructionsText"/>
              <w:rPr>
                <w:rStyle w:val="FormatvorlageInstructionsTabelleText"/>
                <w:rFonts w:ascii="Times New Roman" w:hAnsi="Times New Roman"/>
                <w:bCs w:val="0"/>
                <w:sz w:val="24"/>
              </w:rPr>
            </w:pPr>
            <w:r>
              <w:rPr>
                <w:rStyle w:val="FormatvorlageInstructionsTabelleText"/>
                <w:rFonts w:ascii="Times New Roman" w:hAnsi="Times New Roman"/>
                <w:sz w:val="24"/>
              </w:rPr>
              <w:t>Les établissements qui appliquent l’approche fondée sur les modèles internes (article 155, paragraphe 4, du CRR) déclarent les informations requises à la ligne 100.</w:t>
            </w:r>
          </w:p>
        </w:tc>
      </w:tr>
      <w:tr w:rsidR="00C61FF5" w:rsidRPr="00392FFD" w:rsidTr="00C61FF5">
        <w:tc>
          <w:tcPr>
            <w:tcW w:w="1608" w:type="dxa"/>
            <w:tcBorders>
              <w:top w:val="single" w:sz="4" w:space="0" w:color="auto"/>
              <w:left w:val="single" w:sz="4" w:space="0" w:color="auto"/>
              <w:bottom w:val="single" w:sz="4" w:space="0" w:color="auto"/>
              <w:right w:val="single" w:sz="4" w:space="0" w:color="auto"/>
            </w:tcBorders>
          </w:tcPr>
          <w:p w:rsidR="00745369" w:rsidRPr="00392FFD" w:rsidRDefault="00C61FF5" w:rsidP="00EA0BAB">
            <w:pPr>
              <w:spacing w:beforeLines="60" w:before="144" w:afterLines="60" w:after="144"/>
              <w:rPr>
                <w:rStyle w:val="InstructionsTabelleText"/>
                <w:rFonts w:ascii="Times New Roman" w:hAnsi="Times New Roman"/>
                <w:bCs/>
                <w:sz w:val="24"/>
              </w:rPr>
            </w:pPr>
            <w:r>
              <w:rPr>
                <w:rStyle w:val="InstructionsTabelleText"/>
                <w:rFonts w:ascii="Times New Roman" w:hAnsi="Times New Roman"/>
                <w:sz w:val="24"/>
              </w:rPr>
              <w:t>CR EQU IRB 1 - ligne 110</w:t>
            </w:r>
          </w:p>
        </w:tc>
        <w:tc>
          <w:tcPr>
            <w:tcW w:w="7916" w:type="dxa"/>
            <w:tcBorders>
              <w:top w:val="single" w:sz="4" w:space="0" w:color="auto"/>
              <w:left w:val="single" w:sz="4" w:space="0" w:color="auto"/>
              <w:bottom w:val="single" w:sz="4" w:space="0" w:color="auto"/>
              <w:right w:val="single" w:sz="4" w:space="0" w:color="auto"/>
            </w:tcBorders>
          </w:tcPr>
          <w:p w:rsidR="00C61FF5" w:rsidRPr="00392FFD" w:rsidRDefault="00C61FF5" w:rsidP="00C61FF5">
            <w:pPr>
              <w:rPr>
                <w:rStyle w:val="InstructionsTabelleberschrift"/>
                <w:rFonts w:ascii="Times New Roman" w:hAnsi="Times New Roman"/>
                <w:sz w:val="24"/>
              </w:rPr>
            </w:pPr>
            <w:r>
              <w:rPr>
                <w:rStyle w:val="InstructionsTabelleberschrift"/>
                <w:rFonts w:ascii="Times New Roman" w:hAnsi="Times New Roman"/>
                <w:sz w:val="24"/>
              </w:rPr>
              <w:t>EXPOSITIONS sous forme d'actions FAISANT L’OBJET DE POND</w:t>
            </w:r>
            <w:r>
              <w:rPr>
                <w:rStyle w:val="InstructionsTabelleberschrift"/>
                <w:rFonts w:ascii="Times New Roman" w:hAnsi="Times New Roman"/>
                <w:sz w:val="24"/>
              </w:rPr>
              <w:t>É</w:t>
            </w:r>
            <w:r>
              <w:rPr>
                <w:rStyle w:val="InstructionsTabelleberschrift"/>
                <w:rFonts w:ascii="Times New Roman" w:hAnsi="Times New Roman"/>
                <w:sz w:val="24"/>
              </w:rPr>
              <w:t>RATIONS</w:t>
            </w:r>
          </w:p>
          <w:p w:rsidR="00C61FF5" w:rsidRPr="00392FFD" w:rsidRDefault="00C61FF5" w:rsidP="00C61FF5">
            <w:pPr>
              <w:rPr>
                <w:rFonts w:ascii="Times New Roman" w:hAnsi="Times New Roman"/>
                <w:sz w:val="24"/>
              </w:rPr>
            </w:pPr>
            <w:r>
              <w:rPr>
                <w:rFonts w:ascii="Times New Roman" w:hAnsi="Times New Roman"/>
                <w:sz w:val="24"/>
              </w:rPr>
              <w:t xml:space="preserve">Les établissements qui appliquent l’approche NI déclarent les montants d’exposition pondérés pour les expositions sous forme d’actions qui impliquent un traitement de pondération fixe [sans pour autant être explicitement traitées selon la méthode de pondération simple ou selon le recours partiel (temporaire ou permanent) à l’approche standard du risque de crédit]. Par exemple, </w:t>
            </w:r>
          </w:p>
          <w:p w:rsidR="00C61FF5" w:rsidRPr="00392FFD" w:rsidRDefault="00C61FF5" w:rsidP="00C61FF5">
            <w:pPr>
              <w:rPr>
                <w:rStyle w:val="FormatvorlageInstructionsTabelleText"/>
                <w:rFonts w:ascii="Times New Roman" w:hAnsi="Times New Roman"/>
                <w:sz w:val="24"/>
              </w:rPr>
            </w:pPr>
            <w:r>
              <w:rPr>
                <w:rFonts w:ascii="Times New Roman" w:hAnsi="Times New Roman"/>
                <w:sz w:val="24"/>
              </w:rPr>
              <w:t>-</w:t>
            </w:r>
            <w:r>
              <w:rPr>
                <w:rStyle w:val="FormatvorlageInstructionsTabelleText"/>
                <w:rFonts w:ascii="Times New Roman" w:hAnsi="Times New Roman"/>
                <w:sz w:val="24"/>
              </w:rPr>
              <w:t xml:space="preserve"> le montant d’exposition pondéré des positions sous forme d'actions dans des entités du secteur financier traité conformément à l’article 48, paragraphe 4, du CRR, ainsi que </w:t>
            </w:r>
          </w:p>
          <w:p w:rsidR="00C61FF5" w:rsidRPr="00392FFD" w:rsidRDefault="00C61FF5" w:rsidP="00C61FF5">
            <w:pPr>
              <w:rPr>
                <w:rStyle w:val="FormatvorlageInstructionsTabelleText"/>
                <w:rFonts w:ascii="Times New Roman" w:hAnsi="Times New Roman"/>
                <w:sz w:val="24"/>
              </w:rPr>
            </w:pPr>
            <w:r>
              <w:rPr>
                <w:rStyle w:val="FormatvorlageInstructionsTabelleText"/>
                <w:rFonts w:ascii="Times New Roman" w:hAnsi="Times New Roman"/>
                <w:sz w:val="24"/>
              </w:rPr>
              <w:t xml:space="preserve">- les positions sous forme d'actions faisant l'objet d'une pondération de 370 % conformément à l'article 471, paragraphe 2, du CRR </w:t>
            </w:r>
          </w:p>
          <w:p w:rsidR="00C61FF5" w:rsidRPr="00392FFD" w:rsidRDefault="00C61FF5" w:rsidP="00C61FF5">
            <w:pPr>
              <w:rPr>
                <w:rStyle w:val="FormatvorlageInstructionsTabelleText"/>
                <w:rFonts w:ascii="Times New Roman" w:hAnsi="Times New Roman"/>
                <w:sz w:val="24"/>
              </w:rPr>
            </w:pPr>
            <w:r>
              <w:rPr>
                <w:rStyle w:val="FormatvorlageInstructionsTabelleText"/>
                <w:rFonts w:ascii="Times New Roman" w:hAnsi="Times New Roman"/>
                <w:sz w:val="24"/>
              </w:rPr>
              <w:t>seront déclarés à la ligne 110.</w:t>
            </w:r>
          </w:p>
        </w:tc>
      </w:tr>
      <w:tr w:rsidR="00C61FF5" w:rsidRPr="00392FFD" w:rsidTr="00C61FF5">
        <w:tc>
          <w:tcPr>
            <w:tcW w:w="1608" w:type="dxa"/>
            <w:tcBorders>
              <w:top w:val="single" w:sz="4" w:space="0" w:color="auto"/>
              <w:left w:val="single" w:sz="4" w:space="0" w:color="auto"/>
              <w:bottom w:val="single" w:sz="4" w:space="0" w:color="auto"/>
              <w:right w:val="single" w:sz="4" w:space="0" w:color="auto"/>
            </w:tcBorders>
          </w:tcPr>
          <w:p w:rsidR="00C61FF5" w:rsidRPr="00392FFD" w:rsidRDefault="00C61FF5" w:rsidP="00C61FF5">
            <w:pPr>
              <w:rPr>
                <w:rStyle w:val="InstructionsTabelleText"/>
                <w:rFonts w:ascii="Times New Roman" w:hAnsi="Times New Roman"/>
                <w:sz w:val="24"/>
              </w:rPr>
            </w:pPr>
            <w:r>
              <w:rPr>
                <w:rStyle w:val="InstructionsTabelleText"/>
                <w:rFonts w:ascii="Times New Roman" w:hAnsi="Times New Roman"/>
                <w:sz w:val="24"/>
              </w:rPr>
              <w:t>CR EQU IRB 2</w:t>
            </w:r>
          </w:p>
          <w:p w:rsidR="00745369" w:rsidRPr="00392FFD" w:rsidRDefault="00745369" w:rsidP="00EA0BAB">
            <w:pPr>
              <w:spacing w:beforeLines="60" w:before="144" w:afterLines="60" w:after="144"/>
              <w:rPr>
                <w:rStyle w:val="InstructionsTabelleText"/>
                <w:rFonts w:ascii="Times New Roman" w:hAnsi="Times New Roman"/>
                <w:sz w:val="24"/>
              </w:rPr>
            </w:pPr>
          </w:p>
        </w:tc>
        <w:tc>
          <w:tcPr>
            <w:tcW w:w="7916" w:type="dxa"/>
            <w:tcBorders>
              <w:top w:val="single" w:sz="4" w:space="0" w:color="auto"/>
              <w:left w:val="single" w:sz="4" w:space="0" w:color="auto"/>
              <w:bottom w:val="single" w:sz="4" w:space="0" w:color="auto"/>
              <w:right w:val="single" w:sz="4" w:space="0" w:color="auto"/>
            </w:tcBorders>
          </w:tcPr>
          <w:p w:rsidR="00745369" w:rsidRPr="00392FFD" w:rsidRDefault="00C61FF5" w:rsidP="00450A2E">
            <w:pPr>
              <w:keepNext/>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RÉPARTITION DES EXPOSITIONS TOTALES SELON LA MÉTHODE PD/LGD PAR ÉCHELON DE DÉBITEUR:</w:t>
            </w:r>
          </w:p>
          <w:p w:rsidR="00745369" w:rsidRPr="00392FFD" w:rsidRDefault="00C61FF5" w:rsidP="00450A2E">
            <w:pPr>
              <w:keepNext/>
              <w:spacing w:beforeLines="60" w:before="144" w:afterLines="60" w:after="144"/>
              <w:rPr>
                <w:rStyle w:val="InstructionsTabelleText"/>
                <w:rFonts w:ascii="Times New Roman" w:hAnsi="Times New Roman"/>
                <w:sz w:val="24"/>
              </w:rPr>
            </w:pPr>
            <w:r>
              <w:rPr>
                <w:rStyle w:val="InstructionsTabelleText"/>
                <w:rFonts w:ascii="Times New Roman" w:hAnsi="Times New Roman"/>
                <w:sz w:val="24"/>
              </w:rPr>
              <w:t>Les établissements qui appliquent la méthode PD/LGD (article 155, paragraphe 3, du CRR) déclarent les informations requises dans le modèle CR EQU IRB 2.</w:t>
            </w:r>
          </w:p>
          <w:p w:rsidR="00C61FF5" w:rsidRPr="00392FFD" w:rsidRDefault="00C61FF5" w:rsidP="00C61FF5">
            <w:pPr>
              <w:rPr>
                <w:rStyle w:val="InstructionsTabelleberschrift"/>
                <w:rFonts w:ascii="Times New Roman" w:hAnsi="Times New Roman"/>
                <w:b w:val="0"/>
                <w:bCs w:val="0"/>
                <w:sz w:val="24"/>
                <w:u w:val="none"/>
              </w:rPr>
            </w:pPr>
            <w:r>
              <w:rPr>
                <w:rStyle w:val="InstructionsTabelleText"/>
                <w:rFonts w:ascii="Times New Roman" w:hAnsi="Times New Roman"/>
                <w:sz w:val="24"/>
              </w:rPr>
              <w:t>Lorsque les établissements qui appliquent la méthode PD/LGD utilisent un sy</w:t>
            </w:r>
            <w:r>
              <w:rPr>
                <w:rStyle w:val="InstructionsTabelleText"/>
                <w:rFonts w:ascii="Times New Roman" w:hAnsi="Times New Roman"/>
                <w:sz w:val="24"/>
              </w:rPr>
              <w:t>s</w:t>
            </w:r>
            <w:r>
              <w:rPr>
                <w:rStyle w:val="InstructionsTabelleText"/>
                <w:rFonts w:ascii="Times New Roman" w:hAnsi="Times New Roman"/>
                <w:sz w:val="24"/>
              </w:rPr>
              <w:t xml:space="preserve">tème unique de notations ou peuvent baser leur déclaration sur une échelle-type </w:t>
            </w:r>
            <w:r>
              <w:rPr>
                <w:rStyle w:val="InstructionsTabelleText"/>
                <w:rFonts w:ascii="Times New Roman" w:hAnsi="Times New Roman"/>
                <w:sz w:val="24"/>
              </w:rPr>
              <w:lastRenderedPageBreak/>
              <w:t>interne, ils déclarent les échelons ou catégories de débiteurs associés à ce sy</w:t>
            </w:r>
            <w:r>
              <w:rPr>
                <w:rStyle w:val="InstructionsTabelleText"/>
                <w:rFonts w:ascii="Times New Roman" w:hAnsi="Times New Roman"/>
                <w:sz w:val="24"/>
              </w:rPr>
              <w:t>s</w:t>
            </w:r>
            <w:r>
              <w:rPr>
                <w:rStyle w:val="InstructionsTabelleText"/>
                <w:rFonts w:ascii="Times New Roman" w:hAnsi="Times New Roman"/>
                <w:sz w:val="24"/>
              </w:rPr>
              <w:t>tème unique de notations / cette échelle-type interne dans le modèle CR EQU IRB 2. Dans les autres cas, on fusionnera les divers systèmes de notation, le</w:t>
            </w:r>
            <w:r>
              <w:rPr>
                <w:rStyle w:val="InstructionsTabelleText"/>
                <w:rFonts w:ascii="Times New Roman" w:hAnsi="Times New Roman"/>
                <w:sz w:val="24"/>
              </w:rPr>
              <w:t>s</w:t>
            </w:r>
            <w:r>
              <w:rPr>
                <w:rStyle w:val="InstructionsTabelleText"/>
                <w:rFonts w:ascii="Times New Roman" w:hAnsi="Times New Roman"/>
                <w:sz w:val="24"/>
              </w:rPr>
              <w:t>quels seront classés selon les critères suivants: Les échelons ou les catégories de débiteurs de ces divers systèmes de notation seront groupés et classés de la plus petite PD attribuée à chaque échelon ou catégorie de débiteurs à la plus grande.</w:t>
            </w:r>
          </w:p>
        </w:tc>
      </w:tr>
    </w:tbl>
    <w:p w:rsidR="00633DEB" w:rsidRPr="00392FFD" w:rsidRDefault="00633DEB">
      <w:pPr>
        <w:spacing w:before="0" w:after="0"/>
        <w:jc w:val="left"/>
        <w:rPr>
          <w:rStyle w:val="InstructionsTabelleText"/>
          <w:rFonts w:ascii="Times New Roman" w:hAnsi="Times New Roman"/>
          <w:sz w:val="24"/>
        </w:rPr>
      </w:pPr>
    </w:p>
    <w:p w:rsidR="00612780" w:rsidRPr="00321A3B" w:rsidRDefault="00125707" w:rsidP="0023700C">
      <w:pPr>
        <w:pStyle w:val="Instructionsberschrift2"/>
        <w:numPr>
          <w:ilvl w:val="0"/>
          <w:numId w:val="0"/>
        </w:numPr>
        <w:ind w:left="357" w:hanging="357"/>
        <w:rPr>
          <w:rFonts w:ascii="Times New Roman" w:hAnsi="Times New Roman" w:cs="Times New Roman"/>
          <w:sz w:val="24"/>
        </w:rPr>
      </w:pPr>
      <w:bookmarkStart w:id="364" w:name="_Toc310415035"/>
      <w:bookmarkStart w:id="365" w:name="_Toc360188372"/>
      <w:bookmarkStart w:id="366" w:name="_Toc473560923"/>
      <w:bookmarkStart w:id="367" w:name="_Toc496022318"/>
      <w:r>
        <w:rPr>
          <w:rFonts w:ascii="Times New Roman" w:hAnsi="Times New Roman"/>
          <w:sz w:val="24"/>
          <w:u w:val="none"/>
        </w:rPr>
        <w:t>3.6.</w:t>
      </w:r>
      <w:r>
        <w:tab/>
      </w:r>
      <w:r>
        <w:rPr>
          <w:rFonts w:ascii="Times New Roman" w:hAnsi="Times New Roman"/>
          <w:sz w:val="24"/>
        </w:rPr>
        <w:t>C 11.00 – Risque de règlement/livraison</w:t>
      </w:r>
      <w:bookmarkEnd w:id="364"/>
      <w:bookmarkEnd w:id="365"/>
      <w:r>
        <w:rPr>
          <w:rFonts w:ascii="Times New Roman" w:hAnsi="Times New Roman"/>
          <w:sz w:val="24"/>
        </w:rPr>
        <w:t xml:space="preserve"> (CR SETT)</w:t>
      </w:r>
      <w:bookmarkEnd w:id="366"/>
      <w:bookmarkEnd w:id="367"/>
    </w:p>
    <w:p w:rsidR="00612780" w:rsidRPr="00321A3B" w:rsidRDefault="00125707" w:rsidP="0023700C">
      <w:pPr>
        <w:pStyle w:val="Instructionsberschrift2"/>
        <w:numPr>
          <w:ilvl w:val="0"/>
          <w:numId w:val="0"/>
        </w:numPr>
        <w:ind w:left="357" w:hanging="357"/>
        <w:rPr>
          <w:rFonts w:ascii="Times New Roman" w:hAnsi="Times New Roman" w:cs="Times New Roman"/>
          <w:sz w:val="24"/>
        </w:rPr>
      </w:pPr>
      <w:bookmarkStart w:id="368" w:name="_Toc262568045"/>
      <w:bookmarkStart w:id="369" w:name="_Toc295829924"/>
      <w:bookmarkStart w:id="370" w:name="_Toc310415036"/>
      <w:bookmarkStart w:id="371" w:name="_Toc360188373"/>
      <w:bookmarkStart w:id="372" w:name="_Toc473560924"/>
      <w:bookmarkStart w:id="373" w:name="_Toc496022319"/>
      <w:r>
        <w:rPr>
          <w:rFonts w:ascii="Times New Roman" w:hAnsi="Times New Roman"/>
          <w:sz w:val="24"/>
          <w:u w:val="none"/>
        </w:rPr>
        <w:t>3.6.1.</w:t>
      </w:r>
      <w:r>
        <w:tab/>
      </w:r>
      <w:r>
        <w:rPr>
          <w:rFonts w:ascii="Times New Roman" w:hAnsi="Times New Roman"/>
          <w:sz w:val="24"/>
        </w:rPr>
        <w:t>Remarques générales</w:t>
      </w:r>
      <w:bookmarkEnd w:id="368"/>
      <w:bookmarkEnd w:id="369"/>
      <w:bookmarkEnd w:id="370"/>
      <w:bookmarkEnd w:id="371"/>
      <w:bookmarkEnd w:id="372"/>
      <w:bookmarkEnd w:id="373"/>
    </w:p>
    <w:p w:rsidR="00612780" w:rsidRPr="00392FFD" w:rsidRDefault="00125707" w:rsidP="0023700C">
      <w:pPr>
        <w:pStyle w:val="InstructionsText2"/>
        <w:numPr>
          <w:ilvl w:val="0"/>
          <w:numId w:val="0"/>
        </w:numPr>
        <w:ind w:left="1353" w:hanging="360"/>
      </w:pPr>
      <w:r>
        <w:t>93.</w:t>
      </w:r>
      <w:r>
        <w:tab/>
        <w:t>Ce modèle contient des informations sur les opérations du portefeuille de nég</w:t>
      </w:r>
      <w:r>
        <w:t>o</w:t>
      </w:r>
      <w:r>
        <w:t>ciation et hors négociation, qui ne sont pas dénouées après la date prévue de l</w:t>
      </w:r>
      <w:r>
        <w:t>i</w:t>
      </w:r>
      <w:r>
        <w:t xml:space="preserve">vraison, ainsi que sur les exigences de fonds propres correspondantes pour le risque de règlement conformément à l’article 92, paragraphe 3, point c) ii) et à l’article 378 du CRR. </w:t>
      </w:r>
    </w:p>
    <w:p w:rsidR="00612780" w:rsidRPr="00392FFD" w:rsidRDefault="00125707" w:rsidP="0023700C">
      <w:pPr>
        <w:pStyle w:val="InstructionsText2"/>
        <w:numPr>
          <w:ilvl w:val="0"/>
          <w:numId w:val="0"/>
        </w:numPr>
        <w:ind w:left="1353" w:hanging="360"/>
      </w:pPr>
      <w:r>
        <w:t>94.</w:t>
      </w:r>
      <w:r>
        <w:tab/>
        <w:t>Dans le modèle CR SETT, les établissements déclarent les informations sur le risque de règlement/livraison en rapport avec les titres de créance, les actions, les devises et les matières premières détenus tant dans le portefeuille de nég</w:t>
      </w:r>
      <w:r>
        <w:t>o</w:t>
      </w:r>
      <w:r>
        <w:t xml:space="preserve">ciation que dans le portefeuille hors négociation. </w:t>
      </w:r>
    </w:p>
    <w:p w:rsidR="00612780" w:rsidRPr="00392FFD" w:rsidRDefault="00125707" w:rsidP="0023700C">
      <w:pPr>
        <w:pStyle w:val="InstructionsText2"/>
        <w:numPr>
          <w:ilvl w:val="0"/>
          <w:numId w:val="0"/>
        </w:numPr>
        <w:ind w:left="1353" w:hanging="360"/>
      </w:pPr>
      <w:r>
        <w:t>95.</w:t>
      </w:r>
      <w:r>
        <w:tab/>
        <w:t>En vertu de l’article 378 du CRR, ne sont pas soumises au risque de règl</w:t>
      </w:r>
      <w:r>
        <w:t>e</w:t>
      </w:r>
      <w:r>
        <w:t>ment/livraison les opérations de pension et les opérations de prêt ou d’emprunt de titres ou de matières premières, liées à des titres de créance, actions, devises et matières premières. Il faut toutefois remarquer que les dérivés et les opér</w:t>
      </w:r>
      <w:r>
        <w:t>a</w:t>
      </w:r>
      <w:r>
        <w:t>tions à règlement différé non dénoués après la date prévue de livraison sont néanmoins soumis à des exigences de fonds propres pour risque de règl</w:t>
      </w:r>
      <w:r>
        <w:t>e</w:t>
      </w:r>
      <w:r>
        <w:t>ment/livraison, conformément à l’article 378 du CRR.</w:t>
      </w:r>
    </w:p>
    <w:p w:rsidR="00612780" w:rsidRPr="00392FFD" w:rsidRDefault="00125707" w:rsidP="0023700C">
      <w:pPr>
        <w:pStyle w:val="InstructionsText2"/>
        <w:numPr>
          <w:ilvl w:val="0"/>
          <w:numId w:val="0"/>
        </w:numPr>
        <w:ind w:left="1353" w:hanging="360"/>
      </w:pPr>
      <w:r>
        <w:t>96.</w:t>
      </w:r>
      <w:r>
        <w:tab/>
        <w:t xml:space="preserve">Dans le cas des opérations qui ne sont pas dénouées après la date de livraison prévue, l’établissement calcule la différence de prix à laquelle il est exposé. La différence de prix est calculée comme étant égale à la différence entre le prix de règlement convenu pour le titre de créance, l’action, la devise ou la matière première considéré et sa valeur de marché courante, lorsque cette différence peut impliquer une perte pour l’établissement. </w:t>
      </w:r>
    </w:p>
    <w:p w:rsidR="00612780" w:rsidRPr="00392FFD" w:rsidRDefault="00125707" w:rsidP="0023700C">
      <w:pPr>
        <w:pStyle w:val="InstructionsText2"/>
        <w:numPr>
          <w:ilvl w:val="0"/>
          <w:numId w:val="0"/>
        </w:numPr>
        <w:ind w:left="1353" w:hanging="360"/>
      </w:pPr>
      <w:r>
        <w:t>97.</w:t>
      </w:r>
      <w:r>
        <w:tab/>
        <w:t>Pour calculer son exigence de fonds propres correspondante, l’établissement multiplie cette différence de prix par le facteur approprié du tableau 1 de l’article 378 du CRR.</w:t>
      </w:r>
    </w:p>
    <w:p w:rsidR="00612780" w:rsidRPr="00392FFD" w:rsidRDefault="00125707" w:rsidP="0023700C">
      <w:pPr>
        <w:pStyle w:val="InstructionsText2"/>
        <w:numPr>
          <w:ilvl w:val="0"/>
          <w:numId w:val="0"/>
        </w:numPr>
        <w:ind w:left="1353" w:hanging="360"/>
      </w:pPr>
      <w:r>
        <w:t>98.</w:t>
      </w:r>
      <w:r>
        <w:tab/>
        <w:t>Conformément à l’article 92, paragraphe 4, point b), les exigences de fonds propres pour risque de règlement/livraison seront multipliées par 12,5 pour ca</w:t>
      </w:r>
      <w:r>
        <w:t>l</w:t>
      </w:r>
      <w:r>
        <w:t>culer le montant d’exposition au risque.</w:t>
      </w:r>
    </w:p>
    <w:p w:rsidR="00612780" w:rsidRPr="00392FFD" w:rsidRDefault="00125707" w:rsidP="0023700C">
      <w:pPr>
        <w:pStyle w:val="InstructionsText2"/>
        <w:numPr>
          <w:ilvl w:val="0"/>
          <w:numId w:val="0"/>
        </w:numPr>
        <w:ind w:left="1353" w:hanging="360"/>
      </w:pPr>
      <w:r>
        <w:t>99.</w:t>
      </w:r>
      <w:r>
        <w:tab/>
        <w:t>Il convient de noter que les exigences de fonds propres pour les positions de n</w:t>
      </w:r>
      <w:r>
        <w:t>é</w:t>
      </w:r>
      <w:r>
        <w:t>gociation non dénouées visées à l'article 379 du CRR n'entrent pas dans le champ d'application du modèle CR SETT, mais seront déclarées dans les m</w:t>
      </w:r>
      <w:r>
        <w:t>o</w:t>
      </w:r>
      <w:r>
        <w:t>dèles consacrés au risque de crédit (CR SA, CR IRB).</w:t>
      </w:r>
    </w:p>
    <w:p w:rsidR="00612780" w:rsidRPr="00321A3B" w:rsidRDefault="00125707" w:rsidP="0023700C">
      <w:pPr>
        <w:pStyle w:val="Instructionsberschrift2"/>
        <w:numPr>
          <w:ilvl w:val="0"/>
          <w:numId w:val="0"/>
        </w:numPr>
        <w:ind w:left="357" w:hanging="357"/>
        <w:rPr>
          <w:rFonts w:ascii="Times New Roman" w:hAnsi="Times New Roman" w:cs="Times New Roman"/>
          <w:sz w:val="24"/>
        </w:rPr>
      </w:pPr>
      <w:bookmarkStart w:id="374" w:name="_Toc310415037"/>
      <w:bookmarkStart w:id="375" w:name="_Toc360188374"/>
      <w:bookmarkStart w:id="376" w:name="_Toc473560925"/>
      <w:bookmarkStart w:id="377" w:name="_Toc496022320"/>
      <w:r>
        <w:rPr>
          <w:rFonts w:ascii="Times New Roman" w:hAnsi="Times New Roman"/>
          <w:sz w:val="24"/>
          <w:u w:val="none"/>
        </w:rPr>
        <w:lastRenderedPageBreak/>
        <w:t>3.6.2.</w:t>
      </w:r>
      <w:r>
        <w:tab/>
      </w:r>
      <w:r>
        <w:rPr>
          <w:rFonts w:ascii="Times New Roman" w:hAnsi="Times New Roman"/>
          <w:sz w:val="24"/>
        </w:rPr>
        <w:t>Instructions concernant certaines positions</w:t>
      </w:r>
      <w:bookmarkEnd w:id="374"/>
      <w:bookmarkEnd w:id="375"/>
      <w:bookmarkEnd w:id="376"/>
      <w:bookmarkEnd w:id="3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
        <w:gridCol w:w="8004"/>
      </w:tblGrid>
      <w:tr w:rsidR="00612780" w:rsidRPr="00392FFD" w:rsidTr="00612780">
        <w:tc>
          <w:tcPr>
            <w:tcW w:w="8856" w:type="dxa"/>
            <w:gridSpan w:val="2"/>
            <w:shd w:val="clear" w:color="auto" w:fill="CCCCCC"/>
          </w:tcPr>
          <w:p w:rsidR="00745369" w:rsidRPr="00392FFD" w:rsidRDefault="00612780" w:rsidP="00EA0BAB">
            <w:pPr>
              <w:spacing w:beforeLines="60" w:before="144" w:afterLines="60" w:after="144"/>
              <w:rPr>
                <w:rFonts w:ascii="Times New Roman" w:hAnsi="Times New Roman"/>
                <w:b/>
                <w:sz w:val="24"/>
              </w:rPr>
            </w:pPr>
            <w:r>
              <w:rPr>
                <w:rFonts w:ascii="Times New Roman" w:hAnsi="Times New Roman"/>
                <w:b/>
                <w:sz w:val="24"/>
              </w:rPr>
              <w:t>Colonnes</w:t>
            </w:r>
          </w:p>
        </w:tc>
      </w:tr>
      <w:tr w:rsidR="00612780" w:rsidRPr="00392FFD" w:rsidTr="00612780">
        <w:tc>
          <w:tcPr>
            <w:tcW w:w="852" w:type="dxa"/>
          </w:tcPr>
          <w:p w:rsidR="00745369" w:rsidRPr="00392FFD" w:rsidRDefault="00612780" w:rsidP="00EA0BAB">
            <w:pPr>
              <w:spacing w:beforeLines="60" w:before="144" w:afterLines="60" w:after="144"/>
              <w:rPr>
                <w:rFonts w:ascii="Times New Roman" w:hAnsi="Times New Roman"/>
                <w:sz w:val="24"/>
              </w:rPr>
            </w:pPr>
            <w:r>
              <w:rPr>
                <w:rFonts w:ascii="Times New Roman" w:hAnsi="Times New Roman"/>
                <w:sz w:val="24"/>
              </w:rPr>
              <w:t>010</w:t>
            </w:r>
          </w:p>
        </w:tc>
        <w:tc>
          <w:tcPr>
            <w:tcW w:w="8004" w:type="dxa"/>
          </w:tcPr>
          <w:p w:rsidR="00745369" w:rsidRPr="00392FFD" w:rsidRDefault="00612780"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OPÉRATIONS NON DÉNOUÉES AU PRIX DE RÈGLEMENT</w:t>
            </w:r>
          </w:p>
          <w:p w:rsidR="00745369" w:rsidRPr="00392FFD" w:rsidRDefault="00612780" w:rsidP="00450A2E">
            <w:pPr>
              <w:spacing w:beforeLines="60" w:before="144" w:afterLines="60" w:after="144"/>
              <w:rPr>
                <w:rFonts w:ascii="Times New Roman" w:hAnsi="Times New Roman"/>
                <w:sz w:val="24"/>
              </w:rPr>
            </w:pPr>
            <w:r>
              <w:rPr>
                <w:rFonts w:ascii="Times New Roman" w:hAnsi="Times New Roman"/>
                <w:sz w:val="24"/>
              </w:rPr>
              <w:t>Conformément à l'article 378 du CRR, les établissements déclarent dans la c</w:t>
            </w:r>
            <w:r>
              <w:rPr>
                <w:rFonts w:ascii="Times New Roman" w:hAnsi="Times New Roman"/>
                <w:sz w:val="24"/>
              </w:rPr>
              <w:t>o</w:t>
            </w:r>
            <w:r>
              <w:rPr>
                <w:rFonts w:ascii="Times New Roman" w:hAnsi="Times New Roman"/>
                <w:sz w:val="24"/>
              </w:rPr>
              <w:t>lonne 010 les opérations qui ne sont pas dénouées après la date de livraison pr</w:t>
            </w:r>
            <w:r>
              <w:rPr>
                <w:rFonts w:ascii="Times New Roman" w:hAnsi="Times New Roman"/>
                <w:sz w:val="24"/>
              </w:rPr>
              <w:t>é</w:t>
            </w:r>
            <w:r>
              <w:rPr>
                <w:rFonts w:ascii="Times New Roman" w:hAnsi="Times New Roman"/>
                <w:sz w:val="24"/>
              </w:rPr>
              <w:t xml:space="preserve">vue, selon le prix de règlement convenu. </w:t>
            </w:r>
          </w:p>
          <w:p w:rsidR="00745369" w:rsidRPr="00392FFD" w:rsidRDefault="00612780" w:rsidP="00450A2E">
            <w:pPr>
              <w:spacing w:beforeLines="60" w:before="144" w:afterLines="60" w:after="144"/>
              <w:rPr>
                <w:rFonts w:ascii="Times New Roman" w:hAnsi="Times New Roman"/>
                <w:sz w:val="24"/>
              </w:rPr>
            </w:pPr>
            <w:r>
              <w:rPr>
                <w:rFonts w:ascii="Times New Roman" w:hAnsi="Times New Roman"/>
                <w:i/>
                <w:sz w:val="24"/>
              </w:rPr>
              <w:t>Toutes les opérations non dénouée</w:t>
            </w:r>
            <w:r>
              <w:rPr>
                <w:rFonts w:ascii="Times New Roman" w:hAnsi="Times New Roman"/>
                <w:sz w:val="24"/>
              </w:rPr>
              <w:t xml:space="preserve"> seront inscrites dans cette colonne 010, qu’elles impliquent ou non une perte ou un bénéfice après la date de livraison prévue.</w:t>
            </w:r>
          </w:p>
        </w:tc>
      </w:tr>
      <w:tr w:rsidR="00612780" w:rsidRPr="00392FFD" w:rsidTr="00612780">
        <w:tc>
          <w:tcPr>
            <w:tcW w:w="852" w:type="dxa"/>
          </w:tcPr>
          <w:p w:rsidR="00745369" w:rsidRPr="00392FFD" w:rsidRDefault="00612780" w:rsidP="00EA0BAB">
            <w:pPr>
              <w:spacing w:beforeLines="60" w:before="144" w:afterLines="60" w:after="144"/>
              <w:rPr>
                <w:rFonts w:ascii="Times New Roman" w:hAnsi="Times New Roman"/>
                <w:sz w:val="24"/>
              </w:rPr>
            </w:pPr>
            <w:r>
              <w:rPr>
                <w:rFonts w:ascii="Times New Roman" w:hAnsi="Times New Roman"/>
                <w:sz w:val="24"/>
              </w:rPr>
              <w:t>020</w:t>
            </w:r>
          </w:p>
        </w:tc>
        <w:tc>
          <w:tcPr>
            <w:tcW w:w="8004" w:type="dxa"/>
          </w:tcPr>
          <w:p w:rsidR="00745369" w:rsidRPr="00392FFD" w:rsidRDefault="00612780"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EXPOSITION À LA DIFFÉRENCE DE PRIX DUE À DES OPÉRATIONS NON DÉNOUÉES</w:t>
            </w:r>
          </w:p>
          <w:p w:rsidR="00745369" w:rsidRPr="00392FFD" w:rsidRDefault="00612780" w:rsidP="00450A2E">
            <w:pPr>
              <w:spacing w:beforeLines="60" w:before="144" w:afterLines="60" w:after="144"/>
              <w:rPr>
                <w:rFonts w:ascii="Times New Roman" w:hAnsi="Times New Roman"/>
                <w:sz w:val="24"/>
              </w:rPr>
            </w:pPr>
            <w:r>
              <w:rPr>
                <w:rFonts w:ascii="Times New Roman" w:hAnsi="Times New Roman"/>
                <w:sz w:val="24"/>
              </w:rPr>
              <w:t>Conformément à l’article 378 du CRR, les établissements déclarent dans la c</w:t>
            </w:r>
            <w:r>
              <w:rPr>
                <w:rFonts w:ascii="Times New Roman" w:hAnsi="Times New Roman"/>
                <w:sz w:val="24"/>
              </w:rPr>
              <w:t>o</w:t>
            </w:r>
            <w:r>
              <w:rPr>
                <w:rFonts w:ascii="Times New Roman" w:hAnsi="Times New Roman"/>
                <w:sz w:val="24"/>
              </w:rPr>
              <w:t xml:space="preserve">lonne 020 la différence de prix entre le prix de règlement convenu pour le titre de créance, l’action, la devise ou la matière première considéré et sa valeur de marché courante, </w:t>
            </w:r>
            <w:r>
              <w:rPr>
                <w:rFonts w:ascii="Times New Roman" w:hAnsi="Times New Roman"/>
                <w:i/>
                <w:sz w:val="24"/>
              </w:rPr>
              <w:t>lorsque cette différence peut impliquer une perte pour l’établissement</w:t>
            </w:r>
            <w:r>
              <w:rPr>
                <w:rFonts w:ascii="Times New Roman" w:hAnsi="Times New Roman"/>
                <w:sz w:val="24"/>
              </w:rPr>
              <w:t xml:space="preserve">. </w:t>
            </w:r>
          </w:p>
          <w:p w:rsidR="00745369" w:rsidRPr="00392FFD" w:rsidRDefault="00612780" w:rsidP="00450A2E">
            <w:pPr>
              <w:spacing w:beforeLines="60" w:before="144" w:afterLines="60" w:after="144"/>
              <w:rPr>
                <w:rFonts w:ascii="Times New Roman" w:hAnsi="Times New Roman"/>
                <w:sz w:val="24"/>
              </w:rPr>
            </w:pPr>
            <w:r>
              <w:rPr>
                <w:rFonts w:ascii="Times New Roman" w:hAnsi="Times New Roman"/>
                <w:sz w:val="24"/>
              </w:rPr>
              <w:t xml:space="preserve">Seules </w:t>
            </w:r>
            <w:r>
              <w:rPr>
                <w:rFonts w:ascii="Times New Roman" w:hAnsi="Times New Roman"/>
                <w:i/>
                <w:sz w:val="24"/>
              </w:rPr>
              <w:t>les opérations non dénouées impliquant une perte</w:t>
            </w:r>
            <w:r>
              <w:rPr>
                <w:rFonts w:ascii="Times New Roman" w:hAnsi="Times New Roman"/>
                <w:sz w:val="24"/>
              </w:rPr>
              <w:t xml:space="preserve"> après la date de livra</w:t>
            </w:r>
            <w:r>
              <w:rPr>
                <w:rFonts w:ascii="Times New Roman" w:hAnsi="Times New Roman"/>
                <w:sz w:val="24"/>
              </w:rPr>
              <w:t>i</w:t>
            </w:r>
            <w:r>
              <w:rPr>
                <w:rFonts w:ascii="Times New Roman" w:hAnsi="Times New Roman"/>
                <w:sz w:val="24"/>
              </w:rPr>
              <w:t>son prévue seront déclarées dans la colonne 020.</w:t>
            </w:r>
          </w:p>
        </w:tc>
      </w:tr>
      <w:tr w:rsidR="00612780" w:rsidRPr="00392FFD" w:rsidTr="00612780">
        <w:tc>
          <w:tcPr>
            <w:tcW w:w="852" w:type="dxa"/>
          </w:tcPr>
          <w:p w:rsidR="00745369" w:rsidRPr="00392FFD" w:rsidRDefault="00612780" w:rsidP="00EA0BAB">
            <w:pPr>
              <w:spacing w:beforeLines="60" w:before="144" w:afterLines="60" w:after="144"/>
              <w:rPr>
                <w:rFonts w:ascii="Times New Roman" w:hAnsi="Times New Roman"/>
                <w:sz w:val="24"/>
              </w:rPr>
            </w:pPr>
            <w:r>
              <w:rPr>
                <w:rFonts w:ascii="Times New Roman" w:hAnsi="Times New Roman"/>
                <w:sz w:val="24"/>
              </w:rPr>
              <w:t>030</w:t>
            </w:r>
          </w:p>
        </w:tc>
        <w:tc>
          <w:tcPr>
            <w:tcW w:w="8004" w:type="dxa"/>
          </w:tcPr>
          <w:p w:rsidR="00745369" w:rsidRPr="00392FFD" w:rsidRDefault="00612780"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EXIGENCES DE FONDS PROPRES</w:t>
            </w:r>
          </w:p>
          <w:p w:rsidR="00745369" w:rsidRPr="00392FFD" w:rsidRDefault="00612780" w:rsidP="00450A2E">
            <w:pPr>
              <w:spacing w:beforeLines="60" w:before="144" w:afterLines="60" w:after="144"/>
              <w:rPr>
                <w:rFonts w:ascii="Times New Roman" w:hAnsi="Times New Roman"/>
                <w:sz w:val="24"/>
              </w:rPr>
            </w:pPr>
            <w:r>
              <w:rPr>
                <w:rFonts w:ascii="Times New Roman" w:hAnsi="Times New Roman"/>
                <w:sz w:val="24"/>
              </w:rPr>
              <w:t>Dans la colonne 030, les établissements déclarent leurs exigences de fonds propres calculées conformément à l’article 378 du CRR.</w:t>
            </w:r>
          </w:p>
        </w:tc>
      </w:tr>
      <w:tr w:rsidR="00612780" w:rsidRPr="00392FFD" w:rsidTr="00612780">
        <w:tc>
          <w:tcPr>
            <w:tcW w:w="852" w:type="dxa"/>
          </w:tcPr>
          <w:p w:rsidR="00745369" w:rsidRPr="00392FFD" w:rsidRDefault="00612780" w:rsidP="00EA0BAB">
            <w:pPr>
              <w:spacing w:beforeLines="60" w:before="144" w:afterLines="60" w:after="144"/>
              <w:rPr>
                <w:rFonts w:ascii="Times New Roman" w:hAnsi="Times New Roman"/>
                <w:sz w:val="24"/>
              </w:rPr>
            </w:pPr>
            <w:r>
              <w:rPr>
                <w:rFonts w:ascii="Times New Roman" w:hAnsi="Times New Roman"/>
                <w:sz w:val="24"/>
              </w:rPr>
              <w:t>040</w:t>
            </w:r>
          </w:p>
        </w:tc>
        <w:tc>
          <w:tcPr>
            <w:tcW w:w="8004" w:type="dxa"/>
          </w:tcPr>
          <w:p w:rsidR="00745369" w:rsidRPr="00392FFD" w:rsidRDefault="00612780"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MONTANT TOTAL DE L’EXPOSITION AU RISQUE DE RÈGLEMENT</w:t>
            </w:r>
          </w:p>
          <w:p w:rsidR="00745369" w:rsidRPr="00392FFD" w:rsidRDefault="00612780" w:rsidP="00450A2E">
            <w:pPr>
              <w:spacing w:beforeLines="60" w:before="144" w:afterLines="60" w:after="144"/>
              <w:rPr>
                <w:rFonts w:ascii="Times New Roman" w:hAnsi="Times New Roman"/>
                <w:sz w:val="24"/>
              </w:rPr>
            </w:pPr>
            <w:r>
              <w:rPr>
                <w:rFonts w:ascii="Times New Roman" w:hAnsi="Times New Roman"/>
                <w:sz w:val="24"/>
              </w:rPr>
              <w:t>Conformément à l’article 92, paragraphe 4, point b), du CRR, les établissements multiplient les exigences de fonds propres figurant dans la colonne 030 par 12,5 afin d’obtenir le montant exposé au risque de règlement.</w:t>
            </w:r>
          </w:p>
        </w:tc>
      </w:tr>
    </w:tbl>
    <w:p w:rsidR="00612780" w:rsidRPr="00392FFD" w:rsidRDefault="00612780" w:rsidP="00612780">
      <w:pPr>
        <w:autoSpaceDE w:val="0"/>
        <w:autoSpaceDN w:val="0"/>
        <w:adjustRightInd w:val="0"/>
        <w:rPr>
          <w:rFonts w:ascii="Times New Roman" w:hAnsi="Times New Roman"/>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
        <w:gridCol w:w="8010"/>
      </w:tblGrid>
      <w:tr w:rsidR="00612780" w:rsidRPr="00392FFD" w:rsidTr="00612780">
        <w:tc>
          <w:tcPr>
            <w:tcW w:w="8862" w:type="dxa"/>
            <w:gridSpan w:val="2"/>
            <w:shd w:val="clear" w:color="auto" w:fill="CCCCCC"/>
          </w:tcPr>
          <w:p w:rsidR="00745369" w:rsidRPr="00392FFD" w:rsidRDefault="00612780" w:rsidP="00EA0BAB">
            <w:pPr>
              <w:spacing w:beforeLines="60" w:before="144" w:afterLines="60" w:after="144"/>
              <w:rPr>
                <w:rFonts w:ascii="Times New Roman" w:hAnsi="Times New Roman"/>
                <w:b/>
                <w:sz w:val="24"/>
              </w:rPr>
            </w:pPr>
            <w:r>
              <w:rPr>
                <w:rFonts w:ascii="Times New Roman" w:hAnsi="Times New Roman"/>
                <w:b/>
                <w:sz w:val="24"/>
              </w:rPr>
              <w:t>Lignes</w:t>
            </w:r>
          </w:p>
        </w:tc>
      </w:tr>
      <w:tr w:rsidR="00612780" w:rsidRPr="00392FFD" w:rsidTr="00612780">
        <w:tc>
          <w:tcPr>
            <w:tcW w:w="852" w:type="dxa"/>
          </w:tcPr>
          <w:p w:rsidR="00745369" w:rsidRPr="00392FFD" w:rsidRDefault="00612780" w:rsidP="00EA0BAB">
            <w:pPr>
              <w:spacing w:beforeLines="60" w:before="144" w:afterLines="60" w:after="144"/>
              <w:rPr>
                <w:rFonts w:ascii="Times New Roman" w:hAnsi="Times New Roman"/>
                <w:sz w:val="24"/>
              </w:rPr>
            </w:pPr>
            <w:r>
              <w:rPr>
                <w:rFonts w:ascii="Times New Roman" w:hAnsi="Times New Roman"/>
                <w:sz w:val="24"/>
              </w:rPr>
              <w:t>010</w:t>
            </w:r>
          </w:p>
        </w:tc>
        <w:tc>
          <w:tcPr>
            <w:tcW w:w="8010" w:type="dxa"/>
          </w:tcPr>
          <w:p w:rsidR="00745369" w:rsidRPr="00392FFD" w:rsidRDefault="00612780"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Total des opérations non dénouées dans le portefeuille hors négociation</w:t>
            </w:r>
          </w:p>
          <w:p w:rsidR="00745369" w:rsidRPr="00392FFD" w:rsidRDefault="00612780" w:rsidP="00450A2E">
            <w:pPr>
              <w:spacing w:beforeLines="60" w:before="144" w:afterLines="60" w:after="144"/>
              <w:rPr>
                <w:rFonts w:ascii="Times New Roman" w:hAnsi="Times New Roman"/>
                <w:sz w:val="24"/>
              </w:rPr>
            </w:pPr>
            <w:r>
              <w:rPr>
                <w:rFonts w:ascii="Times New Roman" w:hAnsi="Times New Roman"/>
                <w:sz w:val="24"/>
              </w:rPr>
              <w:t>À la ligne 010, les établissements déclarent les données agrégées concernant le risque de règlement/livraison pour les positions du portefeuille hors négociation (conformément à l'article 92, paragraphe 3, point c) ii), et à l'article 378 du CRR).</w:t>
            </w:r>
          </w:p>
          <w:p w:rsidR="00745369" w:rsidRPr="00392FFD" w:rsidRDefault="00612780" w:rsidP="00450A2E">
            <w:pPr>
              <w:spacing w:beforeLines="60" w:before="144"/>
              <w:rPr>
                <w:rFonts w:ascii="Times New Roman" w:hAnsi="Times New Roman"/>
                <w:sz w:val="24"/>
              </w:rPr>
            </w:pPr>
            <w:r>
              <w:rPr>
                <w:rFonts w:ascii="Times New Roman" w:hAnsi="Times New Roman"/>
                <w:sz w:val="24"/>
              </w:rPr>
              <w:t>Sous 010/010, les établissements déclarent la somme agrégée des opérations non dénouées après la date de livraison prévue au prix de règlement convenu.</w:t>
            </w:r>
          </w:p>
          <w:p w:rsidR="00745369" w:rsidRPr="00392FFD" w:rsidRDefault="00612780" w:rsidP="00450A2E">
            <w:pPr>
              <w:spacing w:beforeLines="60" w:before="144"/>
              <w:rPr>
                <w:rFonts w:ascii="Times New Roman" w:hAnsi="Times New Roman"/>
                <w:sz w:val="24"/>
              </w:rPr>
            </w:pPr>
            <w:r>
              <w:rPr>
                <w:rFonts w:ascii="Times New Roman" w:hAnsi="Times New Roman"/>
                <w:sz w:val="24"/>
              </w:rPr>
              <w:t xml:space="preserve">Sous 010/020, les établissements déclarent les données agrégées concernant l'exposition à la différence de prix due aux opérations non dénouées impliquant </w:t>
            </w:r>
            <w:r>
              <w:rPr>
                <w:rFonts w:ascii="Times New Roman" w:hAnsi="Times New Roman"/>
                <w:sz w:val="24"/>
              </w:rPr>
              <w:lastRenderedPageBreak/>
              <w:t>une perte.</w:t>
            </w:r>
          </w:p>
          <w:p w:rsidR="00745369" w:rsidRPr="00392FFD" w:rsidRDefault="00612780" w:rsidP="00450A2E">
            <w:pPr>
              <w:spacing w:beforeLines="60" w:before="144" w:afterLines="60" w:after="144"/>
              <w:rPr>
                <w:rFonts w:ascii="Times New Roman" w:hAnsi="Times New Roman"/>
                <w:sz w:val="24"/>
              </w:rPr>
            </w:pPr>
            <w:r>
              <w:rPr>
                <w:rFonts w:ascii="Times New Roman" w:hAnsi="Times New Roman"/>
                <w:sz w:val="24"/>
              </w:rPr>
              <w:t>Sous 010/030, les établissements déclarent les exigences de fonds propres agr</w:t>
            </w:r>
            <w:r>
              <w:rPr>
                <w:rFonts w:ascii="Times New Roman" w:hAnsi="Times New Roman"/>
                <w:sz w:val="24"/>
              </w:rPr>
              <w:t>é</w:t>
            </w:r>
            <w:r>
              <w:rPr>
                <w:rFonts w:ascii="Times New Roman" w:hAnsi="Times New Roman"/>
                <w:sz w:val="24"/>
              </w:rPr>
              <w:t>gées obtenues en additionnant les exigences de fonds propres pour opérations non dénouées en multipliant la «différence de prix» déclarée dans la colonne 020 par le facteur approprié en fonction du nombre de jours ouvrables après la date de règlement prévue (catégories figurant dans le tableau 1 de l'article 378 du CRR).</w:t>
            </w:r>
          </w:p>
        </w:tc>
      </w:tr>
      <w:tr w:rsidR="00612780" w:rsidRPr="00392FFD" w:rsidTr="00612780">
        <w:tc>
          <w:tcPr>
            <w:tcW w:w="852" w:type="dxa"/>
          </w:tcPr>
          <w:p w:rsidR="00745369" w:rsidRPr="00392FFD" w:rsidRDefault="00612780" w:rsidP="00EA0BAB">
            <w:pPr>
              <w:spacing w:beforeLines="60" w:before="144" w:afterLines="60" w:after="144"/>
              <w:rPr>
                <w:rFonts w:ascii="Times New Roman" w:hAnsi="Times New Roman"/>
                <w:sz w:val="24"/>
              </w:rPr>
            </w:pPr>
            <w:r>
              <w:rPr>
                <w:rFonts w:ascii="Times New Roman" w:hAnsi="Times New Roman"/>
                <w:sz w:val="24"/>
              </w:rPr>
              <w:lastRenderedPageBreak/>
              <w:t>020 à 060</w:t>
            </w:r>
          </w:p>
        </w:tc>
        <w:tc>
          <w:tcPr>
            <w:tcW w:w="8010" w:type="dxa"/>
          </w:tcPr>
          <w:p w:rsidR="00745369" w:rsidRPr="00392FFD" w:rsidRDefault="00612780"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 xml:space="preserve">Opérations non dénouées jusqu’à 4 jours (Facteur de 0 %) </w:t>
            </w:r>
          </w:p>
          <w:p w:rsidR="00745369" w:rsidRPr="00392FFD" w:rsidRDefault="00612780"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Opérations non dénouées entre 5 et 15 jours (Facteur de 8 %)</w:t>
            </w:r>
          </w:p>
          <w:p w:rsidR="00745369" w:rsidRPr="00392FFD" w:rsidRDefault="00612780"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Opérations non dénouées entre 16 et 30 jours (Facteur de 50 %)</w:t>
            </w:r>
          </w:p>
          <w:p w:rsidR="00745369" w:rsidRPr="00392FFD" w:rsidRDefault="00612780"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Opérations non dénouées entre 31 et 45 jours (Facteur de 75 %)</w:t>
            </w:r>
          </w:p>
          <w:p w:rsidR="00745369" w:rsidRPr="00392FFD" w:rsidRDefault="00612780"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Opérations non dénouées pendant 46 jours ou plus (Facteur de 100 %)</w:t>
            </w:r>
          </w:p>
          <w:p w:rsidR="00745369" w:rsidRPr="00392FFD" w:rsidRDefault="00612780" w:rsidP="00450A2E">
            <w:pPr>
              <w:spacing w:beforeLines="60" w:before="144" w:afterLines="60" w:after="144"/>
              <w:rPr>
                <w:rFonts w:ascii="Times New Roman" w:hAnsi="Times New Roman"/>
                <w:sz w:val="24"/>
              </w:rPr>
            </w:pPr>
            <w:r>
              <w:rPr>
                <w:rFonts w:ascii="Times New Roman" w:hAnsi="Times New Roman"/>
                <w:sz w:val="24"/>
              </w:rPr>
              <w:t>Dans les lignes 020 à 060, les établissements déclarent les informations conce</w:t>
            </w:r>
            <w:r>
              <w:rPr>
                <w:rFonts w:ascii="Times New Roman" w:hAnsi="Times New Roman"/>
                <w:sz w:val="24"/>
              </w:rPr>
              <w:t>r</w:t>
            </w:r>
            <w:r>
              <w:rPr>
                <w:rFonts w:ascii="Times New Roman" w:hAnsi="Times New Roman"/>
                <w:sz w:val="24"/>
              </w:rPr>
              <w:t>nant le risque de règlement/livraison pour les positions du portefeuille hors n</w:t>
            </w:r>
            <w:r>
              <w:rPr>
                <w:rFonts w:ascii="Times New Roman" w:hAnsi="Times New Roman"/>
                <w:sz w:val="24"/>
              </w:rPr>
              <w:t>é</w:t>
            </w:r>
            <w:r>
              <w:rPr>
                <w:rFonts w:ascii="Times New Roman" w:hAnsi="Times New Roman"/>
                <w:sz w:val="24"/>
              </w:rPr>
              <w:t xml:space="preserve">gociation, selon les catégories figurant dans le tableau 1 de l’article 378 du CRR. </w:t>
            </w:r>
          </w:p>
          <w:p w:rsidR="00745369" w:rsidRPr="00392FFD" w:rsidRDefault="00612780" w:rsidP="00450A2E">
            <w:pPr>
              <w:spacing w:beforeLines="60" w:before="144" w:afterLines="60" w:after="144"/>
              <w:rPr>
                <w:rFonts w:ascii="Times New Roman" w:hAnsi="Times New Roman"/>
                <w:sz w:val="24"/>
              </w:rPr>
            </w:pPr>
            <w:r>
              <w:rPr>
                <w:rFonts w:ascii="Times New Roman" w:hAnsi="Times New Roman"/>
                <w:sz w:val="24"/>
              </w:rPr>
              <w:t>Aucune exigence de fonds propres pour le risque de règlement/livraison n’est requise pour les opérations non dénouées à l’issue d’une période inférieure à 5 jours ouvrables après la date de règlement prévue.</w:t>
            </w:r>
          </w:p>
        </w:tc>
      </w:tr>
      <w:tr w:rsidR="00612780" w:rsidRPr="00392FFD" w:rsidTr="00612780">
        <w:tc>
          <w:tcPr>
            <w:tcW w:w="852" w:type="dxa"/>
          </w:tcPr>
          <w:p w:rsidR="00745369" w:rsidRPr="00392FFD" w:rsidRDefault="00612780" w:rsidP="00EA0BAB">
            <w:pPr>
              <w:spacing w:beforeLines="60" w:before="144" w:afterLines="60" w:after="144"/>
              <w:rPr>
                <w:rFonts w:ascii="Times New Roman" w:hAnsi="Times New Roman"/>
                <w:sz w:val="24"/>
              </w:rPr>
            </w:pPr>
            <w:r>
              <w:rPr>
                <w:rFonts w:ascii="Times New Roman" w:hAnsi="Times New Roman"/>
                <w:sz w:val="24"/>
              </w:rPr>
              <w:t>070</w:t>
            </w:r>
          </w:p>
        </w:tc>
        <w:tc>
          <w:tcPr>
            <w:tcW w:w="8010" w:type="dxa"/>
          </w:tcPr>
          <w:p w:rsidR="00745369" w:rsidRPr="00392FFD" w:rsidRDefault="00612780"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Total des opérations non dénouées dans le portefeuille de négociation</w:t>
            </w:r>
          </w:p>
          <w:p w:rsidR="00745369" w:rsidRPr="00392FFD" w:rsidRDefault="00612780" w:rsidP="00450A2E">
            <w:pPr>
              <w:spacing w:beforeLines="60" w:before="144" w:afterLines="60" w:after="144"/>
              <w:rPr>
                <w:rFonts w:ascii="Times New Roman" w:hAnsi="Times New Roman"/>
                <w:sz w:val="24"/>
              </w:rPr>
            </w:pPr>
            <w:r>
              <w:rPr>
                <w:rFonts w:ascii="Times New Roman" w:hAnsi="Times New Roman"/>
                <w:sz w:val="24"/>
              </w:rPr>
              <w:t>À la ligne 070, les établissements déclarent les données agrégées concernant le risque de règlement/livraison pour les positions du portefeuille de négociation (conformément à l'article 92, paragraphe 3, point c) ii), et à l'article 378 du CRR).</w:t>
            </w:r>
          </w:p>
          <w:p w:rsidR="00745369" w:rsidRPr="00392FFD" w:rsidRDefault="00612780" w:rsidP="00450A2E">
            <w:pPr>
              <w:spacing w:beforeLines="60" w:before="144" w:afterLines="60" w:after="144"/>
              <w:rPr>
                <w:rFonts w:ascii="Times New Roman" w:hAnsi="Times New Roman"/>
                <w:sz w:val="24"/>
              </w:rPr>
            </w:pPr>
            <w:r>
              <w:rPr>
                <w:rFonts w:ascii="Times New Roman" w:hAnsi="Times New Roman"/>
                <w:sz w:val="24"/>
              </w:rPr>
              <w:t>Sous 070/010, les établissements déclarent la somme agrégée des opérations non dénouées après la date de livraison prévue au prix de règlement convenu.</w:t>
            </w:r>
          </w:p>
          <w:p w:rsidR="00745369" w:rsidRPr="00392FFD" w:rsidRDefault="00612780" w:rsidP="00450A2E">
            <w:pPr>
              <w:spacing w:beforeLines="60" w:before="144" w:afterLines="60" w:after="144"/>
              <w:rPr>
                <w:rFonts w:ascii="Times New Roman" w:hAnsi="Times New Roman"/>
                <w:sz w:val="24"/>
              </w:rPr>
            </w:pPr>
            <w:r>
              <w:rPr>
                <w:rFonts w:ascii="Times New Roman" w:hAnsi="Times New Roman"/>
                <w:sz w:val="24"/>
              </w:rPr>
              <w:t>Sous 070/020, les établissements déclarent les données agrégées concernant l'exposition à la différence de prix due aux opérations non dénouées impliquant une perte.</w:t>
            </w:r>
          </w:p>
          <w:p w:rsidR="00745369" w:rsidRPr="00392FFD" w:rsidRDefault="00612780" w:rsidP="00450A2E">
            <w:pPr>
              <w:spacing w:beforeLines="60" w:before="144" w:afterLines="60" w:after="144"/>
              <w:rPr>
                <w:rFonts w:ascii="Times New Roman" w:hAnsi="Times New Roman"/>
                <w:b/>
                <w:sz w:val="24"/>
              </w:rPr>
            </w:pPr>
            <w:r>
              <w:rPr>
                <w:rFonts w:ascii="Times New Roman" w:hAnsi="Times New Roman"/>
                <w:sz w:val="24"/>
              </w:rPr>
              <w:t>Sous 070/030, les établissements déclarent les exigences de fonds propres agr</w:t>
            </w:r>
            <w:r>
              <w:rPr>
                <w:rFonts w:ascii="Times New Roman" w:hAnsi="Times New Roman"/>
                <w:sz w:val="24"/>
              </w:rPr>
              <w:t>é</w:t>
            </w:r>
            <w:r>
              <w:rPr>
                <w:rFonts w:ascii="Times New Roman" w:hAnsi="Times New Roman"/>
                <w:sz w:val="24"/>
              </w:rPr>
              <w:t>gées obtenues en additionnant les exigences de fonds propres pour opérations non dénouées en multipliant la «différence de prix» déclarée dans la colonne 020 par un facteur approprié en fonction du nombre de jours ouvrables après la date de règlement prévue (catégories figurant dans le tableau 1 de l'article 378 du CRR).</w:t>
            </w:r>
          </w:p>
        </w:tc>
      </w:tr>
      <w:tr w:rsidR="00612780" w:rsidRPr="00392FFD" w:rsidTr="00612780">
        <w:tc>
          <w:tcPr>
            <w:tcW w:w="852" w:type="dxa"/>
          </w:tcPr>
          <w:p w:rsidR="00745369" w:rsidRPr="00392FFD" w:rsidRDefault="00612780" w:rsidP="00EA0BAB">
            <w:pPr>
              <w:spacing w:beforeLines="60" w:before="144" w:afterLines="60" w:after="144"/>
              <w:rPr>
                <w:rFonts w:ascii="Times New Roman" w:hAnsi="Times New Roman"/>
                <w:sz w:val="24"/>
              </w:rPr>
            </w:pPr>
            <w:r>
              <w:rPr>
                <w:rFonts w:ascii="Times New Roman" w:hAnsi="Times New Roman"/>
                <w:sz w:val="24"/>
              </w:rPr>
              <w:t>080 à 120</w:t>
            </w:r>
          </w:p>
        </w:tc>
        <w:tc>
          <w:tcPr>
            <w:tcW w:w="8010" w:type="dxa"/>
          </w:tcPr>
          <w:p w:rsidR="00745369" w:rsidRPr="00392FFD" w:rsidRDefault="00612780"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 xml:space="preserve">Opérations non dénouées jusqu’à 4 jours (Facteur de 0 %) </w:t>
            </w:r>
          </w:p>
          <w:p w:rsidR="00745369" w:rsidRPr="00392FFD" w:rsidRDefault="00612780"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Opérations non dénouées entre 5 et 15 jours (Facteur de 8 %)</w:t>
            </w:r>
          </w:p>
          <w:p w:rsidR="00745369" w:rsidRPr="00392FFD" w:rsidRDefault="00612780"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Opérations non dénouées entre 16 et 30 jours (Facteur de 50 %)</w:t>
            </w:r>
          </w:p>
          <w:p w:rsidR="00745369" w:rsidRPr="00392FFD" w:rsidRDefault="00612780"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t>Opérations non dénouées entre 31 et 45 jours (Facteur de 75 %)</w:t>
            </w:r>
          </w:p>
          <w:p w:rsidR="00745369" w:rsidRPr="00392FFD" w:rsidRDefault="00612780" w:rsidP="00450A2E">
            <w:pPr>
              <w:spacing w:beforeLines="60" w:before="144" w:afterLines="60" w:after="144"/>
              <w:rPr>
                <w:rStyle w:val="InstructionsTabelleberschrift"/>
                <w:rFonts w:ascii="Times New Roman" w:hAnsi="Times New Roman"/>
                <w:sz w:val="24"/>
              </w:rPr>
            </w:pPr>
            <w:r>
              <w:rPr>
                <w:rStyle w:val="InstructionsTabelleberschrift"/>
                <w:rFonts w:ascii="Times New Roman" w:hAnsi="Times New Roman"/>
                <w:sz w:val="24"/>
              </w:rPr>
              <w:lastRenderedPageBreak/>
              <w:t>Opérations non dénouées pendant 46 jours ou plus (Facteur de 100 %)</w:t>
            </w:r>
          </w:p>
          <w:p w:rsidR="00745369" w:rsidRPr="00392FFD" w:rsidRDefault="00612780" w:rsidP="00450A2E">
            <w:pPr>
              <w:spacing w:beforeLines="60" w:before="144" w:afterLines="60" w:after="144"/>
              <w:rPr>
                <w:rFonts w:ascii="Times New Roman" w:hAnsi="Times New Roman"/>
                <w:sz w:val="24"/>
              </w:rPr>
            </w:pPr>
            <w:r>
              <w:rPr>
                <w:rFonts w:ascii="Times New Roman" w:hAnsi="Times New Roman"/>
                <w:sz w:val="24"/>
              </w:rPr>
              <w:t>Dans les lignes 080 à 120, les établissements déclarent les informations conce</w:t>
            </w:r>
            <w:r>
              <w:rPr>
                <w:rFonts w:ascii="Times New Roman" w:hAnsi="Times New Roman"/>
                <w:sz w:val="24"/>
              </w:rPr>
              <w:t>r</w:t>
            </w:r>
            <w:r>
              <w:rPr>
                <w:rFonts w:ascii="Times New Roman" w:hAnsi="Times New Roman"/>
                <w:sz w:val="24"/>
              </w:rPr>
              <w:t>nant le risque de règlement/livraison pour les positions du portefeuille de nég</w:t>
            </w:r>
            <w:r>
              <w:rPr>
                <w:rFonts w:ascii="Times New Roman" w:hAnsi="Times New Roman"/>
                <w:sz w:val="24"/>
              </w:rPr>
              <w:t>o</w:t>
            </w:r>
            <w:r>
              <w:rPr>
                <w:rFonts w:ascii="Times New Roman" w:hAnsi="Times New Roman"/>
                <w:sz w:val="24"/>
              </w:rPr>
              <w:t xml:space="preserve">ciation, selon les catégories figurant dans le tableau 1 de l’article 378 du CRR. </w:t>
            </w:r>
          </w:p>
          <w:p w:rsidR="00745369" w:rsidRPr="00392FFD" w:rsidRDefault="00612780" w:rsidP="00450A2E">
            <w:pPr>
              <w:spacing w:beforeLines="60" w:before="144" w:afterLines="60" w:after="144"/>
              <w:rPr>
                <w:rFonts w:ascii="Times New Roman" w:hAnsi="Times New Roman"/>
                <w:b/>
                <w:sz w:val="24"/>
              </w:rPr>
            </w:pPr>
            <w:r>
              <w:rPr>
                <w:rFonts w:ascii="Times New Roman" w:hAnsi="Times New Roman"/>
                <w:sz w:val="24"/>
              </w:rPr>
              <w:t>Aucune exigence de fonds propres pour le risque de règlement/livraison n’est requise pour les opérations non dénouées à l’issue d’une période inférieure à 5 jours ouvrables après la date de règlement prévue.</w:t>
            </w:r>
          </w:p>
        </w:tc>
      </w:tr>
    </w:tbl>
    <w:p w:rsidR="00612780" w:rsidRPr="00392FFD" w:rsidRDefault="00612780" w:rsidP="00612780">
      <w:pPr>
        <w:spacing w:after="0"/>
        <w:rPr>
          <w:rFonts w:ascii="Times New Roman" w:hAnsi="Times New Roman"/>
          <w:sz w:val="24"/>
        </w:rPr>
      </w:pPr>
    </w:p>
    <w:p w:rsidR="00612780" w:rsidRPr="00392FFD" w:rsidRDefault="00612780">
      <w:pPr>
        <w:spacing w:before="0" w:after="0"/>
        <w:jc w:val="left"/>
        <w:rPr>
          <w:rStyle w:val="InstructionsTabelleText"/>
          <w:rFonts w:ascii="Times New Roman" w:hAnsi="Times New Roman"/>
          <w:sz w:val="24"/>
        </w:rPr>
      </w:pPr>
      <w:r>
        <w:br w:type="page"/>
      </w:r>
    </w:p>
    <w:p w:rsidR="00612780" w:rsidRPr="00321A3B" w:rsidRDefault="00125707" w:rsidP="0023700C">
      <w:pPr>
        <w:pStyle w:val="Instructionsberschrift2"/>
        <w:numPr>
          <w:ilvl w:val="0"/>
          <w:numId w:val="0"/>
        </w:numPr>
        <w:ind w:left="357" w:hanging="357"/>
        <w:rPr>
          <w:rFonts w:ascii="Times New Roman" w:hAnsi="Times New Roman" w:cs="Times New Roman"/>
          <w:sz w:val="24"/>
        </w:rPr>
      </w:pPr>
      <w:bookmarkStart w:id="378" w:name="_Toc310415038"/>
      <w:bookmarkStart w:id="379" w:name="_Toc360188375"/>
      <w:bookmarkStart w:id="380" w:name="_Toc473560926"/>
      <w:bookmarkStart w:id="381" w:name="_Toc496022321"/>
      <w:r>
        <w:rPr>
          <w:rFonts w:ascii="Times New Roman" w:hAnsi="Times New Roman"/>
          <w:sz w:val="24"/>
          <w:u w:val="none"/>
        </w:rPr>
        <w:lastRenderedPageBreak/>
        <w:t>3.7.</w:t>
      </w:r>
      <w:r>
        <w:tab/>
      </w:r>
      <w:r>
        <w:rPr>
          <w:rFonts w:ascii="Times New Roman" w:hAnsi="Times New Roman"/>
          <w:sz w:val="24"/>
        </w:rPr>
        <w:t>C 12.00 - Risque de crédit: Titrisations - Approche standard des exigences de fonds propres</w:t>
      </w:r>
      <w:bookmarkEnd w:id="378"/>
      <w:bookmarkEnd w:id="379"/>
      <w:r>
        <w:rPr>
          <w:rFonts w:ascii="Times New Roman" w:hAnsi="Times New Roman"/>
          <w:sz w:val="24"/>
        </w:rPr>
        <w:t xml:space="preserve"> (CR SEC SA)</w:t>
      </w:r>
      <w:bookmarkEnd w:id="380"/>
      <w:bookmarkEnd w:id="381"/>
    </w:p>
    <w:p w:rsidR="00612780" w:rsidRPr="00321A3B" w:rsidRDefault="00125707" w:rsidP="0023700C">
      <w:pPr>
        <w:pStyle w:val="Instructionsberschrift2"/>
        <w:numPr>
          <w:ilvl w:val="0"/>
          <w:numId w:val="0"/>
        </w:numPr>
        <w:ind w:left="357" w:hanging="357"/>
        <w:rPr>
          <w:rFonts w:ascii="Times New Roman" w:hAnsi="Times New Roman" w:cs="Times New Roman"/>
          <w:sz w:val="24"/>
        </w:rPr>
      </w:pPr>
      <w:bookmarkStart w:id="382" w:name="_Toc239157385"/>
      <w:bookmarkStart w:id="383" w:name="_Toc310415039"/>
      <w:bookmarkStart w:id="384" w:name="_Toc360188376"/>
      <w:bookmarkStart w:id="385" w:name="_Toc473560927"/>
      <w:bookmarkStart w:id="386" w:name="_Toc496022322"/>
      <w:r>
        <w:rPr>
          <w:rFonts w:ascii="Times New Roman" w:hAnsi="Times New Roman"/>
          <w:sz w:val="24"/>
          <w:u w:val="none"/>
        </w:rPr>
        <w:t>3.7.1.</w:t>
      </w:r>
      <w:r>
        <w:tab/>
      </w:r>
      <w:r>
        <w:rPr>
          <w:rFonts w:ascii="Times New Roman" w:hAnsi="Times New Roman"/>
          <w:sz w:val="24"/>
        </w:rPr>
        <w:t>Remarques générales</w:t>
      </w:r>
      <w:bookmarkEnd w:id="382"/>
      <w:bookmarkEnd w:id="383"/>
      <w:bookmarkEnd w:id="384"/>
      <w:bookmarkEnd w:id="385"/>
      <w:bookmarkEnd w:id="386"/>
    </w:p>
    <w:p w:rsidR="00612780" w:rsidRPr="00392FFD" w:rsidRDefault="00125707" w:rsidP="0023700C">
      <w:pPr>
        <w:pStyle w:val="InstructionsText2"/>
        <w:numPr>
          <w:ilvl w:val="0"/>
          <w:numId w:val="0"/>
        </w:numPr>
        <w:ind w:left="1353" w:hanging="360"/>
      </w:pPr>
      <w:r>
        <w:t>100.</w:t>
      </w:r>
      <w:r>
        <w:tab/>
        <w:t>Les informations dans ce modèle sont demandées pour toutes les titrisations pour lesquelles un transfert de risque significatif est comptabilisé et dans le</w:t>
      </w:r>
      <w:r>
        <w:t>s</w:t>
      </w:r>
      <w:r>
        <w:t>quelles l’établissement déclarant est impliqué dans une titrisation traitée selon l’approche standard. Les données à déclarer sont fonction du rôle de l’établissement dans la titrisation. Ainsi, les initiateurs, les sponsors et les inve</w:t>
      </w:r>
      <w:r>
        <w:t>s</w:t>
      </w:r>
      <w:r>
        <w:t>tisseurs doivent déclarer certains éléments spécifiques.</w:t>
      </w:r>
    </w:p>
    <w:p w:rsidR="00612780" w:rsidRPr="00392FFD" w:rsidRDefault="00125707" w:rsidP="0023700C">
      <w:pPr>
        <w:pStyle w:val="InstructionsText2"/>
        <w:numPr>
          <w:ilvl w:val="0"/>
          <w:numId w:val="0"/>
        </w:numPr>
        <w:ind w:left="1353" w:hanging="360"/>
      </w:pPr>
      <w:r>
        <w:t>101.</w:t>
      </w:r>
      <w:r>
        <w:tab/>
        <w:t>Le modèle CR SEC SA collecte des informations jointes sur les titrisations tant classiques que synthétiques détenues dans le portefeuille d’intermédiation ba</w:t>
      </w:r>
      <w:r>
        <w:t>n</w:t>
      </w:r>
      <w:r>
        <w:t>caire, telles que définies à l’article 242, points 10 et 11, du CRR, respectiv</w:t>
      </w:r>
      <w:r>
        <w:t>e</w:t>
      </w:r>
      <w:r>
        <w:t>ment.</w:t>
      </w:r>
    </w:p>
    <w:p w:rsidR="00612780" w:rsidRPr="00321A3B" w:rsidRDefault="00125707" w:rsidP="0023700C">
      <w:pPr>
        <w:pStyle w:val="Instructionsberschrift2"/>
        <w:numPr>
          <w:ilvl w:val="0"/>
          <w:numId w:val="0"/>
        </w:numPr>
        <w:ind w:left="357" w:hanging="357"/>
        <w:rPr>
          <w:rFonts w:ascii="Times New Roman" w:hAnsi="Times New Roman" w:cs="Times New Roman"/>
          <w:sz w:val="24"/>
        </w:rPr>
      </w:pPr>
      <w:bookmarkStart w:id="387" w:name="_Toc239157386"/>
      <w:bookmarkStart w:id="388" w:name="_Toc310415040"/>
      <w:bookmarkStart w:id="389" w:name="_Toc360188377"/>
      <w:bookmarkStart w:id="390" w:name="_Toc473560928"/>
      <w:bookmarkStart w:id="391" w:name="_Toc496022323"/>
      <w:r>
        <w:rPr>
          <w:rFonts w:ascii="Times New Roman" w:hAnsi="Times New Roman"/>
          <w:sz w:val="24"/>
          <w:u w:val="none"/>
        </w:rPr>
        <w:t>3.7.2.</w:t>
      </w:r>
      <w:r>
        <w:tab/>
      </w:r>
      <w:r>
        <w:rPr>
          <w:rFonts w:ascii="Times New Roman" w:hAnsi="Times New Roman"/>
          <w:sz w:val="24"/>
        </w:rPr>
        <w:t>Instructions concernant certaines positions</w:t>
      </w:r>
      <w:bookmarkEnd w:id="387"/>
      <w:bookmarkEnd w:id="388"/>
      <w:bookmarkEnd w:id="389"/>
      <w:bookmarkEnd w:id="390"/>
      <w:bookmarkEnd w:id="391"/>
    </w:p>
    <w:tbl>
      <w:tblPr>
        <w:tblW w:w="8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1"/>
        <w:gridCol w:w="7856"/>
      </w:tblGrid>
      <w:tr w:rsidR="00612780" w:rsidRPr="00392FFD" w:rsidTr="00612780">
        <w:tc>
          <w:tcPr>
            <w:tcW w:w="8957" w:type="dxa"/>
            <w:gridSpan w:val="2"/>
            <w:shd w:val="clear" w:color="auto" w:fill="CCCCCC"/>
          </w:tcPr>
          <w:p w:rsidR="00612780" w:rsidRPr="00392FFD" w:rsidRDefault="00612780" w:rsidP="00612780">
            <w:pPr>
              <w:autoSpaceDE w:val="0"/>
              <w:autoSpaceDN w:val="0"/>
              <w:adjustRightInd w:val="0"/>
              <w:spacing w:before="0" w:after="0"/>
              <w:rPr>
                <w:rFonts w:ascii="Times New Roman" w:hAnsi="Times New Roman"/>
                <w:bCs/>
                <w:sz w:val="24"/>
              </w:rPr>
            </w:pPr>
          </w:p>
          <w:p w:rsidR="00612780" w:rsidRPr="00392FFD" w:rsidRDefault="00612780" w:rsidP="00612780">
            <w:pPr>
              <w:autoSpaceDE w:val="0"/>
              <w:autoSpaceDN w:val="0"/>
              <w:adjustRightInd w:val="0"/>
              <w:spacing w:before="0" w:after="0"/>
              <w:rPr>
                <w:rFonts w:ascii="Times New Roman" w:hAnsi="Times New Roman"/>
                <w:b/>
                <w:bCs/>
                <w:sz w:val="24"/>
              </w:rPr>
            </w:pPr>
            <w:r>
              <w:rPr>
                <w:rFonts w:ascii="Times New Roman" w:hAnsi="Times New Roman"/>
                <w:b/>
                <w:sz w:val="24"/>
              </w:rPr>
              <w:t>Colonnes</w:t>
            </w:r>
          </w:p>
          <w:p w:rsidR="00612780" w:rsidRPr="00392FFD" w:rsidRDefault="00612780" w:rsidP="00612780">
            <w:pPr>
              <w:autoSpaceDE w:val="0"/>
              <w:autoSpaceDN w:val="0"/>
              <w:adjustRightInd w:val="0"/>
              <w:spacing w:before="0" w:after="0"/>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010</w:t>
            </w:r>
          </w:p>
        </w:tc>
        <w:tc>
          <w:tcPr>
            <w:tcW w:w="7856" w:type="dxa"/>
          </w:tcPr>
          <w:p w:rsidR="00612780" w:rsidRPr="00392FFD" w:rsidRDefault="00612780" w:rsidP="00612780">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MONTANT TOTAL DES EXPOSITIONS DE TITRISATION INITIÉES</w:t>
            </w:r>
          </w:p>
          <w:p w:rsidR="00612780" w:rsidRPr="00392FFD" w:rsidRDefault="00612780" w:rsidP="00612780">
            <w:pPr>
              <w:autoSpaceDE w:val="0"/>
              <w:autoSpaceDN w:val="0"/>
              <w:adjustRightInd w:val="0"/>
              <w:spacing w:before="0" w:after="0"/>
              <w:rPr>
                <w:rFonts w:ascii="Times New Roman" w:hAnsi="Times New Roman"/>
                <w:bCs/>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Les établissements initiateurs doivent déclarer le montant de l’encours à la date de déclaration de toutes les expositions de titrisation courantes initiées dans l’opération de titrisation, indépendamment de qui détient les positions. Ainsi seront déclarées les expositions de titrisation au bilan (par ex. obligations, e</w:t>
            </w:r>
            <w:r>
              <w:rPr>
                <w:rFonts w:ascii="Times New Roman" w:hAnsi="Times New Roman"/>
                <w:sz w:val="24"/>
              </w:rPr>
              <w:t>m</w:t>
            </w:r>
            <w:r>
              <w:rPr>
                <w:rFonts w:ascii="Times New Roman" w:hAnsi="Times New Roman"/>
                <w:sz w:val="24"/>
              </w:rPr>
              <w:t xml:space="preserve">prunts subordonnés) ainsi que les expositions et les dérivés hors bilan (par ex. lignes de crédit subordonnées, facilités de trésorerie, contrats d'échange de taux d’intérêt, contrats d’échange sur risque de crédit, etc.) qui ont été initiés dans la titrisation. </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Dans le cas des titrisations classiques, dans lesquelles l’initiateur ne détient a</w:t>
            </w:r>
            <w:r>
              <w:rPr>
                <w:rFonts w:ascii="Times New Roman" w:hAnsi="Times New Roman"/>
                <w:sz w:val="24"/>
              </w:rPr>
              <w:t>u</w:t>
            </w:r>
            <w:r>
              <w:rPr>
                <w:rFonts w:ascii="Times New Roman" w:hAnsi="Times New Roman"/>
                <w:sz w:val="24"/>
              </w:rPr>
              <w:t>cune position, l’initiateur ne tient pas compte de la titrisation dans la déclar</w:t>
            </w:r>
            <w:r>
              <w:rPr>
                <w:rFonts w:ascii="Times New Roman" w:hAnsi="Times New Roman"/>
                <w:sz w:val="24"/>
              </w:rPr>
              <w:t>a</w:t>
            </w:r>
            <w:r>
              <w:rPr>
                <w:rFonts w:ascii="Times New Roman" w:hAnsi="Times New Roman"/>
                <w:sz w:val="24"/>
              </w:rPr>
              <w:t>tion des modèles CR SEC SA ou CR SEC IRB. À cet égard, les positions de t</w:t>
            </w:r>
            <w:r>
              <w:rPr>
                <w:rFonts w:ascii="Times New Roman" w:hAnsi="Times New Roman"/>
                <w:sz w:val="24"/>
              </w:rPr>
              <w:t>i</w:t>
            </w:r>
            <w:r>
              <w:rPr>
                <w:rFonts w:ascii="Times New Roman" w:hAnsi="Times New Roman"/>
                <w:sz w:val="24"/>
              </w:rPr>
              <w:t>trisation détenues par l’initiateur comprennent les clauses de remboursement anticipé dans une titrisation d’expositions renouvelables telles que définies à l’article 242, point 12, du CRR.</w:t>
            </w:r>
          </w:p>
          <w:p w:rsidR="00612780" w:rsidRPr="00392FFD" w:rsidRDefault="00612780" w:rsidP="009E5DCC">
            <w:pPr>
              <w:autoSpaceDE w:val="0"/>
              <w:autoSpaceDN w:val="0"/>
              <w:adjustRightInd w:val="0"/>
              <w:spacing w:before="0" w:after="0"/>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020-040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TITRISATIONS SYNTHÉTIQUES: PROTECTION DE CRÉDIT SUR LES EXPOSITIONS TITRISÉES</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Suite aux dispositions des articles 249 et 250 du CRR, la protection de crédit pour les expositions titrisées sera identique à celle qui serait appliquée s’il n’existait pas d’asymétrie d’échéances.</w:t>
            </w:r>
          </w:p>
          <w:p w:rsidR="00612780" w:rsidRPr="00392FFD" w:rsidRDefault="00612780" w:rsidP="00612780">
            <w:pPr>
              <w:autoSpaceDE w:val="0"/>
              <w:autoSpaceDN w:val="0"/>
              <w:adjustRightInd w:val="0"/>
              <w:spacing w:before="0" w:after="0"/>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020</w:t>
            </w:r>
          </w:p>
        </w:tc>
        <w:tc>
          <w:tcPr>
            <w:tcW w:w="7856" w:type="dxa"/>
          </w:tcPr>
          <w:p w:rsidR="00612780" w:rsidRPr="00392FFD" w:rsidRDefault="00612780" w:rsidP="00612780">
            <w:pPr>
              <w:spacing w:before="0" w:after="0"/>
              <w:jc w:val="left"/>
              <w:rPr>
                <w:rFonts w:ascii="Times New Roman" w:hAnsi="Times New Roman"/>
                <w:b/>
                <w:strike/>
                <w:sz w:val="24"/>
                <w:u w:val="single"/>
              </w:rPr>
            </w:pPr>
            <w:r>
              <w:rPr>
                <w:rFonts w:ascii="Times New Roman" w:hAnsi="Times New Roman"/>
                <w:b/>
                <w:sz w:val="24"/>
                <w:u w:val="single"/>
              </w:rPr>
              <w:t>(-) PROTECTION DE CRÉDIT FINANCÉE (C</w:t>
            </w:r>
            <w:r>
              <w:rPr>
                <w:rFonts w:ascii="Times New Roman" w:hAnsi="Times New Roman"/>
                <w:b/>
                <w:sz w:val="24"/>
                <w:u w:val="single"/>
                <w:vertAlign w:val="subscript"/>
              </w:rPr>
              <w:t>VA</w:t>
            </w:r>
            <w:r>
              <w:rPr>
                <w:rFonts w:ascii="Times New Roman" w:hAnsi="Times New Roman"/>
                <w:b/>
                <w:sz w:val="24"/>
                <w:u w:val="single"/>
              </w:rPr>
              <w:t xml:space="preserve">) </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 mode de calcul détaillé de la valeur corrigée pour volatilité de la sûreté (C</w:t>
            </w:r>
            <w:r>
              <w:rPr>
                <w:rFonts w:ascii="Times New Roman" w:hAnsi="Times New Roman"/>
                <w:sz w:val="24"/>
                <w:vertAlign w:val="subscript"/>
              </w:rPr>
              <w:t>VA</w:t>
            </w:r>
            <w:r>
              <w:rPr>
                <w:rFonts w:ascii="Times New Roman" w:hAnsi="Times New Roman"/>
                <w:sz w:val="24"/>
              </w:rPr>
              <w:t>) qui doit être déclarée dans cette colonne est établi à l’article 223, par</w:t>
            </w:r>
            <w:r>
              <w:rPr>
                <w:rFonts w:ascii="Times New Roman" w:hAnsi="Times New Roman"/>
                <w:sz w:val="24"/>
              </w:rPr>
              <w:t>a</w:t>
            </w:r>
            <w:r>
              <w:rPr>
                <w:rFonts w:ascii="Times New Roman" w:hAnsi="Times New Roman"/>
                <w:sz w:val="24"/>
              </w:rPr>
              <w:lastRenderedPageBreak/>
              <w:t>graphe 2, du CRR.</w:t>
            </w:r>
          </w:p>
          <w:p w:rsidR="00612780" w:rsidRPr="00392FFD" w:rsidRDefault="00612780" w:rsidP="00612780">
            <w:pPr>
              <w:autoSpaceDE w:val="0"/>
              <w:autoSpaceDN w:val="0"/>
              <w:adjustRightInd w:val="0"/>
              <w:spacing w:before="0" w:after="0"/>
              <w:jc w:val="left"/>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lastRenderedPageBreak/>
              <w:t>030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 xml:space="preserve">(-) TOTAL SORTIES: VALEURS CORRIGÉES DE PROTECTION DE CRÉDIT NON FINANCÉE (G*) </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Suivant la règle générale des «entrées» et des «sorties», les montants déclarés dans cette colonne apparaîtront dans les «entrées» du modèle de risque de cr</w:t>
            </w:r>
            <w:r>
              <w:rPr>
                <w:rFonts w:ascii="Times New Roman" w:hAnsi="Times New Roman"/>
                <w:sz w:val="24"/>
              </w:rPr>
              <w:t>é</w:t>
            </w:r>
            <w:r>
              <w:rPr>
                <w:rFonts w:ascii="Times New Roman" w:hAnsi="Times New Roman"/>
                <w:sz w:val="24"/>
              </w:rPr>
              <w:t>dit correspondant (CA SA ou CR IRB) et dans la catégorie d'expositions pert</w:t>
            </w:r>
            <w:r>
              <w:rPr>
                <w:rFonts w:ascii="Times New Roman" w:hAnsi="Times New Roman"/>
                <w:sz w:val="24"/>
              </w:rPr>
              <w:t>i</w:t>
            </w:r>
            <w:r>
              <w:rPr>
                <w:rFonts w:ascii="Times New Roman" w:hAnsi="Times New Roman"/>
                <w:sz w:val="24"/>
              </w:rPr>
              <w:t>nente pour le fournisseur de protection (à savoir le tiers auquel la tranche est transférée au moyen d'une protection de crédit non financée).</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 mode de calcul du montant nominal de la protection de crédit corrigé du «risque de change» (G*) est précisé à l’article 233, paragraphe 3, du CRR.</w:t>
            </w:r>
          </w:p>
          <w:p w:rsidR="00612780" w:rsidRPr="00392FFD" w:rsidRDefault="00612780" w:rsidP="00612780">
            <w:pPr>
              <w:autoSpaceDE w:val="0"/>
              <w:autoSpaceDN w:val="0"/>
              <w:adjustRightInd w:val="0"/>
              <w:spacing w:before="0" w:after="0"/>
              <w:jc w:val="left"/>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040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MONTANT NOTIONNEL DE PROTECTION DE CRÉDIT CONSERVÉ OU RACHETÉ</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Toutes les tranches qui ont été conservées ou rachetées, par ex. les positions de première perte conservées, seront déclarées à leur montant nominal.</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L’effet des décotes règlementaires sur la protection de crédit ne sera pas pris en considération lors du calcul du montant conservé ou racheté de protection de crédit.</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050</w:t>
            </w:r>
          </w:p>
        </w:tc>
        <w:tc>
          <w:tcPr>
            <w:tcW w:w="7856" w:type="dxa"/>
          </w:tcPr>
          <w:p w:rsidR="00612780" w:rsidRPr="0023700C" w:rsidRDefault="00612780" w:rsidP="00612780">
            <w:pPr>
              <w:spacing w:before="0" w:after="0"/>
              <w:jc w:val="left"/>
              <w:rPr>
                <w:rFonts w:ascii="Times New Roman" w:hAnsi="Times New Roman"/>
                <w:b/>
                <w:sz w:val="24"/>
                <w:u w:val="single"/>
              </w:rPr>
            </w:pPr>
            <w:r>
              <w:rPr>
                <w:rFonts w:ascii="Times New Roman" w:hAnsi="Times New Roman"/>
                <w:b/>
                <w:sz w:val="24"/>
                <w:u w:val="single"/>
              </w:rPr>
              <w:t>POSITIONS DE TITRISATION: EXPOSITION INITIALE AVANT A</w:t>
            </w:r>
            <w:r>
              <w:rPr>
                <w:rFonts w:ascii="Times New Roman" w:hAnsi="Times New Roman"/>
                <w:b/>
                <w:sz w:val="24"/>
                <w:u w:val="single"/>
              </w:rPr>
              <w:t>P</w:t>
            </w:r>
            <w:r>
              <w:rPr>
                <w:rFonts w:ascii="Times New Roman" w:hAnsi="Times New Roman"/>
                <w:b/>
                <w:sz w:val="24"/>
                <w:u w:val="single"/>
              </w:rPr>
              <w:t>PLICATION DES FACTEURS DE CONVERSION</w:t>
            </w:r>
          </w:p>
          <w:p w:rsidR="00612780" w:rsidRPr="0023700C"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Positions de titrisation détenues par l’établissement déclarant, calculées co</w:t>
            </w:r>
            <w:r>
              <w:rPr>
                <w:rFonts w:ascii="Times New Roman" w:hAnsi="Times New Roman"/>
                <w:sz w:val="24"/>
              </w:rPr>
              <w:t>n</w:t>
            </w:r>
            <w:r>
              <w:rPr>
                <w:rFonts w:ascii="Times New Roman" w:hAnsi="Times New Roman"/>
                <w:sz w:val="24"/>
              </w:rPr>
              <w:t>formément à l’article 246, paragraphe 1, points a), c) et e), et paragraphe 2, du CRR, sans application des facteurs de conversion de crédit et sans ajust</w:t>
            </w:r>
            <w:r>
              <w:rPr>
                <w:rFonts w:ascii="Times New Roman" w:hAnsi="Times New Roman"/>
                <w:sz w:val="24"/>
              </w:rPr>
              <w:t>e</w:t>
            </w:r>
            <w:r>
              <w:rPr>
                <w:rFonts w:ascii="Times New Roman" w:hAnsi="Times New Roman"/>
                <w:sz w:val="24"/>
              </w:rPr>
              <w:t>ments pour risque de crédit et provisions. La compensation n’est pertinente que par rapport à plusieurs contrats de dérivés fournis à la même entité de t</w:t>
            </w:r>
            <w:r>
              <w:rPr>
                <w:rFonts w:ascii="Times New Roman" w:hAnsi="Times New Roman"/>
                <w:sz w:val="24"/>
              </w:rPr>
              <w:t>i</w:t>
            </w:r>
            <w:r>
              <w:rPr>
                <w:rFonts w:ascii="Times New Roman" w:hAnsi="Times New Roman"/>
                <w:sz w:val="24"/>
              </w:rPr>
              <w:t>trisation, et couverts par un accord de compensation éligible.</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Les corrections de valeur et les provisions à déclarer dans cette colonne ne se rapportent qu’aux positions de titrisation. Les corrections de valeur de pos</w:t>
            </w:r>
            <w:r>
              <w:rPr>
                <w:rFonts w:ascii="Times New Roman" w:hAnsi="Times New Roman"/>
                <w:sz w:val="24"/>
              </w:rPr>
              <w:t>i</w:t>
            </w:r>
            <w:r>
              <w:rPr>
                <w:rFonts w:ascii="Times New Roman" w:hAnsi="Times New Roman"/>
                <w:sz w:val="24"/>
              </w:rPr>
              <w:t>tions titrisées ne sont pas prises en compte.</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En présence d'une clause de remboursement anticipé, les établissements do</w:t>
            </w:r>
            <w:r>
              <w:rPr>
                <w:rFonts w:ascii="Times New Roman" w:hAnsi="Times New Roman"/>
                <w:sz w:val="24"/>
              </w:rPr>
              <w:t>i</w:t>
            </w:r>
            <w:r>
              <w:rPr>
                <w:rFonts w:ascii="Times New Roman" w:hAnsi="Times New Roman"/>
                <w:sz w:val="24"/>
              </w:rPr>
              <w:t>vent préciser le montant des «intérêts de l'établissement initiateur», tel que d</w:t>
            </w:r>
            <w:r>
              <w:rPr>
                <w:rFonts w:ascii="Times New Roman" w:hAnsi="Times New Roman"/>
                <w:sz w:val="24"/>
              </w:rPr>
              <w:t>é</w:t>
            </w:r>
            <w:r>
              <w:rPr>
                <w:rFonts w:ascii="Times New Roman" w:hAnsi="Times New Roman"/>
                <w:sz w:val="24"/>
              </w:rPr>
              <w:t xml:space="preserve">fini à l'article 256, paragraphe 2, du CRR. </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Dans le cadre de titrisations synthétiques, les positions détenues par l’initiateur sous la forme d’éléments au bilan et/ou d’intérêts de l’investisseur (rembou</w:t>
            </w:r>
            <w:r>
              <w:rPr>
                <w:rFonts w:ascii="Times New Roman" w:hAnsi="Times New Roman"/>
                <w:sz w:val="24"/>
              </w:rPr>
              <w:t>r</w:t>
            </w:r>
            <w:r>
              <w:rPr>
                <w:rFonts w:ascii="Times New Roman" w:hAnsi="Times New Roman"/>
                <w:sz w:val="24"/>
              </w:rPr>
              <w:t>sement anticipé) seront la somme des colonnes 010 à 040.</w:t>
            </w:r>
          </w:p>
          <w:p w:rsidR="00612780" w:rsidRPr="00392FFD" w:rsidRDefault="00612780" w:rsidP="00612780">
            <w:pPr>
              <w:autoSpaceDE w:val="0"/>
              <w:autoSpaceDN w:val="0"/>
              <w:adjustRightInd w:val="0"/>
              <w:spacing w:before="0" w:after="0"/>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060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 xml:space="preserve">(-) CORRECTIONS DE VALEUR ET PROVISIONS </w:t>
            </w:r>
          </w:p>
          <w:p w:rsidR="00612780" w:rsidRPr="00392FFD" w:rsidRDefault="00612780" w:rsidP="00612780">
            <w:pPr>
              <w:pStyle w:val="ListParagraph"/>
              <w:spacing w:before="0" w:after="0"/>
              <w:ind w:left="284" w:hanging="284"/>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Corrections de valeur et provisions (article 159 du CRR) pour pertes de crédit, </w:t>
            </w:r>
            <w:r>
              <w:rPr>
                <w:rFonts w:ascii="Times New Roman" w:hAnsi="Times New Roman"/>
                <w:sz w:val="24"/>
              </w:rPr>
              <w:lastRenderedPageBreak/>
              <w:t>effectuées conformément au référentiel comptable appliqué par l’établissement déclarant. Les corrections de valeur comprennent tout montant comptabilisé dans le compte de correction au titre de pertes de crédit sur des actifs financiers depuis leur première comptabilisation au bilan (y compris les pertes dues au risque de crédit d’actifs financiers mesurés à leur juste valeur, et qui ne seront pas déduites de la valeur exposée au risque), plus les décotes sur les expos</w:t>
            </w:r>
            <w:r>
              <w:rPr>
                <w:rFonts w:ascii="Times New Roman" w:hAnsi="Times New Roman"/>
                <w:sz w:val="24"/>
              </w:rPr>
              <w:t>i</w:t>
            </w:r>
            <w:r>
              <w:rPr>
                <w:rFonts w:ascii="Times New Roman" w:hAnsi="Times New Roman"/>
                <w:sz w:val="24"/>
              </w:rPr>
              <w:t>tions acquises alors qu’elles étaient en défaut, conformément à l’article 166, paragraphe 1, du CRR. Les provisions comprennent les montants accumulés de pertes de crédit sur des éléments hors bilan.</w:t>
            </w:r>
          </w:p>
          <w:p w:rsidR="00612780" w:rsidRPr="00392FFD" w:rsidRDefault="00612780" w:rsidP="00612780">
            <w:pPr>
              <w:pStyle w:val="ListParagraph"/>
              <w:spacing w:before="0" w:after="0"/>
              <w:ind w:left="0"/>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lastRenderedPageBreak/>
              <w:t>070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EXPOSITION NETTE DES CORRECTIONS DE VALEUR ET DES PROVISIONS</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Positions de titrisation conformément à l’article 246, paragraphes 1 et 2, du CRR, sans application des facteurs de conversion.</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Ces informations sont liées à la colonne 040 du modèle CR SA Total.</w:t>
            </w:r>
          </w:p>
          <w:p w:rsidR="00612780" w:rsidRPr="00392FFD" w:rsidRDefault="00612780" w:rsidP="00612780">
            <w:pPr>
              <w:autoSpaceDE w:val="0"/>
              <w:autoSpaceDN w:val="0"/>
              <w:adjustRightInd w:val="0"/>
              <w:spacing w:before="0" w:after="0"/>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080-110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TECHNIQUES D'ATTÉNUATION DU RISQUE DE CRÉDIT (ARC) AVEC EFFETS DE SUBSTITUTION SUR L'EXPOSITION</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jc w:val="left"/>
              <w:rPr>
                <w:rFonts w:ascii="Times New Roman" w:hAnsi="Times New Roman"/>
                <w:sz w:val="24"/>
              </w:rPr>
            </w:pPr>
            <w:r>
              <w:rPr>
                <w:rFonts w:ascii="Times New Roman" w:hAnsi="Times New Roman"/>
                <w:sz w:val="24"/>
              </w:rPr>
              <w:t>Article 4, point 57, et troisième partie, titre II, chapitre 4 du CRR.</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Ce bloc de colonnes rassemble des informations sur les techniques d’atténuation du risque de crédit qui diminuent le risque de crédit d’une ou plusieurs expositions au moyen de la substitution d’expositions (voir plus bas, sous Entrées et Sorties).</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jc w:val="left"/>
              <w:rPr>
                <w:rFonts w:ascii="Times New Roman" w:hAnsi="Times New Roman"/>
                <w:sz w:val="24"/>
              </w:rPr>
            </w:pPr>
            <w:bookmarkStart w:id="392" w:name="_Toc262228334"/>
            <w:r>
              <w:rPr>
                <w:rFonts w:ascii="Times New Roman" w:hAnsi="Times New Roman"/>
                <w:sz w:val="24"/>
              </w:rPr>
              <w:t>Voir les instructions concernant le modèle CR SA (Déclaration des techniques d’ARC avec effet de substitution</w:t>
            </w:r>
            <w:bookmarkEnd w:id="392"/>
            <w:r>
              <w:rPr>
                <w:rFonts w:ascii="Times New Roman" w:hAnsi="Times New Roman"/>
                <w:sz w:val="24"/>
              </w:rPr>
              <w:t>).</w:t>
            </w:r>
          </w:p>
          <w:p w:rsidR="00612780" w:rsidRPr="00392FFD" w:rsidRDefault="00612780" w:rsidP="00612780">
            <w:pPr>
              <w:autoSpaceDE w:val="0"/>
              <w:autoSpaceDN w:val="0"/>
              <w:adjustRightInd w:val="0"/>
              <w:spacing w:before="0" w:after="0"/>
              <w:ind w:left="284" w:hanging="284"/>
              <w:jc w:val="left"/>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080</w:t>
            </w:r>
          </w:p>
        </w:tc>
        <w:tc>
          <w:tcPr>
            <w:tcW w:w="7856" w:type="dxa"/>
          </w:tcPr>
          <w:p w:rsidR="00612780" w:rsidRPr="00392FFD" w:rsidRDefault="003300FF" w:rsidP="00612780">
            <w:pPr>
              <w:spacing w:before="0" w:after="0"/>
              <w:jc w:val="left"/>
              <w:rPr>
                <w:rFonts w:ascii="Times New Roman" w:hAnsi="Times New Roman"/>
                <w:b/>
                <w:sz w:val="24"/>
                <w:u w:val="single"/>
              </w:rPr>
            </w:pPr>
            <w:r>
              <w:rPr>
                <w:rFonts w:ascii="Times New Roman" w:hAnsi="Times New Roman"/>
                <w:b/>
                <w:sz w:val="24"/>
                <w:u w:val="single"/>
              </w:rPr>
              <w:t>(-) PROTECTION DE CRÉDIT NON FINANCÉE: VALEURS CORR</w:t>
            </w:r>
            <w:r>
              <w:rPr>
                <w:rFonts w:ascii="Times New Roman" w:hAnsi="Times New Roman"/>
                <w:b/>
                <w:sz w:val="24"/>
                <w:u w:val="single"/>
              </w:rPr>
              <w:t>I</w:t>
            </w:r>
            <w:r>
              <w:rPr>
                <w:rFonts w:ascii="Times New Roman" w:hAnsi="Times New Roman"/>
                <w:b/>
                <w:sz w:val="24"/>
                <w:u w:val="single"/>
              </w:rPr>
              <w:t>GÉES (G</w:t>
            </w:r>
            <w:r>
              <w:rPr>
                <w:rFonts w:ascii="Times New Roman" w:hAnsi="Times New Roman"/>
                <w:b/>
                <w:sz w:val="24"/>
                <w:u w:val="single"/>
                <w:vertAlign w:val="subscript"/>
              </w:rPr>
              <w:t>A</w:t>
            </w:r>
            <w:r>
              <w:rPr>
                <w:rFonts w:ascii="Times New Roman" w:hAnsi="Times New Roman"/>
                <w:b/>
                <w:sz w:val="24"/>
                <w:u w:val="single"/>
              </w:rPr>
              <w:t xml:space="preserve">) </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Protection de crédit non financée telle que définie à l’article 4, point 59, et telle que régie par l’article 235 du CRR.</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jc w:val="left"/>
              <w:rPr>
                <w:rFonts w:ascii="Times New Roman" w:hAnsi="Times New Roman"/>
                <w:sz w:val="24"/>
              </w:rPr>
            </w:pPr>
            <w:r>
              <w:rPr>
                <w:rFonts w:ascii="Times New Roman" w:hAnsi="Times New Roman"/>
                <w:sz w:val="24"/>
              </w:rPr>
              <w:t>Voir les instructions concernant le modèle CR SA (Déclaration des techniques d’ARC avec effet de substitution).</w:t>
            </w:r>
          </w:p>
          <w:p w:rsidR="00612780" w:rsidRPr="00392FFD" w:rsidRDefault="00612780" w:rsidP="00612780">
            <w:pPr>
              <w:autoSpaceDE w:val="0"/>
              <w:autoSpaceDN w:val="0"/>
              <w:adjustRightInd w:val="0"/>
              <w:spacing w:before="0" w:after="0"/>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090</w:t>
            </w:r>
          </w:p>
        </w:tc>
        <w:tc>
          <w:tcPr>
            <w:tcW w:w="7856" w:type="dxa"/>
          </w:tcPr>
          <w:p w:rsidR="00612780" w:rsidRPr="00392FFD" w:rsidRDefault="003300FF" w:rsidP="00612780">
            <w:pPr>
              <w:autoSpaceDE w:val="0"/>
              <w:autoSpaceDN w:val="0"/>
              <w:adjustRightInd w:val="0"/>
              <w:spacing w:before="0" w:after="0"/>
              <w:ind w:left="284" w:hanging="284"/>
              <w:jc w:val="left"/>
              <w:rPr>
                <w:rFonts w:ascii="Times New Roman" w:hAnsi="Times New Roman"/>
                <w:b/>
                <w:sz w:val="24"/>
                <w:u w:val="single"/>
              </w:rPr>
            </w:pPr>
            <w:r>
              <w:rPr>
                <w:rFonts w:ascii="Times New Roman" w:hAnsi="Times New Roman"/>
                <w:b/>
                <w:sz w:val="24"/>
                <w:u w:val="single"/>
              </w:rPr>
              <w:t>(-) PROTECTION DE CRÉDIT FINANCÉE</w:t>
            </w:r>
          </w:p>
          <w:p w:rsidR="00612780" w:rsidRPr="00392FFD" w:rsidRDefault="00612780" w:rsidP="00612780">
            <w:pPr>
              <w:autoSpaceDE w:val="0"/>
              <w:autoSpaceDN w:val="0"/>
              <w:adjustRightInd w:val="0"/>
              <w:spacing w:before="0" w:after="0"/>
              <w:ind w:left="284" w:hanging="284"/>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Protection de crédit financée telle que définie à l’article 4, point 58, et telle que régie par les articles 195, 197 et 200 du CRR.</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Les titres liés à un crédit et les compensations au bilan conformément aux a</w:t>
            </w:r>
            <w:r>
              <w:rPr>
                <w:rFonts w:ascii="Times New Roman" w:hAnsi="Times New Roman"/>
                <w:sz w:val="24"/>
              </w:rPr>
              <w:t>r</w:t>
            </w:r>
            <w:r>
              <w:rPr>
                <w:rFonts w:ascii="Times New Roman" w:hAnsi="Times New Roman"/>
                <w:sz w:val="24"/>
              </w:rPr>
              <w:t>ticles 218 à 236 du CRR sont traités comme des sûretés en espèces.</w:t>
            </w:r>
          </w:p>
          <w:p w:rsidR="00612780" w:rsidRPr="00392FFD" w:rsidRDefault="00612780" w:rsidP="00612780">
            <w:pPr>
              <w:autoSpaceDE w:val="0"/>
              <w:autoSpaceDN w:val="0"/>
              <w:adjustRightInd w:val="0"/>
              <w:spacing w:before="0" w:after="0"/>
              <w:ind w:left="284" w:hanging="284"/>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Voir les instructions concernant le modèle CR SA (Déclaration des techniques d’ARC avec effet de substitution).</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lastRenderedPageBreak/>
              <w:t>100-110</w:t>
            </w:r>
          </w:p>
        </w:tc>
        <w:tc>
          <w:tcPr>
            <w:tcW w:w="7856" w:type="dxa"/>
          </w:tcPr>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b/>
                <w:sz w:val="24"/>
                <w:u w:val="single"/>
              </w:rPr>
              <w:t xml:space="preserve">SUBSTITUTION DE L’EXPOSITION DUE À L’ARC: </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Les entrées et sorties au sein de la même catégorie d’expositions et, le cas échéant, les pondérations de risque ou les échelons de débiteurs seront égal</w:t>
            </w:r>
            <w:r>
              <w:rPr>
                <w:rFonts w:ascii="Times New Roman" w:hAnsi="Times New Roman"/>
                <w:sz w:val="24"/>
              </w:rPr>
              <w:t>e</w:t>
            </w:r>
            <w:r>
              <w:rPr>
                <w:rFonts w:ascii="Times New Roman" w:hAnsi="Times New Roman"/>
                <w:sz w:val="24"/>
              </w:rPr>
              <w:t>ment déclarés.</w:t>
            </w:r>
          </w:p>
          <w:p w:rsidR="00612780" w:rsidRPr="00392FFD" w:rsidRDefault="00612780" w:rsidP="00612780">
            <w:pPr>
              <w:autoSpaceDE w:val="0"/>
              <w:autoSpaceDN w:val="0"/>
              <w:adjustRightInd w:val="0"/>
              <w:spacing w:before="0" w:after="0"/>
              <w:ind w:left="284" w:hanging="284"/>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100</w:t>
            </w:r>
          </w:p>
        </w:tc>
        <w:tc>
          <w:tcPr>
            <w:tcW w:w="7856"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 TOTAL SORTIES</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Article 222, paragraphe 3, et article 235, paragraphes 1 et 2. </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Les sorties correspondent à la partie couverte de l’«Exposition nette des co</w:t>
            </w:r>
            <w:r>
              <w:rPr>
                <w:rFonts w:ascii="Times New Roman" w:hAnsi="Times New Roman"/>
                <w:sz w:val="24"/>
              </w:rPr>
              <w:t>r</w:t>
            </w:r>
            <w:r>
              <w:rPr>
                <w:rFonts w:ascii="Times New Roman" w:hAnsi="Times New Roman"/>
                <w:sz w:val="24"/>
              </w:rPr>
              <w:t>rections de valeur et des provisions» qui est déduite de la catégorie d’expositions du débiteur et, le cas échéant, de sa pondération de risque ou de son échelon de débiteur, puis réaffectée à la catégorie d’expositions du fourni</w:t>
            </w:r>
            <w:r>
              <w:rPr>
                <w:rFonts w:ascii="Times New Roman" w:hAnsi="Times New Roman"/>
                <w:sz w:val="24"/>
              </w:rPr>
              <w:t>s</w:t>
            </w:r>
            <w:r>
              <w:rPr>
                <w:rFonts w:ascii="Times New Roman" w:hAnsi="Times New Roman"/>
                <w:sz w:val="24"/>
              </w:rPr>
              <w:t>seur de protection et, le cas échéant, à sa pondération de risque ou à son éch</w:t>
            </w:r>
            <w:r>
              <w:rPr>
                <w:rFonts w:ascii="Times New Roman" w:hAnsi="Times New Roman"/>
                <w:sz w:val="24"/>
              </w:rPr>
              <w:t>e</w:t>
            </w:r>
            <w:r>
              <w:rPr>
                <w:rFonts w:ascii="Times New Roman" w:hAnsi="Times New Roman"/>
                <w:sz w:val="24"/>
              </w:rPr>
              <w:t xml:space="preserve">lon de débiteur. </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 montant sera considéré comme une entrée dans la catégorie d’expositions du fournisseur de protection et, le cas échéant, dans ses pondérations de risque ou ses échelons de débiteurs.</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Ces informations sont liées à la colonne 090 [(-) Total des sorties] du modèle CR SA Total.</w:t>
            </w:r>
          </w:p>
          <w:p w:rsidR="00612780" w:rsidRPr="00392FFD" w:rsidRDefault="00612780" w:rsidP="00612780">
            <w:pPr>
              <w:autoSpaceDE w:val="0"/>
              <w:autoSpaceDN w:val="0"/>
              <w:adjustRightInd w:val="0"/>
              <w:spacing w:before="0" w:after="0"/>
              <w:ind w:left="284" w:hanging="284"/>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110</w:t>
            </w:r>
          </w:p>
        </w:tc>
        <w:tc>
          <w:tcPr>
            <w:tcW w:w="7856"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TOTAL ENTRÉES</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Seront déclarées dans cette colonne les positions de titrisation qui sont des titres de créance et sont des sûretés financières éligibles en vertu de l’article 197, paragraphe 1, du CRR, lorsque la méthode simple fondée sur les sûretés financières est utilisée.</w:t>
            </w:r>
          </w:p>
          <w:p w:rsidR="00612780" w:rsidRPr="00392FFD" w:rsidRDefault="00612780" w:rsidP="00612780">
            <w:pPr>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Ces informations sont liées à la colonne 100 (Total des entrées) du modèle CR SA Total. </w:t>
            </w:r>
          </w:p>
          <w:p w:rsidR="00612780" w:rsidRPr="00392FFD" w:rsidRDefault="00612780" w:rsidP="00612780">
            <w:pPr>
              <w:autoSpaceDE w:val="0"/>
              <w:autoSpaceDN w:val="0"/>
              <w:adjustRightInd w:val="0"/>
              <w:spacing w:before="0" w:after="0"/>
              <w:ind w:left="284" w:hanging="284"/>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120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EXPOSITION NETTE COMPTE TENU DES EFFETS DE SUBSTIT</w:t>
            </w:r>
            <w:r>
              <w:rPr>
                <w:rFonts w:ascii="Times New Roman" w:hAnsi="Times New Roman"/>
                <w:b/>
                <w:sz w:val="24"/>
                <w:u w:val="single"/>
              </w:rPr>
              <w:t>U</w:t>
            </w:r>
            <w:r>
              <w:rPr>
                <w:rFonts w:ascii="Times New Roman" w:hAnsi="Times New Roman"/>
                <w:b/>
                <w:sz w:val="24"/>
                <w:u w:val="single"/>
              </w:rPr>
              <w:t>TION ARC ET AVANT APPLICATION DES FACTEURS DE CO</w:t>
            </w:r>
            <w:r>
              <w:rPr>
                <w:rFonts w:ascii="Times New Roman" w:hAnsi="Times New Roman"/>
                <w:b/>
                <w:sz w:val="24"/>
                <w:u w:val="single"/>
              </w:rPr>
              <w:t>N</w:t>
            </w:r>
            <w:r>
              <w:rPr>
                <w:rFonts w:ascii="Times New Roman" w:hAnsi="Times New Roman"/>
                <w:b/>
                <w:sz w:val="24"/>
                <w:u w:val="single"/>
              </w:rPr>
              <w:t>VERSION</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Expositions affectées à la pondération de risque et à la catégorie d’expositions correspondantes, après prise en compte des sorties et des entrées dues aux «techniques d’ARC avec effets de substitution sur l’exposition».</w:t>
            </w:r>
          </w:p>
          <w:p w:rsidR="00612780" w:rsidRPr="00392FFD" w:rsidRDefault="00612780" w:rsidP="00612780">
            <w:pPr>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Ces informations sont liées à la colonne 110 du modèle CR SA Total.</w:t>
            </w:r>
          </w:p>
          <w:p w:rsidR="00612780" w:rsidRPr="00392FFD" w:rsidRDefault="00612780" w:rsidP="00612780">
            <w:pPr>
              <w:autoSpaceDE w:val="0"/>
              <w:autoSpaceDN w:val="0"/>
              <w:adjustRightInd w:val="0"/>
              <w:spacing w:before="0" w:after="0"/>
              <w:ind w:left="284" w:hanging="284"/>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130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 TECHNIQUES D’ATTÉNUATION DU RISQUE DE CRÉDIT M</w:t>
            </w:r>
            <w:r>
              <w:rPr>
                <w:rFonts w:ascii="Times New Roman" w:hAnsi="Times New Roman"/>
                <w:b/>
                <w:sz w:val="24"/>
                <w:u w:val="single"/>
              </w:rPr>
              <w:t>O</w:t>
            </w:r>
            <w:r>
              <w:rPr>
                <w:rFonts w:ascii="Times New Roman" w:hAnsi="Times New Roman"/>
                <w:b/>
                <w:sz w:val="24"/>
                <w:u w:val="single"/>
              </w:rPr>
              <w:t>DIFIANT LE MONTANT DE L’EXPOSITION: VALEUR CORRIGÉE SELON LA MÉTHODE GÉNÉRALE FONDÉE SUR LES SÛRETÉS FINANCIÈRES POUR LA PROTECTION DE CRÉDIT FINANCÉE (C</w:t>
            </w:r>
            <w:r>
              <w:rPr>
                <w:rFonts w:ascii="Times New Roman" w:hAnsi="Times New Roman"/>
                <w:b/>
                <w:sz w:val="24"/>
                <w:u w:val="single"/>
                <w:vertAlign w:val="subscript"/>
              </w:rPr>
              <w:t>VAM</w:t>
            </w:r>
            <w:r>
              <w:rPr>
                <w:rFonts w:ascii="Times New Roman" w:hAnsi="Times New Roman"/>
                <w:b/>
                <w:sz w:val="24"/>
                <w:u w:val="single"/>
              </w:rPr>
              <w:t>)</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lastRenderedPageBreak/>
              <w:t>Les titres liés à un crédit sont également inclus dans ce poste (article 218 du CRR).</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Ces informations sont liées aux colonnes 120 et 130 du modèle CR SA Total. </w:t>
            </w:r>
          </w:p>
          <w:p w:rsidR="00612780" w:rsidRPr="00392FFD" w:rsidRDefault="00612780" w:rsidP="00612780">
            <w:pPr>
              <w:autoSpaceDE w:val="0"/>
              <w:autoSpaceDN w:val="0"/>
              <w:adjustRightInd w:val="0"/>
              <w:spacing w:before="0" w:after="0"/>
              <w:ind w:left="284" w:hanging="284"/>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lastRenderedPageBreak/>
              <w:t>140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VALEUR EXPOSÉE AU RISQUE PLEINEMENT AJUSTÉE (E*)</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Positions de titrisation conformément à l'article 246 du CRR, c'est-à-dire sans application des facteurs de conversion visés à l'article 246, paragraphe 1, point c), du CRR.</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xml:space="preserve">Ces informations sont liées à la colonne 150 du modèle CR SA Total. </w:t>
            </w:r>
          </w:p>
          <w:p w:rsidR="00612780" w:rsidRPr="00392FFD" w:rsidRDefault="00612780" w:rsidP="00612780">
            <w:pPr>
              <w:autoSpaceDE w:val="0"/>
              <w:autoSpaceDN w:val="0"/>
              <w:adjustRightInd w:val="0"/>
              <w:spacing w:before="0" w:after="0"/>
              <w:ind w:left="284" w:hanging="284"/>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150-180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RÉPARTITION DE LA VALEUR EXPOSÉE AU RISQUE PLEIN</w:t>
            </w:r>
            <w:r>
              <w:rPr>
                <w:rFonts w:ascii="Times New Roman" w:hAnsi="Times New Roman"/>
                <w:b/>
                <w:sz w:val="24"/>
                <w:u w:val="single"/>
              </w:rPr>
              <w:t>E</w:t>
            </w:r>
            <w:r>
              <w:rPr>
                <w:rFonts w:ascii="Times New Roman" w:hAnsi="Times New Roman"/>
                <w:b/>
                <w:sz w:val="24"/>
                <w:u w:val="single"/>
              </w:rPr>
              <w:t>MENT AJUSTÉE (E*) DES ÉLÉMENTS DE HORS BILAN PAR FA</w:t>
            </w:r>
            <w:r>
              <w:rPr>
                <w:rFonts w:ascii="Times New Roman" w:hAnsi="Times New Roman"/>
                <w:b/>
                <w:sz w:val="24"/>
                <w:u w:val="single"/>
              </w:rPr>
              <w:t>C</w:t>
            </w:r>
            <w:r>
              <w:rPr>
                <w:rFonts w:ascii="Times New Roman" w:hAnsi="Times New Roman"/>
                <w:b/>
                <w:sz w:val="24"/>
                <w:u w:val="single"/>
              </w:rPr>
              <w:t>TEUR DE CONVERSION</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L’article 246, paragraphe 1, point c), du CRR dispose que la valeur exposée au risque d’une position de titrisation hors bilan sera sa valeur nominale mult</w:t>
            </w:r>
            <w:r>
              <w:rPr>
                <w:rFonts w:ascii="Times New Roman" w:hAnsi="Times New Roman"/>
                <w:sz w:val="24"/>
              </w:rPr>
              <w:t>i</w:t>
            </w:r>
            <w:r>
              <w:rPr>
                <w:rFonts w:ascii="Times New Roman" w:hAnsi="Times New Roman"/>
                <w:sz w:val="24"/>
              </w:rPr>
              <w:t>pliée par un facteur de conversion. Sauf mention contraire dans le CRR, ce fa</w:t>
            </w:r>
            <w:r>
              <w:rPr>
                <w:rFonts w:ascii="Times New Roman" w:hAnsi="Times New Roman"/>
                <w:sz w:val="24"/>
              </w:rPr>
              <w:t>c</w:t>
            </w:r>
            <w:r>
              <w:rPr>
                <w:rFonts w:ascii="Times New Roman" w:hAnsi="Times New Roman"/>
                <w:sz w:val="24"/>
              </w:rPr>
              <w:t>teur de conversion s’élèvera à 100 %.</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Voir les colonnes 160 à 190 du modèle CR SA Total.</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Aux fins de la déclaration, les valeurs exposées au risque pleinement ajustées (E*) seront déclarées selon les quatre intervalles de facteurs de conversion su</w:t>
            </w:r>
            <w:r>
              <w:rPr>
                <w:rFonts w:ascii="Times New Roman" w:hAnsi="Times New Roman"/>
                <w:sz w:val="24"/>
              </w:rPr>
              <w:t>i</w:t>
            </w:r>
            <w:r>
              <w:rPr>
                <w:rFonts w:ascii="Times New Roman" w:hAnsi="Times New Roman"/>
                <w:sz w:val="24"/>
              </w:rPr>
              <w:t>vants, lesquels s’excluent mutuellement: 0 %, ]0 %, 20 %], ]20 %, 50 %] et ]50 %, 100 %].</w:t>
            </w:r>
          </w:p>
          <w:p w:rsidR="00612780" w:rsidRPr="00392FFD" w:rsidRDefault="00612780" w:rsidP="00612780">
            <w:pPr>
              <w:autoSpaceDE w:val="0"/>
              <w:autoSpaceDN w:val="0"/>
              <w:adjustRightInd w:val="0"/>
              <w:spacing w:before="0" w:after="0"/>
              <w:ind w:left="284" w:hanging="284"/>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190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 xml:space="preserve">VALEUR EXPOSÉE AU RISQUE </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Positions de titrisation conformément à l’article 246 du CRR.</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Ces informations sont liées à la colonne 200 du modèle CR SA Total. </w:t>
            </w:r>
          </w:p>
          <w:p w:rsidR="00612780" w:rsidRPr="00392FFD" w:rsidRDefault="00612780" w:rsidP="00612780">
            <w:pPr>
              <w:autoSpaceDE w:val="0"/>
              <w:autoSpaceDN w:val="0"/>
              <w:adjustRightInd w:val="0"/>
              <w:spacing w:before="0" w:after="0"/>
              <w:ind w:left="284" w:hanging="284"/>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200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 VALEUR EXPOSÉE DÉDUITE DES FONDS PROPRES</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L’article 258 du CRR prévoit que, lorsqu’une position de titrisation appelle une pondération de risque de 1250 %, l’établissement peut, au lieu d’inclure cette position dans le calcul des montants d’exposition pondérés, déduire de ses fonds propres la valeur exposée au risque de cette position.</w:t>
            </w:r>
          </w:p>
          <w:p w:rsidR="00612780" w:rsidRPr="00392FFD" w:rsidRDefault="00612780" w:rsidP="00612780">
            <w:pPr>
              <w:autoSpaceDE w:val="0"/>
              <w:autoSpaceDN w:val="0"/>
              <w:adjustRightInd w:val="0"/>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210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VALEUR EXPOSÉE FAISANT L’OBJET DE PONDÉRATIONS</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Valeur exposée au risque moins la valeur exposée au risque déduite des fonds propres.</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220-320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RÉPARTITION SELON LES PONDÉRATIONS DE LA VALEUR E</w:t>
            </w:r>
            <w:r>
              <w:rPr>
                <w:rFonts w:ascii="Times New Roman" w:hAnsi="Times New Roman"/>
                <w:b/>
                <w:sz w:val="24"/>
                <w:u w:val="single"/>
              </w:rPr>
              <w:t>X</w:t>
            </w:r>
            <w:r>
              <w:rPr>
                <w:rFonts w:ascii="Times New Roman" w:hAnsi="Times New Roman"/>
                <w:b/>
                <w:sz w:val="24"/>
                <w:u w:val="single"/>
              </w:rPr>
              <w:t>POSÉE AU RISQUE FAISANT L’OBJET DE PONDÉRATIONS</w:t>
            </w: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220-260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POSITIONS NOTÉES</w:t>
            </w:r>
          </w:p>
          <w:p w:rsidR="00612780" w:rsidRPr="00392FFD" w:rsidRDefault="00612780" w:rsidP="00612780">
            <w:pPr>
              <w:spacing w:before="0" w:after="0"/>
              <w:jc w:val="left"/>
              <w:rPr>
                <w:rFonts w:ascii="Times New Roman" w:hAnsi="Times New Roman"/>
                <w:b/>
                <w:sz w:val="24"/>
                <w:u w:val="single"/>
              </w:rPr>
            </w:pPr>
          </w:p>
          <w:p w:rsidR="00612780" w:rsidRPr="00392FFD" w:rsidRDefault="00612780" w:rsidP="00612780">
            <w:pPr>
              <w:autoSpaceDE w:val="0"/>
              <w:autoSpaceDN w:val="0"/>
              <w:adjustRightInd w:val="0"/>
              <w:spacing w:before="0" w:after="0"/>
              <w:rPr>
                <w:rFonts w:ascii="Times New Roman" w:hAnsi="Times New Roman"/>
                <w:i/>
                <w:sz w:val="24"/>
              </w:rPr>
            </w:pPr>
            <w:r>
              <w:rPr>
                <w:rFonts w:ascii="Times New Roman" w:hAnsi="Times New Roman"/>
                <w:sz w:val="24"/>
              </w:rPr>
              <w:t>L’article 242, point 8, du CRR définit les positions notées.</w:t>
            </w:r>
          </w:p>
          <w:p w:rsidR="00612780" w:rsidRPr="00392FFD" w:rsidRDefault="00612780" w:rsidP="00612780">
            <w:pPr>
              <w:autoSpaceDE w:val="0"/>
              <w:autoSpaceDN w:val="0"/>
              <w:adjustRightInd w:val="0"/>
              <w:spacing w:before="0" w:after="0"/>
              <w:rPr>
                <w:rFonts w:ascii="Times New Roman" w:hAnsi="Times New Roman"/>
                <w:i/>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Les valeurs exposées au risque faisant l’objet d'une pondération de risque sont ventilées en fonction de leur échelon de qualité de crédit, comme prévu pour l’approche standard à l’article 251 (tableau 1) du CRR.</w:t>
            </w:r>
          </w:p>
          <w:p w:rsidR="00612780" w:rsidRPr="00392FFD" w:rsidRDefault="00612780" w:rsidP="00612780">
            <w:pPr>
              <w:spacing w:before="0" w:after="0"/>
              <w:jc w:val="left"/>
              <w:rPr>
                <w:rFonts w:ascii="Times New Roman" w:hAnsi="Times New Roman"/>
                <w:b/>
                <w:sz w:val="24"/>
                <w:u w:val="single"/>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lastRenderedPageBreak/>
              <w:t>270</w:t>
            </w:r>
          </w:p>
        </w:tc>
        <w:tc>
          <w:tcPr>
            <w:tcW w:w="7856" w:type="dxa"/>
          </w:tcPr>
          <w:p w:rsidR="00612780" w:rsidRPr="00392FFD" w:rsidRDefault="00612780" w:rsidP="00612780">
            <w:pPr>
              <w:spacing w:before="0" w:after="0"/>
              <w:jc w:val="left"/>
              <w:rPr>
                <w:rStyle w:val="InstructionsTabelleberschrift"/>
                <w:rFonts w:ascii="Times New Roman" w:hAnsi="Times New Roman"/>
                <w:sz w:val="24"/>
              </w:rPr>
            </w:pPr>
            <w:r>
              <w:rPr>
                <w:rStyle w:val="InstructionsTabelleberschrift"/>
                <w:rFonts w:ascii="Times New Roman" w:hAnsi="Times New Roman"/>
                <w:sz w:val="24"/>
              </w:rPr>
              <w:t>1250 % (POSITIONS NON NOTÉES)</w:t>
            </w:r>
          </w:p>
          <w:p w:rsidR="00612780" w:rsidRPr="00392FFD" w:rsidRDefault="00612780" w:rsidP="00612780">
            <w:pPr>
              <w:spacing w:before="0" w:after="0"/>
              <w:jc w:val="left"/>
              <w:rPr>
                <w:rFonts w:ascii="Times New Roman" w:hAnsi="Times New Roman"/>
                <w:b/>
                <w:sz w:val="24"/>
                <w:u w:val="single"/>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L’article 242, point 7, du CRR définit les positions non notées.</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b/>
                <w:sz w:val="24"/>
                <w:u w:val="single"/>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280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APPROCHE PAR TRANSPARENCE</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Articles 253 et 254 et article 256, paragraphe 5, du CRR </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Les colonnes consacrées à la méthode par transparence rassemblent tous les cas d’expositions non notées pour lesquelles la pondération de risque est obt</w:t>
            </w:r>
            <w:r>
              <w:rPr>
                <w:rFonts w:ascii="Times New Roman" w:hAnsi="Times New Roman"/>
                <w:sz w:val="24"/>
              </w:rPr>
              <w:t>e</w:t>
            </w:r>
            <w:r>
              <w:rPr>
                <w:rFonts w:ascii="Times New Roman" w:hAnsi="Times New Roman"/>
                <w:sz w:val="24"/>
              </w:rPr>
              <w:t>nue à partir du portefeuille d’expositions sous-jacent (pondération moyenne du panier, pondération maximale du panier, ou recours au ratio de concentration).</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290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APPROCHE PAR TRANSPARENCE - DONT: TRANCHE DE DE</w:t>
            </w:r>
            <w:r>
              <w:rPr>
                <w:rFonts w:ascii="Times New Roman" w:hAnsi="Times New Roman"/>
                <w:b/>
                <w:sz w:val="24"/>
                <w:u w:val="single"/>
              </w:rPr>
              <w:t>U</w:t>
            </w:r>
            <w:r>
              <w:rPr>
                <w:rFonts w:ascii="Times New Roman" w:hAnsi="Times New Roman"/>
                <w:b/>
                <w:sz w:val="24"/>
                <w:u w:val="single"/>
              </w:rPr>
              <w:t>XIÈME PERTE DU PROGRAMME ABCP</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La valeur exposée au risque sujette au traitement des positions de titrisation appartenant à une tranche de deuxième perte ou à une tranche plus favorable dans un programme ABCP, est définie à l’article 254 du CRR.</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L’article 242, point 9, du CRR définit le programme ABCP (programme de papier commercial adossé à des actifs). </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spacing w:before="0" w:after="0"/>
              <w:jc w:val="left"/>
              <w:rPr>
                <w:rFonts w:ascii="Times New Roman" w:hAnsi="Times New Roman"/>
                <w:sz w:val="24"/>
              </w:rPr>
            </w:pPr>
            <w:r>
              <w:rPr>
                <w:rFonts w:ascii="Times New Roman" w:hAnsi="Times New Roman"/>
                <w:sz w:val="24"/>
              </w:rPr>
              <w:t>300</w:t>
            </w:r>
          </w:p>
          <w:p w:rsidR="00612780" w:rsidRPr="00392FFD" w:rsidRDefault="00612780" w:rsidP="00612780">
            <w:pPr>
              <w:autoSpaceDE w:val="0"/>
              <w:autoSpaceDN w:val="0"/>
              <w:adjustRightInd w:val="0"/>
              <w:spacing w:before="0" w:after="0"/>
              <w:rPr>
                <w:rFonts w:ascii="Times New Roman" w:hAnsi="Times New Roman"/>
                <w:bCs/>
                <w:sz w:val="24"/>
              </w:rPr>
            </w:pP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APPROCHE PAR TRANSPARENCE DONT: PONDÉRATION MOYENNE (%)</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jc w:val="left"/>
              <w:rPr>
                <w:rFonts w:ascii="Times New Roman" w:hAnsi="Times New Roman"/>
                <w:sz w:val="24"/>
              </w:rPr>
            </w:pPr>
            <w:r>
              <w:rPr>
                <w:rFonts w:ascii="Times New Roman" w:hAnsi="Times New Roman"/>
                <w:sz w:val="24"/>
              </w:rPr>
              <w:t>La moyenne, pondérée en fonction de la valeur exposée au risque, des pondér</w:t>
            </w:r>
            <w:r>
              <w:rPr>
                <w:rFonts w:ascii="Times New Roman" w:hAnsi="Times New Roman"/>
                <w:sz w:val="24"/>
              </w:rPr>
              <w:t>a</w:t>
            </w:r>
            <w:r>
              <w:rPr>
                <w:rFonts w:ascii="Times New Roman" w:hAnsi="Times New Roman"/>
                <w:sz w:val="24"/>
              </w:rPr>
              <w:t>tions de risque sera déclarée.</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310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APPROCHE PAR ÉVALUATION INTERNE</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jc w:val="left"/>
              <w:rPr>
                <w:rFonts w:ascii="Times New Roman" w:hAnsi="Times New Roman"/>
                <w:sz w:val="24"/>
              </w:rPr>
            </w:pPr>
            <w:r>
              <w:rPr>
                <w:rFonts w:ascii="Times New Roman" w:hAnsi="Times New Roman"/>
                <w:sz w:val="24"/>
              </w:rPr>
              <w:t xml:space="preserve">Article 109, paragraphe 1, et article 259, paragraphe 3, du CRR. </w:t>
            </w:r>
            <w:r>
              <w:rPr>
                <w:rFonts w:ascii="Times New Roman" w:hAnsi="Times New Roman"/>
                <w:sz w:val="24"/>
                <w:u w:val="single"/>
              </w:rPr>
              <w:t>Valeur exp</w:t>
            </w:r>
            <w:r>
              <w:rPr>
                <w:rFonts w:ascii="Times New Roman" w:hAnsi="Times New Roman"/>
                <w:sz w:val="24"/>
                <w:u w:val="single"/>
              </w:rPr>
              <w:t>o</w:t>
            </w:r>
            <w:r>
              <w:rPr>
                <w:rFonts w:ascii="Times New Roman" w:hAnsi="Times New Roman"/>
                <w:sz w:val="24"/>
                <w:u w:val="single"/>
              </w:rPr>
              <w:t xml:space="preserve">sée au risque des positions de </w:t>
            </w:r>
            <w:r>
              <w:rPr>
                <w:rFonts w:ascii="Times New Roman" w:hAnsi="Times New Roman"/>
                <w:sz w:val="24"/>
              </w:rPr>
              <w:t>titrisation</w:t>
            </w:r>
            <w:r>
              <w:rPr>
                <w:rFonts w:ascii="Times New Roman" w:hAnsi="Times New Roman"/>
                <w:sz w:val="24"/>
                <w:u w:val="single"/>
              </w:rPr>
              <w:t xml:space="preserve"> selon l'approche par évaluation i</w:t>
            </w:r>
            <w:r>
              <w:rPr>
                <w:rFonts w:ascii="Times New Roman" w:hAnsi="Times New Roman"/>
                <w:sz w:val="24"/>
                <w:u w:val="single"/>
              </w:rPr>
              <w:t>n</w:t>
            </w:r>
            <w:r>
              <w:rPr>
                <w:rFonts w:ascii="Times New Roman" w:hAnsi="Times New Roman"/>
                <w:sz w:val="24"/>
                <w:u w:val="single"/>
              </w:rPr>
              <w:t>terne.</w:t>
            </w:r>
          </w:p>
          <w:p w:rsidR="00612780" w:rsidRPr="00392FFD" w:rsidRDefault="00612780" w:rsidP="00612780">
            <w:pPr>
              <w:spacing w:before="0" w:after="0"/>
              <w:jc w:val="left"/>
              <w:rPr>
                <w:rFonts w:ascii="Times New Roman" w:hAnsi="Times New Roman"/>
                <w:b/>
                <w:sz w:val="24"/>
                <w:u w:val="single"/>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320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APPROCHE PAR ÉVALUATION INTERNE: PONDÉRATION MOYENNE (%)</w:t>
            </w:r>
          </w:p>
          <w:p w:rsidR="00612780" w:rsidRPr="00392FFD" w:rsidRDefault="00612780" w:rsidP="00612780">
            <w:pPr>
              <w:spacing w:before="0" w:after="0"/>
              <w:jc w:val="left"/>
              <w:rPr>
                <w:rFonts w:ascii="Times New Roman" w:hAnsi="Times New Roman"/>
                <w:b/>
                <w:sz w:val="24"/>
                <w:u w:val="single"/>
              </w:rPr>
            </w:pPr>
          </w:p>
          <w:p w:rsidR="00612780" w:rsidRPr="00392FFD" w:rsidRDefault="00612780" w:rsidP="00612780">
            <w:pPr>
              <w:spacing w:before="0" w:after="0"/>
              <w:jc w:val="left"/>
              <w:rPr>
                <w:rFonts w:ascii="Times New Roman" w:hAnsi="Times New Roman"/>
                <w:sz w:val="24"/>
              </w:rPr>
            </w:pPr>
            <w:r>
              <w:rPr>
                <w:rFonts w:ascii="Times New Roman" w:hAnsi="Times New Roman"/>
                <w:sz w:val="24"/>
              </w:rPr>
              <w:t>La moyenne, pondérée en fonction de la valeur exposée au risque, des pondér</w:t>
            </w:r>
            <w:r>
              <w:rPr>
                <w:rFonts w:ascii="Times New Roman" w:hAnsi="Times New Roman"/>
                <w:sz w:val="24"/>
              </w:rPr>
              <w:t>a</w:t>
            </w:r>
            <w:r>
              <w:rPr>
                <w:rFonts w:ascii="Times New Roman" w:hAnsi="Times New Roman"/>
                <w:sz w:val="24"/>
              </w:rPr>
              <w:t>tions de risque sera déclarée.</w:t>
            </w:r>
          </w:p>
          <w:p w:rsidR="00612780" w:rsidRPr="00392FFD" w:rsidRDefault="00612780" w:rsidP="00612780">
            <w:pPr>
              <w:spacing w:before="0" w:after="0"/>
              <w:jc w:val="left"/>
              <w:rPr>
                <w:rFonts w:ascii="Times New Roman" w:hAnsi="Times New Roman"/>
                <w:b/>
                <w:sz w:val="24"/>
                <w:u w:val="single"/>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330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MONTANT D’EXPOSITION PONDÉRÉ</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Montant total d’exposition pondéré, calculé selon les dispositions de la tro</w:t>
            </w:r>
            <w:r>
              <w:rPr>
                <w:rFonts w:ascii="Times New Roman" w:hAnsi="Times New Roman"/>
                <w:sz w:val="24"/>
              </w:rPr>
              <w:t>i</w:t>
            </w:r>
            <w:r>
              <w:rPr>
                <w:rFonts w:ascii="Times New Roman" w:hAnsi="Times New Roman"/>
                <w:sz w:val="24"/>
              </w:rPr>
              <w:t>sième partie, titre II, chapitre 5, section 3 du CRR, avant ajustements en raison d’asymétries d’échéances ou de non-respect des mesures de diligence appr</w:t>
            </w:r>
            <w:r>
              <w:rPr>
                <w:rFonts w:ascii="Times New Roman" w:hAnsi="Times New Roman"/>
                <w:sz w:val="24"/>
              </w:rPr>
              <w:t>o</w:t>
            </w:r>
            <w:r>
              <w:rPr>
                <w:rFonts w:ascii="Times New Roman" w:hAnsi="Times New Roman"/>
                <w:sz w:val="24"/>
              </w:rPr>
              <w:t xml:space="preserve">priée, et à l’exception de tout montant d’exposition pondéré correspondant aux expositions redistribuées dans un autre modèle au moyen des sorties. </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lastRenderedPageBreak/>
              <w:t>340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DONT: TITRISATIONS SYNTHÉTIQUES</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Pour les titrisations synthétiques, le montant à déclarer dans cette colonne ne tiendra pas compte d’une quelconque asymétrie d’échéances.</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350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EFFET GLOBAL (AJUSTEMENT) LIÉ AU MANQUEMENT AUX DISPOSITIONS EN MATIÈRE DE DILIGENCE APPROPRIÉE</w:t>
            </w:r>
          </w:p>
          <w:p w:rsidR="00612780" w:rsidRPr="00392FFD" w:rsidRDefault="00612780" w:rsidP="00612780">
            <w:pPr>
              <w:spacing w:before="0" w:after="0"/>
              <w:jc w:val="left"/>
              <w:rPr>
                <w:rFonts w:ascii="Times New Roman" w:hAnsi="Times New Roman"/>
                <w:sz w:val="24"/>
              </w:rPr>
            </w:pPr>
          </w:p>
          <w:p w:rsidR="00612780" w:rsidRPr="00392FFD" w:rsidRDefault="00612780" w:rsidP="00551271">
            <w:pPr>
              <w:spacing w:before="0" w:after="0"/>
              <w:rPr>
                <w:rStyle w:val="InstructionsTabelleText"/>
                <w:rFonts w:ascii="Times New Roman" w:hAnsi="Times New Roman"/>
                <w:sz w:val="24"/>
              </w:rPr>
            </w:pPr>
            <w:r>
              <w:rPr>
                <w:rStyle w:val="InstructionsTabelleText"/>
                <w:rFonts w:ascii="Times New Roman" w:hAnsi="Times New Roman"/>
                <w:sz w:val="24"/>
              </w:rPr>
              <w:t>L’article 14, paragraphe 2, l’article 406, paragraphe 2, et l’article 407 du CRR disposent que lorsqu’un établissement manque à certaines des exigences des articles 405, 406 ou 409 du CRR, l’État membre veille à ce que les autorités compétentes imposent une pondération de risque supplémentaire proportio</w:t>
            </w:r>
            <w:r>
              <w:rPr>
                <w:rStyle w:val="InstructionsTabelleText"/>
                <w:rFonts w:ascii="Times New Roman" w:hAnsi="Times New Roman"/>
                <w:sz w:val="24"/>
              </w:rPr>
              <w:t>n</w:t>
            </w:r>
            <w:r>
              <w:rPr>
                <w:rStyle w:val="InstructionsTabelleText"/>
                <w:rFonts w:ascii="Times New Roman" w:hAnsi="Times New Roman"/>
                <w:sz w:val="24"/>
              </w:rPr>
              <w:t>née, qui ne peut être inférieure à 250 % de la pondération de risque (plafonnée à 1250 %) qui s’appliquerait aux positions de titrisation concernées en vertu de la troisième partie, titre II, chapitre 5, section 3 du CRR. Une telle pondération de risque supplémentaire peut être imposée non seulement aux établissements investisseurs, mais également aux initiateurs, aux sponsors et aux prêteurs in</w:t>
            </w:r>
            <w:r>
              <w:rPr>
                <w:rStyle w:val="InstructionsTabelleText"/>
                <w:rFonts w:ascii="Times New Roman" w:hAnsi="Times New Roman"/>
                <w:sz w:val="24"/>
              </w:rPr>
              <w:t>i</w:t>
            </w:r>
            <w:r>
              <w:rPr>
                <w:rStyle w:val="InstructionsTabelleText"/>
                <w:rFonts w:ascii="Times New Roman" w:hAnsi="Times New Roman"/>
                <w:sz w:val="24"/>
              </w:rPr>
              <w:t>tiaux.</w:t>
            </w:r>
          </w:p>
          <w:p w:rsidR="00551271" w:rsidRPr="00392FFD" w:rsidRDefault="00551271" w:rsidP="00551271">
            <w:pPr>
              <w:spacing w:before="0" w:after="0"/>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360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AJUSTEMENT DU MONTANT D’EXPOSITION PONDÉRÉ DU FAIT D’UNE ASYMÉTRIE D’ÉCHÉANCES</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Style w:val="InstructionsTabelleText"/>
                <w:rFonts w:ascii="Times New Roman" w:hAnsi="Times New Roman"/>
                <w:sz w:val="24"/>
              </w:rPr>
            </w:pPr>
            <w:r>
              <w:rPr>
                <w:rStyle w:val="InstructionsTabelleText"/>
                <w:rFonts w:ascii="Times New Roman" w:hAnsi="Times New Roman"/>
                <w:sz w:val="24"/>
              </w:rPr>
              <w:t>Pour les asymétries d’échéances dans les titrisations synthétiques, RW*-RW(SP), tel que défini à l’article 250 du CRR, sera inclus, sauf dans le cas de tranches soumises à une pondération de risque de 1250 %, pour lesquelles le montant à déclarer sera de 0. Attention: RW(SP) inclut non seulement les mo</w:t>
            </w:r>
            <w:r>
              <w:rPr>
                <w:rStyle w:val="InstructionsTabelleText"/>
                <w:rFonts w:ascii="Times New Roman" w:hAnsi="Times New Roman"/>
                <w:sz w:val="24"/>
              </w:rPr>
              <w:t>n</w:t>
            </w:r>
            <w:r>
              <w:rPr>
                <w:rStyle w:val="InstructionsTabelleText"/>
                <w:rFonts w:ascii="Times New Roman" w:hAnsi="Times New Roman"/>
                <w:sz w:val="24"/>
              </w:rPr>
              <w:t>tants d’exposition pondérés déclarés à la colonne 330, mais également les mo</w:t>
            </w:r>
            <w:r>
              <w:rPr>
                <w:rStyle w:val="InstructionsTabelleText"/>
                <w:rFonts w:ascii="Times New Roman" w:hAnsi="Times New Roman"/>
                <w:sz w:val="24"/>
              </w:rPr>
              <w:t>n</w:t>
            </w:r>
            <w:r>
              <w:rPr>
                <w:rStyle w:val="InstructionsTabelleText"/>
                <w:rFonts w:ascii="Times New Roman" w:hAnsi="Times New Roman"/>
                <w:sz w:val="24"/>
              </w:rPr>
              <w:t>tants d’exposition pondérés correspondant aux expositions redistribuées dans d’autres modèles au moyen des sorties.</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Del="00F5392E"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370-380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MONTANT TOTAL D’EXPOSITION PONDÉRÉ: AVANT APPLIC</w:t>
            </w:r>
            <w:r>
              <w:rPr>
                <w:rFonts w:ascii="Times New Roman" w:hAnsi="Times New Roman"/>
                <w:b/>
                <w:sz w:val="24"/>
                <w:u w:val="single"/>
              </w:rPr>
              <w:t>A</w:t>
            </w:r>
            <w:r>
              <w:rPr>
                <w:rFonts w:ascii="Times New Roman" w:hAnsi="Times New Roman"/>
                <w:b/>
                <w:sz w:val="24"/>
                <w:u w:val="single"/>
              </w:rPr>
              <w:t>TION DU PLAFOND/APRÈS APPLICATION DU PLAFOND</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jc w:val="left"/>
              <w:rPr>
                <w:rFonts w:ascii="Times New Roman" w:hAnsi="Times New Roman"/>
                <w:sz w:val="24"/>
              </w:rPr>
            </w:pPr>
            <w:r>
              <w:rPr>
                <w:rFonts w:ascii="Times New Roman" w:hAnsi="Times New Roman"/>
                <w:sz w:val="24"/>
              </w:rPr>
              <w:t>Montant total d'exposition pondéré calculé conformément à la troisième partie, titre II, chapitre 5, section 3 du CRR, avant (colonne 370)/après (colonne 380) application des limites fixées à l'article 252 (Titrisation des éléments en défaut à ce moment-là ou qui sont considérés comme présentant un risque particuli</w:t>
            </w:r>
            <w:r>
              <w:rPr>
                <w:rFonts w:ascii="Times New Roman" w:hAnsi="Times New Roman"/>
                <w:sz w:val="24"/>
              </w:rPr>
              <w:t>è</w:t>
            </w:r>
            <w:r>
              <w:rPr>
                <w:rFonts w:ascii="Times New Roman" w:hAnsi="Times New Roman"/>
                <w:sz w:val="24"/>
              </w:rPr>
              <w:t>rement élevé) ou à l'article 256, paragraphe 4 (Exigences supplémentaires de fonds propres pour les titrisations d'expositions renouvelables comportant une clause de remboursement anticipé) du CRR.</w:t>
            </w:r>
          </w:p>
          <w:p w:rsidR="00612780" w:rsidRPr="00392FFD" w:rsidRDefault="00612780" w:rsidP="00612780">
            <w:pPr>
              <w:spacing w:before="0" w:after="0"/>
              <w:jc w:val="left"/>
              <w:rPr>
                <w:rFonts w:ascii="Times New Roman" w:hAnsi="Times New Roman"/>
                <w:b/>
                <w:sz w:val="24"/>
                <w:u w:val="single"/>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390</w:t>
            </w:r>
          </w:p>
        </w:tc>
        <w:tc>
          <w:tcPr>
            <w:tcW w:w="7856"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POUR MÉMOIRE: MONTANT D’EXPOSITION PONDÉRÉ CORRE</w:t>
            </w:r>
            <w:r>
              <w:rPr>
                <w:rFonts w:ascii="Times New Roman" w:hAnsi="Times New Roman"/>
                <w:b/>
                <w:sz w:val="24"/>
                <w:u w:val="single"/>
              </w:rPr>
              <w:t>S</w:t>
            </w:r>
            <w:r>
              <w:rPr>
                <w:rFonts w:ascii="Times New Roman" w:hAnsi="Times New Roman"/>
                <w:b/>
                <w:sz w:val="24"/>
                <w:u w:val="single"/>
              </w:rPr>
              <w:t xml:space="preserve">PONDANT AUX SORTIES DE LA TITRISATION SA VERS </w:t>
            </w:r>
            <w:r>
              <w:rPr>
                <w:rFonts w:ascii="Times New Roman" w:hAnsi="Times New Roman"/>
                <w:b/>
                <w:sz w:val="24"/>
                <w:u w:val="single"/>
              </w:rPr>
              <w:lastRenderedPageBreak/>
              <w:t>D’AUTRES CATÉGORIES D’EXPOSITION</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Montant d’exposition pondéré découlant d’expositions redistribuées vers le fournisseur de la mesure d’atténuation du risque, figurant dès lors dans le m</w:t>
            </w:r>
            <w:r>
              <w:rPr>
                <w:rFonts w:ascii="Times New Roman" w:hAnsi="Times New Roman"/>
                <w:sz w:val="24"/>
              </w:rPr>
              <w:t>o</w:t>
            </w:r>
            <w:r>
              <w:rPr>
                <w:rFonts w:ascii="Times New Roman" w:hAnsi="Times New Roman"/>
                <w:sz w:val="24"/>
              </w:rPr>
              <w:t>dèle correspondant, et qui sont prises en compte dans le calcul du plafonn</w:t>
            </w:r>
            <w:r>
              <w:rPr>
                <w:rFonts w:ascii="Times New Roman" w:hAnsi="Times New Roman"/>
                <w:sz w:val="24"/>
              </w:rPr>
              <w:t>e</w:t>
            </w:r>
            <w:r>
              <w:rPr>
                <w:rFonts w:ascii="Times New Roman" w:hAnsi="Times New Roman"/>
                <w:sz w:val="24"/>
              </w:rPr>
              <w:t>ment des positions de titrisation.</w:t>
            </w:r>
          </w:p>
          <w:p w:rsidR="00612780" w:rsidRPr="00392FFD" w:rsidRDefault="00612780" w:rsidP="00612780">
            <w:pPr>
              <w:spacing w:before="0" w:after="0"/>
              <w:jc w:val="left"/>
              <w:rPr>
                <w:rFonts w:ascii="Times New Roman" w:hAnsi="Times New Roman"/>
                <w:sz w:val="24"/>
              </w:rPr>
            </w:pPr>
          </w:p>
        </w:tc>
      </w:tr>
    </w:tbl>
    <w:p w:rsidR="00612780" w:rsidRPr="00392FFD" w:rsidRDefault="00612780" w:rsidP="00612780">
      <w:pPr>
        <w:spacing w:before="0" w:after="0"/>
        <w:jc w:val="left"/>
        <w:rPr>
          <w:rFonts w:ascii="Times New Roman" w:hAnsi="Times New Roman"/>
          <w:sz w:val="24"/>
        </w:rPr>
      </w:pPr>
    </w:p>
    <w:p w:rsidR="00612780" w:rsidRPr="00392FFD" w:rsidRDefault="00125707" w:rsidP="0023700C">
      <w:pPr>
        <w:pStyle w:val="InstructionsText2"/>
        <w:numPr>
          <w:ilvl w:val="0"/>
          <w:numId w:val="0"/>
        </w:numPr>
        <w:ind w:left="1353" w:hanging="360"/>
      </w:pPr>
      <w:r>
        <w:t>102.</w:t>
      </w:r>
      <w:r>
        <w:tab/>
        <w:t>Le modèle CR SEC SA se compose de trois grands blocs de lignes, qui ra</w:t>
      </w:r>
      <w:r>
        <w:t>s</w:t>
      </w:r>
      <w:r>
        <w:t xml:space="preserve">semblent des données sur les expositions initiées / sponsorisées / conservées ou acquises par les initiateurs, investisseurs et sponsors. Pour chacun, les données sont ventilées entre éléments au bilan, éléments hors bilan, dérivés, titrisations et retitrisations. </w:t>
      </w:r>
    </w:p>
    <w:p w:rsidR="00612780" w:rsidRPr="00392FFD" w:rsidRDefault="00125707" w:rsidP="0023700C">
      <w:pPr>
        <w:pStyle w:val="InstructionsText2"/>
        <w:numPr>
          <w:ilvl w:val="0"/>
          <w:numId w:val="0"/>
        </w:numPr>
        <w:ind w:left="1353" w:hanging="360"/>
      </w:pPr>
      <w:r>
        <w:t>103.</w:t>
      </w:r>
      <w:r>
        <w:tab/>
        <w:t>Les positions traitées selon la méthode fondée sur les notations et les positions non notées (expositions à la date de déclaration) sont également ventilées en fonction des échelons de qualité de crédit appliqués à la date d’initiation (de</w:t>
      </w:r>
      <w:r>
        <w:t>r</w:t>
      </w:r>
      <w:r>
        <w:t>nier bloc de lignes). Les initiateurs, les sponsors et les investisseurs doivent d</w:t>
      </w:r>
      <w:r>
        <w:t>é</w:t>
      </w:r>
      <w:r>
        <w:t>clarer ces données.</w:t>
      </w: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1"/>
        <w:gridCol w:w="7903"/>
      </w:tblGrid>
      <w:tr w:rsidR="00612780" w:rsidRPr="00392FFD" w:rsidTr="00612780">
        <w:tc>
          <w:tcPr>
            <w:tcW w:w="9004" w:type="dxa"/>
            <w:gridSpan w:val="2"/>
            <w:shd w:val="clear" w:color="auto" w:fill="CCCCCC"/>
          </w:tcPr>
          <w:p w:rsidR="00612780" w:rsidRPr="00392FFD" w:rsidRDefault="00612780" w:rsidP="00F71DF2">
            <w:pPr>
              <w:autoSpaceDE w:val="0"/>
              <w:autoSpaceDN w:val="0"/>
              <w:adjustRightInd w:val="0"/>
              <w:spacing w:before="0" w:after="0"/>
              <w:jc w:val="left"/>
              <w:rPr>
                <w:rFonts w:ascii="Times New Roman" w:hAnsi="Times New Roman"/>
                <w:bCs/>
                <w:sz w:val="24"/>
              </w:rPr>
            </w:pPr>
            <w:r>
              <w:rPr>
                <w:rFonts w:ascii="Times New Roman" w:hAnsi="Times New Roman"/>
                <w:b/>
                <w:sz w:val="24"/>
              </w:rPr>
              <w:t>Lignes</w:t>
            </w: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010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 xml:space="preserve">TOTAL DES EXPOSITIONS </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 montant total des expositions correspond au montant total de l’encours des titrisations. Cette ligne résume toutes les données déclarées par les initiateurs, les sponsors et les investisseurs dans les lignes suivantes.</w:t>
            </w:r>
          </w:p>
          <w:p w:rsidR="00612780" w:rsidRPr="00392FFD" w:rsidRDefault="00612780" w:rsidP="00612780">
            <w:pPr>
              <w:autoSpaceDE w:val="0"/>
              <w:autoSpaceDN w:val="0"/>
              <w:adjustRightInd w:val="0"/>
              <w:spacing w:before="0" w:after="0"/>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020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DONT: RETITRISATIONS</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Montant total de l’encours des retitrisations, conformément aux définitions de l’article 4, paragraphe 1, points 63 et 64, du CRR.</w:t>
            </w:r>
          </w:p>
          <w:p w:rsidR="00612780" w:rsidRPr="00392FFD" w:rsidRDefault="00612780" w:rsidP="00612780">
            <w:pPr>
              <w:autoSpaceDE w:val="0"/>
              <w:autoSpaceDN w:val="0"/>
              <w:adjustRightInd w:val="0"/>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030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 xml:space="preserve">INITIATEUR: TOTAL DES EXPOSITIONS </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Cette ligne synthétise les données sur les éléments au bilan et les éléments hors bilan et les dérivés et le remboursement anticipé des positions de titrisation pour lesquelles l’établissement joue le rôle d’initiateur, tel que défini à l’article 4, paragraphe 1, point 13, du CRR.</w:t>
            </w:r>
          </w:p>
          <w:p w:rsidR="00612780" w:rsidRPr="00392FFD" w:rsidRDefault="00612780" w:rsidP="00612780">
            <w:pPr>
              <w:autoSpaceDE w:val="0"/>
              <w:autoSpaceDN w:val="0"/>
              <w:adjustRightInd w:val="0"/>
              <w:spacing w:before="0" w:after="0"/>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040-060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 xml:space="preserve">ÉLÉMENTS DE BILAN </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L’article 246, paragraphe 1, point a), du CRR dispose que lorsqu’un établiss</w:t>
            </w:r>
            <w:r>
              <w:rPr>
                <w:rFonts w:ascii="Times New Roman" w:hAnsi="Times New Roman"/>
                <w:sz w:val="24"/>
              </w:rPr>
              <w:t>e</w:t>
            </w:r>
            <w:r>
              <w:rPr>
                <w:rFonts w:ascii="Times New Roman" w:hAnsi="Times New Roman"/>
                <w:sz w:val="24"/>
              </w:rPr>
              <w:t>ment calcule des montants d’exposition pondérés selon l’approche standard, la valeur exposée au risque d’une position de titrisation inscrite au bilan est égale à sa valeur comptable après application des ajustements pour risque de crédit spécifique.</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Les éléments au bilan sont répartis entre titrisations (ligne 050) et retitrisations (ligne 060).</w:t>
            </w:r>
          </w:p>
          <w:p w:rsidR="00612780" w:rsidRPr="00392FFD" w:rsidRDefault="00612780" w:rsidP="00612780">
            <w:pPr>
              <w:autoSpaceDE w:val="0"/>
              <w:autoSpaceDN w:val="0"/>
              <w:adjustRightInd w:val="0"/>
              <w:spacing w:before="0" w:after="0"/>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lastRenderedPageBreak/>
              <w:t>070-090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ÉLÉMENTS DE HORS BILAN ET DÉRIVÉS</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i/>
                <w:sz w:val="24"/>
              </w:rPr>
            </w:pPr>
            <w:r>
              <w:rPr>
                <w:rFonts w:ascii="Times New Roman" w:hAnsi="Times New Roman"/>
                <w:sz w:val="24"/>
              </w:rPr>
              <w:t>Ces lignes rassemblent des informations sur les éléments de hors bilan et les positions de titrisation de dérivés soumises à un facteur de conversion dans le cadre de la titrisation. La valeur exposée au risque d’une position de titrisation hors bilan sera sa valeur nominale, amputée de tout ajustement pour risque de crédit spécifique de cette position de titrisation, multipliée par un facteur de conversion de 100 %, sauf mention contraire.</w:t>
            </w:r>
          </w:p>
          <w:p w:rsidR="00612780" w:rsidRPr="00392FFD" w:rsidRDefault="00612780" w:rsidP="00612780">
            <w:pPr>
              <w:autoSpaceDE w:val="0"/>
              <w:autoSpaceDN w:val="0"/>
              <w:adjustRightInd w:val="0"/>
              <w:spacing w:before="0" w:after="0"/>
              <w:rPr>
                <w:rFonts w:ascii="Times New Roman" w:hAnsi="Times New Roman"/>
                <w:i/>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La valeur exposée au risque pour risque de contrepartie d’un instrument dérivé repris à l’annexe II du CRR sera déterminée conformément à la troisième pa</w:t>
            </w:r>
            <w:r>
              <w:rPr>
                <w:rFonts w:ascii="Times New Roman" w:hAnsi="Times New Roman"/>
                <w:sz w:val="24"/>
              </w:rPr>
              <w:t>r</w:t>
            </w:r>
            <w:r>
              <w:rPr>
                <w:rFonts w:ascii="Times New Roman" w:hAnsi="Times New Roman"/>
                <w:sz w:val="24"/>
              </w:rPr>
              <w:t xml:space="preserve">tie, titre II, chapitre 6 du CRR. </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Pour les facilités de trésorerie, les facilités de crédit et les avances de trésorerie des organes de gestion, les établissements déclarent le montant non tiré. </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Pour les contrats d’échange de taux d’intérêt et de devises, ils déclarent la v</w:t>
            </w:r>
            <w:r>
              <w:rPr>
                <w:rFonts w:ascii="Times New Roman" w:hAnsi="Times New Roman"/>
                <w:sz w:val="24"/>
              </w:rPr>
              <w:t>a</w:t>
            </w:r>
            <w:r>
              <w:rPr>
                <w:rFonts w:ascii="Times New Roman" w:hAnsi="Times New Roman"/>
                <w:sz w:val="24"/>
              </w:rPr>
              <w:t>leur exposée au risque (conformément à l’article 246, paragraphe 1, du CRR), telle qu’indiquée dans le modèle CR SA Total.</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Les éléments hors bilan et les dérivés sont répartis entre titrisations (ligne 080) et retitrisations (ligne 090), comme le veut l’article 251, tableau 1, du CRR.</w:t>
            </w:r>
          </w:p>
          <w:p w:rsidR="00612780" w:rsidRPr="00392FFD" w:rsidRDefault="00612780" w:rsidP="00612780">
            <w:pPr>
              <w:autoSpaceDE w:val="0"/>
              <w:autoSpaceDN w:val="0"/>
              <w:adjustRightInd w:val="0"/>
              <w:spacing w:before="0" w:after="0"/>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100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REMBOURSEMENT ANTICIPÉ</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Cette ligne ne s’applique que pour les initiateurs de titrisations renouvelables comportant une clause de remboursement anticipé, au sens de l’article 242, points 13 et 14, du CRR.</w:t>
            </w:r>
          </w:p>
          <w:p w:rsidR="00612780" w:rsidRPr="00392FFD" w:rsidRDefault="00612780" w:rsidP="00612780">
            <w:pPr>
              <w:pStyle w:val="Heading1"/>
              <w:rPr>
                <w:rFonts w:ascii="Times New Roman" w:eastAsia="Times New Roman" w:hAnsi="Times New Roman"/>
                <w:sz w:val="24"/>
                <w:szCs w:val="24"/>
              </w:rPr>
            </w:pPr>
          </w:p>
        </w:tc>
      </w:tr>
      <w:tr w:rsidR="00612780" w:rsidRPr="00392FFD" w:rsidTr="00612780">
        <w:tc>
          <w:tcPr>
            <w:tcW w:w="1101" w:type="dxa"/>
            <w:tcBorders>
              <w:bottom w:val="single" w:sz="4" w:space="0" w:color="auto"/>
            </w:tcBorders>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110</w:t>
            </w:r>
          </w:p>
        </w:tc>
        <w:tc>
          <w:tcPr>
            <w:tcW w:w="7903" w:type="dxa"/>
            <w:tcBorders>
              <w:bottom w:val="single" w:sz="4" w:space="0" w:color="auto"/>
            </w:tcBorders>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 xml:space="preserve">INVESTISSEUR: TOTAL DES EXPOSITIONS </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Cette ligne synthétise les données sur les éléments au bilan, les éléments hors bilan et les dérivés de positions de titrisation pour lesquelles l’établissement joue le rôle d’investisseur. </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 CRR ne fournit pas de définition explicite d’un investisseur. Dès lors, par «investisseur», on entendra un établissement qui détient une position de titris</w:t>
            </w:r>
            <w:r>
              <w:rPr>
                <w:rFonts w:ascii="Times New Roman" w:hAnsi="Times New Roman"/>
                <w:sz w:val="24"/>
              </w:rPr>
              <w:t>a</w:t>
            </w:r>
            <w:r>
              <w:rPr>
                <w:rFonts w:ascii="Times New Roman" w:hAnsi="Times New Roman"/>
                <w:sz w:val="24"/>
              </w:rPr>
              <w:t>tion dans le cadre d’une opération de titrisation dans laquelle il n’est ni l’initiateur ni le sponsor.</w:t>
            </w:r>
          </w:p>
          <w:p w:rsidR="00612780" w:rsidRPr="00392FFD" w:rsidRDefault="00612780" w:rsidP="00612780">
            <w:pPr>
              <w:pStyle w:val="Heading1"/>
              <w:rPr>
                <w:rFonts w:ascii="Times New Roman" w:eastAsia="Times New Roman" w:hAnsi="Times New Roman"/>
                <w:sz w:val="24"/>
                <w:szCs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120-140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ÉLÉMENTS DE BILAN</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On appliquera ici les mêmes critères de classement entre titrisations et retitris</w:t>
            </w:r>
            <w:r>
              <w:rPr>
                <w:rFonts w:ascii="Times New Roman" w:hAnsi="Times New Roman"/>
                <w:sz w:val="24"/>
              </w:rPr>
              <w:t>a</w:t>
            </w:r>
            <w:r>
              <w:rPr>
                <w:rFonts w:ascii="Times New Roman" w:hAnsi="Times New Roman"/>
                <w:sz w:val="24"/>
              </w:rPr>
              <w:t>tions que ceux utilisés pour les éléments au bilan pour les initiateurs.</w:t>
            </w:r>
          </w:p>
          <w:p w:rsidR="00612780" w:rsidRPr="00392FFD" w:rsidRDefault="00612780" w:rsidP="00612780">
            <w:pPr>
              <w:autoSpaceDE w:val="0"/>
              <w:autoSpaceDN w:val="0"/>
              <w:adjustRightInd w:val="0"/>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150-170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ÉLÉMENTS DE HORS BILAN ET DÉRIVÉS</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On appliquera ici les mêmes critères de classement entre titrisations et retitris</w:t>
            </w:r>
            <w:r>
              <w:rPr>
                <w:rFonts w:ascii="Times New Roman" w:hAnsi="Times New Roman"/>
                <w:sz w:val="24"/>
              </w:rPr>
              <w:t>a</w:t>
            </w:r>
            <w:r>
              <w:rPr>
                <w:rFonts w:ascii="Times New Roman" w:hAnsi="Times New Roman"/>
                <w:sz w:val="24"/>
              </w:rPr>
              <w:t>tions que ceux utilisés pour les éléments hors bilan et les dérivés pour les initi</w:t>
            </w:r>
            <w:r>
              <w:rPr>
                <w:rFonts w:ascii="Times New Roman" w:hAnsi="Times New Roman"/>
                <w:sz w:val="24"/>
              </w:rPr>
              <w:t>a</w:t>
            </w:r>
            <w:r>
              <w:rPr>
                <w:rFonts w:ascii="Times New Roman" w:hAnsi="Times New Roman"/>
                <w:sz w:val="24"/>
              </w:rPr>
              <w:t>teurs.</w:t>
            </w:r>
          </w:p>
          <w:p w:rsidR="00612780" w:rsidRPr="00392FFD" w:rsidRDefault="00612780" w:rsidP="00612780">
            <w:pPr>
              <w:autoSpaceDE w:val="0"/>
              <w:autoSpaceDN w:val="0"/>
              <w:adjustRightInd w:val="0"/>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highlight w:val="yellow"/>
              </w:rPr>
            </w:pPr>
            <w:r>
              <w:rPr>
                <w:rFonts w:ascii="Times New Roman" w:hAnsi="Times New Roman"/>
                <w:sz w:val="24"/>
              </w:rPr>
              <w:lastRenderedPageBreak/>
              <w:t>180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 xml:space="preserve">SPONSOR: TOTAL DES EXPOSITIONS </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pacing w:val="-6"/>
                <w:sz w:val="24"/>
              </w:rPr>
            </w:pPr>
            <w:r>
              <w:rPr>
                <w:rFonts w:ascii="Times New Roman" w:hAnsi="Times New Roman"/>
                <w:sz w:val="24"/>
              </w:rPr>
              <w:t>Cette ligne synthétise les données sur les éléments au bilan, les éléments hors bilan et les dérivés des positions de titrisation pour lesquelles l’établissement joue le rôle de sponsor, tel que défini à l’article 4, point 14, du CRR. Si un sponsor titrise également ses propres actifs, il devra indiquer, dans les lignes sur l’initiateur, les données relatives à ses propres actifs titrisés.</w:t>
            </w:r>
          </w:p>
          <w:p w:rsidR="00612780" w:rsidRPr="00392FFD" w:rsidRDefault="00612780" w:rsidP="00612780">
            <w:pPr>
              <w:autoSpaceDE w:val="0"/>
              <w:autoSpaceDN w:val="0"/>
              <w:adjustRightInd w:val="0"/>
              <w:spacing w:before="0" w:after="0"/>
              <w:rPr>
                <w:rFonts w:ascii="Times New Roman" w:hAnsi="Times New Roman"/>
                <w:sz w:val="24"/>
              </w:rPr>
            </w:pPr>
          </w:p>
        </w:tc>
      </w:tr>
      <w:tr w:rsidR="00612780" w:rsidRPr="00392FFD" w:rsidTr="00612780">
        <w:tc>
          <w:tcPr>
            <w:tcW w:w="1101" w:type="dxa"/>
            <w:shd w:val="clear" w:color="auto" w:fill="auto"/>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190-210</w:t>
            </w:r>
          </w:p>
        </w:tc>
        <w:tc>
          <w:tcPr>
            <w:tcW w:w="7903" w:type="dxa"/>
            <w:shd w:val="clear" w:color="auto" w:fill="auto"/>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 xml:space="preserve">ÉLÉMENTS DE BILAN </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On appliquera ici les mêmes critères de classement entre titrisations et retitris</w:t>
            </w:r>
            <w:r>
              <w:rPr>
                <w:rFonts w:ascii="Times New Roman" w:hAnsi="Times New Roman"/>
                <w:sz w:val="24"/>
              </w:rPr>
              <w:t>a</w:t>
            </w:r>
            <w:r>
              <w:rPr>
                <w:rFonts w:ascii="Times New Roman" w:hAnsi="Times New Roman"/>
                <w:sz w:val="24"/>
              </w:rPr>
              <w:t>tions que ceux utilisés pour les éléments au bilan pour les initiateurs.</w:t>
            </w:r>
          </w:p>
          <w:p w:rsidR="00612780" w:rsidRPr="00392FFD" w:rsidRDefault="00612780" w:rsidP="00612780">
            <w:pPr>
              <w:autoSpaceDE w:val="0"/>
              <w:autoSpaceDN w:val="0"/>
              <w:adjustRightInd w:val="0"/>
              <w:spacing w:before="0" w:after="0"/>
              <w:rPr>
                <w:rFonts w:ascii="Times New Roman" w:hAnsi="Times New Roman"/>
                <w:sz w:val="24"/>
              </w:rPr>
            </w:pPr>
          </w:p>
        </w:tc>
      </w:tr>
      <w:tr w:rsidR="00612780" w:rsidRPr="00392FFD" w:rsidTr="00612780">
        <w:tc>
          <w:tcPr>
            <w:tcW w:w="1101" w:type="dxa"/>
            <w:shd w:val="clear" w:color="auto" w:fill="auto"/>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220-240</w:t>
            </w:r>
          </w:p>
        </w:tc>
        <w:tc>
          <w:tcPr>
            <w:tcW w:w="7903" w:type="dxa"/>
            <w:shd w:val="clear" w:color="auto" w:fill="auto"/>
          </w:tcPr>
          <w:p w:rsidR="00612780" w:rsidRPr="00392FFD" w:rsidRDefault="00612780" w:rsidP="00612780">
            <w:pPr>
              <w:autoSpaceDE w:val="0"/>
              <w:autoSpaceDN w:val="0"/>
              <w:adjustRightInd w:val="0"/>
              <w:spacing w:before="0" w:after="0"/>
              <w:rPr>
                <w:rFonts w:ascii="Times New Roman" w:hAnsi="Times New Roman"/>
                <w:b/>
                <w:sz w:val="24"/>
                <w:u w:val="single"/>
              </w:rPr>
            </w:pPr>
            <w:r>
              <w:rPr>
                <w:rFonts w:ascii="Times New Roman" w:hAnsi="Times New Roman"/>
                <w:b/>
                <w:sz w:val="24"/>
                <w:u w:val="single"/>
              </w:rPr>
              <w:t>ÉLÉMENTS DE HORS BILAN ET DÉRIVÉS</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On appliquera ici les mêmes critères de classement entre titrisations et retitris</w:t>
            </w:r>
            <w:r>
              <w:rPr>
                <w:rFonts w:ascii="Times New Roman" w:hAnsi="Times New Roman"/>
                <w:sz w:val="24"/>
              </w:rPr>
              <w:t>a</w:t>
            </w:r>
            <w:r>
              <w:rPr>
                <w:rFonts w:ascii="Times New Roman" w:hAnsi="Times New Roman"/>
                <w:sz w:val="24"/>
              </w:rPr>
              <w:t>tions que ceux utilisés pour les éléments hors bilan et les dérivés pour les initi</w:t>
            </w:r>
            <w:r>
              <w:rPr>
                <w:rFonts w:ascii="Times New Roman" w:hAnsi="Times New Roman"/>
                <w:sz w:val="24"/>
              </w:rPr>
              <w:t>a</w:t>
            </w:r>
            <w:r>
              <w:rPr>
                <w:rFonts w:ascii="Times New Roman" w:hAnsi="Times New Roman"/>
                <w:sz w:val="24"/>
              </w:rPr>
              <w:t>teurs.</w:t>
            </w:r>
          </w:p>
          <w:p w:rsidR="00612780" w:rsidRPr="00392FFD" w:rsidRDefault="00612780" w:rsidP="00612780">
            <w:pPr>
              <w:autoSpaceDE w:val="0"/>
              <w:autoSpaceDN w:val="0"/>
              <w:adjustRightInd w:val="0"/>
              <w:spacing w:before="0" w:after="0"/>
              <w:rPr>
                <w:rFonts w:ascii="Times New Roman" w:hAnsi="Times New Roman"/>
                <w:b/>
                <w:sz w:val="24"/>
                <w:u w:val="single"/>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250-290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RÉPARTITION DE L’ENCOURS DES POSITIONS PAR EQC AU COMMENCEMENT</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Ces lignes rassemblent des données sur l’encours des positions traitées selon la méthode fondée sur les notations et des positions non notées (à la date de décl</w:t>
            </w:r>
            <w:r>
              <w:rPr>
                <w:rFonts w:ascii="Times New Roman" w:hAnsi="Times New Roman"/>
                <w:sz w:val="24"/>
              </w:rPr>
              <w:t>a</w:t>
            </w:r>
            <w:r>
              <w:rPr>
                <w:rFonts w:ascii="Times New Roman" w:hAnsi="Times New Roman"/>
                <w:sz w:val="24"/>
              </w:rPr>
              <w:t>ration) en fonction des échelons de qualité de crédit (EQC) (prévus pour l’approche standard, à l’article 251, tableau 1 du CRR) appliqués à la date d’initiation (commencement). En l’absence de ces données, les données les plus anciennes, équivalentes en matière d’échelons de qualité de crédit, seront fou</w:t>
            </w:r>
            <w:r>
              <w:rPr>
                <w:rFonts w:ascii="Times New Roman" w:hAnsi="Times New Roman"/>
                <w:sz w:val="24"/>
              </w:rPr>
              <w:t>r</w:t>
            </w:r>
            <w:r>
              <w:rPr>
                <w:rFonts w:ascii="Times New Roman" w:hAnsi="Times New Roman"/>
                <w:sz w:val="24"/>
              </w:rPr>
              <w:t>nies.</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Ces lignes ne doivent être remplies que pour les colonnes 190, 210 à 270 et les colonnes 330 à 340.</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tc>
      </w:tr>
    </w:tbl>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21A3B" w:rsidRDefault="00125707" w:rsidP="0023700C">
      <w:pPr>
        <w:pStyle w:val="Instructionsberschrift2"/>
        <w:numPr>
          <w:ilvl w:val="0"/>
          <w:numId w:val="0"/>
        </w:numPr>
        <w:ind w:left="357" w:hanging="357"/>
        <w:rPr>
          <w:rFonts w:ascii="Times New Roman" w:hAnsi="Times New Roman" w:cs="Times New Roman"/>
          <w:sz w:val="24"/>
        </w:rPr>
      </w:pPr>
      <w:bookmarkStart w:id="393" w:name="_Toc239157387"/>
      <w:bookmarkStart w:id="394" w:name="_Toc310415042"/>
      <w:bookmarkStart w:id="395" w:name="_Toc360188378"/>
      <w:bookmarkStart w:id="396" w:name="_Toc473560929"/>
      <w:bookmarkStart w:id="397" w:name="_Toc496022324"/>
      <w:r>
        <w:rPr>
          <w:rFonts w:ascii="Times New Roman" w:hAnsi="Times New Roman"/>
          <w:sz w:val="24"/>
          <w:u w:val="none"/>
        </w:rPr>
        <w:t>3.8.</w:t>
      </w:r>
      <w:r>
        <w:tab/>
      </w:r>
      <w:r>
        <w:rPr>
          <w:rFonts w:ascii="Times New Roman" w:hAnsi="Times New Roman"/>
          <w:sz w:val="24"/>
        </w:rPr>
        <w:t>C 13.00 - Risque de crédit - Titrisations: Approche NI des exigences de fonds propres</w:t>
      </w:r>
      <w:bookmarkEnd w:id="393"/>
      <w:bookmarkEnd w:id="394"/>
      <w:bookmarkEnd w:id="395"/>
      <w:r>
        <w:rPr>
          <w:rFonts w:ascii="Times New Roman" w:hAnsi="Times New Roman"/>
          <w:sz w:val="24"/>
        </w:rPr>
        <w:t xml:space="preserve"> (CR SEC IRB)</w:t>
      </w:r>
      <w:bookmarkEnd w:id="396"/>
      <w:bookmarkEnd w:id="397"/>
    </w:p>
    <w:p w:rsidR="00612780" w:rsidRPr="00321A3B" w:rsidRDefault="00125707" w:rsidP="0023700C">
      <w:pPr>
        <w:pStyle w:val="Instructionsberschrift2"/>
        <w:numPr>
          <w:ilvl w:val="0"/>
          <w:numId w:val="0"/>
        </w:numPr>
        <w:ind w:left="357" w:hanging="357"/>
        <w:rPr>
          <w:rFonts w:ascii="Times New Roman" w:hAnsi="Times New Roman" w:cs="Times New Roman"/>
          <w:sz w:val="24"/>
        </w:rPr>
      </w:pPr>
      <w:bookmarkStart w:id="398" w:name="_Toc239157388"/>
      <w:bookmarkStart w:id="399" w:name="_Toc310415043"/>
      <w:bookmarkStart w:id="400" w:name="_Toc360188379"/>
      <w:bookmarkStart w:id="401" w:name="_Toc473560930"/>
      <w:bookmarkStart w:id="402" w:name="_Toc496022325"/>
      <w:r>
        <w:rPr>
          <w:rFonts w:ascii="Times New Roman" w:hAnsi="Times New Roman"/>
          <w:sz w:val="24"/>
          <w:u w:val="none"/>
        </w:rPr>
        <w:t>3.8.1.</w:t>
      </w:r>
      <w:r>
        <w:tab/>
      </w:r>
      <w:r>
        <w:rPr>
          <w:rFonts w:ascii="Times New Roman" w:hAnsi="Times New Roman"/>
          <w:sz w:val="24"/>
        </w:rPr>
        <w:t>Remarques générales</w:t>
      </w:r>
      <w:bookmarkEnd w:id="398"/>
      <w:bookmarkEnd w:id="399"/>
      <w:bookmarkEnd w:id="400"/>
      <w:bookmarkEnd w:id="401"/>
      <w:bookmarkEnd w:id="402"/>
    </w:p>
    <w:p w:rsidR="00612780" w:rsidRPr="00392FFD" w:rsidRDefault="00125707" w:rsidP="0023700C">
      <w:pPr>
        <w:pStyle w:val="InstructionsText2"/>
        <w:numPr>
          <w:ilvl w:val="0"/>
          <w:numId w:val="0"/>
        </w:numPr>
        <w:ind w:left="1353" w:hanging="360"/>
      </w:pPr>
      <w:r>
        <w:t>104.</w:t>
      </w:r>
      <w:r>
        <w:tab/>
        <w:t>Les informations dans ce modèle sont demandées pour toutes les titrisations pour lesquelles un transfert de risque significatif est comptabilisé et dans le</w:t>
      </w:r>
      <w:r>
        <w:t>s</w:t>
      </w:r>
      <w:r>
        <w:t>quelles l’établissement déclarant est impliqué dans une titrisation traitée selon l’approche standard.</w:t>
      </w:r>
    </w:p>
    <w:p w:rsidR="00612780" w:rsidRPr="00392FFD" w:rsidRDefault="00125707" w:rsidP="0023700C">
      <w:pPr>
        <w:pStyle w:val="InstructionsText2"/>
        <w:numPr>
          <w:ilvl w:val="0"/>
          <w:numId w:val="0"/>
        </w:numPr>
        <w:ind w:left="1353" w:hanging="360"/>
      </w:pPr>
      <w:r>
        <w:t>105.</w:t>
      </w:r>
      <w:r>
        <w:tab/>
        <w:t>Les données à déclarer sont fonction du rôle de l’établissement dans la titris</w:t>
      </w:r>
      <w:r>
        <w:t>a</w:t>
      </w:r>
      <w:r>
        <w:t>tion. Ainsi, les initiateurs, les sponsors et les investisseurs doivent déclarer ce</w:t>
      </w:r>
      <w:r>
        <w:t>r</w:t>
      </w:r>
      <w:r>
        <w:t>tains éléments spécifiques.</w:t>
      </w:r>
    </w:p>
    <w:p w:rsidR="00612780" w:rsidRPr="00392FFD" w:rsidRDefault="00125707" w:rsidP="0023700C">
      <w:pPr>
        <w:pStyle w:val="InstructionsText2"/>
        <w:numPr>
          <w:ilvl w:val="0"/>
          <w:numId w:val="0"/>
        </w:numPr>
        <w:ind w:left="1353" w:hanging="360"/>
      </w:pPr>
      <w:r>
        <w:lastRenderedPageBreak/>
        <w:t>106.</w:t>
      </w:r>
      <w:r>
        <w:tab/>
        <w:t>Le modèle CR SEC IRB dispose du même champ d’application que le modèle CR SEC SA. Il contient des données conjointes sur les titrisations tant cla</w:t>
      </w:r>
      <w:r>
        <w:t>s</w:t>
      </w:r>
      <w:r>
        <w:t xml:space="preserve">siques que synthétiques détenues dans le portefeuille d’intermédiation bancaire. </w:t>
      </w:r>
    </w:p>
    <w:p w:rsidR="00612780" w:rsidRPr="00321A3B" w:rsidRDefault="00125707" w:rsidP="0023700C">
      <w:pPr>
        <w:pStyle w:val="Instructionsberschrift2"/>
        <w:numPr>
          <w:ilvl w:val="0"/>
          <w:numId w:val="0"/>
        </w:numPr>
        <w:ind w:left="357" w:hanging="357"/>
        <w:rPr>
          <w:rFonts w:ascii="Times New Roman" w:hAnsi="Times New Roman" w:cs="Times New Roman"/>
          <w:sz w:val="24"/>
        </w:rPr>
      </w:pPr>
      <w:bookmarkStart w:id="403" w:name="_Toc239157389"/>
      <w:bookmarkStart w:id="404" w:name="_Toc310415044"/>
      <w:bookmarkStart w:id="405" w:name="_Toc360188380"/>
      <w:bookmarkStart w:id="406" w:name="_Toc473560931"/>
      <w:bookmarkStart w:id="407" w:name="_Toc496022326"/>
      <w:r>
        <w:rPr>
          <w:rFonts w:ascii="Times New Roman" w:hAnsi="Times New Roman"/>
          <w:sz w:val="24"/>
          <w:u w:val="none"/>
        </w:rPr>
        <w:t>3.8.2.</w:t>
      </w:r>
      <w:r>
        <w:tab/>
      </w:r>
      <w:r>
        <w:rPr>
          <w:rFonts w:ascii="Times New Roman" w:hAnsi="Times New Roman"/>
          <w:sz w:val="24"/>
        </w:rPr>
        <w:t>Instructions concernant certaines positions</w:t>
      </w:r>
      <w:bookmarkEnd w:id="403"/>
      <w:bookmarkEnd w:id="404"/>
      <w:bookmarkEnd w:id="405"/>
      <w:bookmarkEnd w:id="406"/>
      <w:bookmarkEnd w:id="407"/>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1"/>
        <w:gridCol w:w="7903"/>
      </w:tblGrid>
      <w:tr w:rsidR="00612780" w:rsidRPr="00392FFD" w:rsidTr="00612780">
        <w:tc>
          <w:tcPr>
            <w:tcW w:w="9004" w:type="dxa"/>
            <w:gridSpan w:val="2"/>
            <w:shd w:val="clear" w:color="auto" w:fill="CCCCCC"/>
          </w:tcPr>
          <w:p w:rsidR="00612780" w:rsidRPr="00392FFD" w:rsidRDefault="00612780" w:rsidP="00612780">
            <w:pPr>
              <w:autoSpaceDE w:val="0"/>
              <w:autoSpaceDN w:val="0"/>
              <w:adjustRightInd w:val="0"/>
              <w:spacing w:before="0" w:after="0"/>
              <w:ind w:left="426"/>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b/>
                <w:bCs/>
                <w:sz w:val="24"/>
              </w:rPr>
            </w:pPr>
            <w:r>
              <w:rPr>
                <w:rFonts w:ascii="Times New Roman" w:hAnsi="Times New Roman"/>
                <w:b/>
                <w:sz w:val="24"/>
              </w:rPr>
              <w:t>Colonnes</w:t>
            </w:r>
          </w:p>
          <w:p w:rsidR="00612780" w:rsidRPr="00392FFD" w:rsidRDefault="00612780" w:rsidP="00612780">
            <w:pPr>
              <w:autoSpaceDE w:val="0"/>
              <w:autoSpaceDN w:val="0"/>
              <w:adjustRightInd w:val="0"/>
              <w:spacing w:before="0" w:after="0"/>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010</w:t>
            </w:r>
          </w:p>
        </w:tc>
        <w:tc>
          <w:tcPr>
            <w:tcW w:w="7903" w:type="dxa"/>
          </w:tcPr>
          <w:p w:rsidR="00612780" w:rsidRPr="00392FFD" w:rsidRDefault="00612780" w:rsidP="00612780">
            <w:pPr>
              <w:spacing w:before="0" w:after="0"/>
              <w:jc w:val="left"/>
              <w:rPr>
                <w:rFonts w:ascii="Times New Roman" w:hAnsi="Times New Roman"/>
                <w:sz w:val="24"/>
              </w:rPr>
            </w:pPr>
            <w:r>
              <w:rPr>
                <w:rFonts w:ascii="Times New Roman" w:hAnsi="Times New Roman"/>
                <w:b/>
                <w:sz w:val="24"/>
                <w:u w:val="single"/>
              </w:rPr>
              <w:t>MONTANT TOTAL DES EXPOSITIONS DE TITRISATION INITIÉES</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Pour la ligne sur le total des éléments au bilan, le montant déclaré dans cette colonne correspond à l’encours des expositions titrisées à la date de déclar</w:t>
            </w:r>
            <w:r>
              <w:rPr>
                <w:rFonts w:ascii="Times New Roman" w:hAnsi="Times New Roman"/>
                <w:sz w:val="24"/>
              </w:rPr>
              <w:t>a</w:t>
            </w:r>
            <w:r>
              <w:rPr>
                <w:rFonts w:ascii="Times New Roman" w:hAnsi="Times New Roman"/>
                <w:sz w:val="24"/>
              </w:rPr>
              <w:t>tion.</w:t>
            </w:r>
          </w:p>
          <w:p w:rsidR="00612780" w:rsidRPr="00392FFD" w:rsidRDefault="00612780" w:rsidP="00612780">
            <w:pPr>
              <w:autoSpaceDE w:val="0"/>
              <w:autoSpaceDN w:val="0"/>
              <w:adjustRightInd w:val="0"/>
              <w:spacing w:before="0" w:after="0"/>
              <w:rPr>
                <w:rFonts w:ascii="Times New Roman" w:hAnsi="Times New Roman"/>
                <w:bCs/>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Voir la colonne 010 du modèle CR SEC SA.</w:t>
            </w:r>
          </w:p>
          <w:p w:rsidR="00612780" w:rsidRPr="00392FFD" w:rsidRDefault="00612780" w:rsidP="00612780">
            <w:pPr>
              <w:autoSpaceDE w:val="0"/>
              <w:autoSpaceDN w:val="0"/>
              <w:adjustRightInd w:val="0"/>
              <w:spacing w:before="0" w:after="0"/>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020-040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TITRISATIONS SYNTHÉTIQUES: PROTECTION DE CRÉDIT SUR LES EXPOSITIONS TITRISÉES</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 xml:space="preserve">Articles 249 et 250 du CRR </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bCs/>
                <w:sz w:val="24"/>
              </w:rPr>
            </w:pPr>
            <w:r>
              <w:rPr>
                <w:rFonts w:ascii="Times New Roman" w:hAnsi="Times New Roman"/>
                <w:sz w:val="24"/>
              </w:rPr>
              <w:t>Les asymétries d’échéances ne seront pas prises en compte dans la valeur corr</w:t>
            </w:r>
            <w:r>
              <w:rPr>
                <w:rFonts w:ascii="Times New Roman" w:hAnsi="Times New Roman"/>
                <w:sz w:val="24"/>
              </w:rPr>
              <w:t>i</w:t>
            </w:r>
            <w:r>
              <w:rPr>
                <w:rFonts w:ascii="Times New Roman" w:hAnsi="Times New Roman"/>
                <w:sz w:val="24"/>
              </w:rPr>
              <w:t xml:space="preserve">gée des techniques d’atténuation du risque de crédit retenues pour la structure de la titrisation. </w:t>
            </w: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020</w:t>
            </w:r>
          </w:p>
        </w:tc>
        <w:tc>
          <w:tcPr>
            <w:tcW w:w="7903" w:type="dxa"/>
          </w:tcPr>
          <w:p w:rsidR="00612780" w:rsidRPr="00392FFD" w:rsidRDefault="00612780" w:rsidP="00612780">
            <w:pPr>
              <w:spacing w:before="0" w:after="0"/>
              <w:jc w:val="left"/>
              <w:rPr>
                <w:rFonts w:ascii="Times New Roman" w:hAnsi="Times New Roman"/>
                <w:b/>
                <w:strike/>
                <w:sz w:val="24"/>
                <w:u w:val="single"/>
              </w:rPr>
            </w:pPr>
            <w:r>
              <w:rPr>
                <w:rFonts w:ascii="Times New Roman" w:hAnsi="Times New Roman"/>
                <w:b/>
                <w:sz w:val="24"/>
                <w:u w:val="single"/>
              </w:rPr>
              <w:t>(-) PROTECTION DE CRÉDIT FINANCÉE (C</w:t>
            </w:r>
            <w:r>
              <w:rPr>
                <w:rFonts w:ascii="Times New Roman" w:hAnsi="Times New Roman"/>
                <w:b/>
                <w:sz w:val="24"/>
                <w:u w:val="single"/>
                <w:vertAlign w:val="subscript"/>
              </w:rPr>
              <w:t>VA</w:t>
            </w:r>
            <w:r>
              <w:rPr>
                <w:rFonts w:ascii="Times New Roman" w:hAnsi="Times New Roman"/>
                <w:b/>
                <w:sz w:val="24"/>
                <w:u w:val="single"/>
              </w:rPr>
              <w:t xml:space="preserve">) </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 mode de calcul détaillé de la valeur corrigée pour volatilité de la sûreté (C</w:t>
            </w:r>
            <w:r>
              <w:rPr>
                <w:rFonts w:ascii="Times New Roman" w:hAnsi="Times New Roman"/>
                <w:sz w:val="24"/>
                <w:vertAlign w:val="subscript"/>
              </w:rPr>
              <w:t>VA</w:t>
            </w:r>
            <w:r>
              <w:rPr>
                <w:rFonts w:ascii="Times New Roman" w:hAnsi="Times New Roman"/>
                <w:sz w:val="24"/>
              </w:rPr>
              <w:t>) qui doit être déclarée dans cette colonne est établi à l’article 223, par</w:t>
            </w:r>
            <w:r>
              <w:rPr>
                <w:rFonts w:ascii="Times New Roman" w:hAnsi="Times New Roman"/>
                <w:sz w:val="24"/>
              </w:rPr>
              <w:t>a</w:t>
            </w:r>
            <w:r>
              <w:rPr>
                <w:rFonts w:ascii="Times New Roman" w:hAnsi="Times New Roman"/>
                <w:sz w:val="24"/>
              </w:rPr>
              <w:t>graphe 2, du CRR.</w:t>
            </w:r>
          </w:p>
          <w:p w:rsidR="00612780" w:rsidRPr="00392FFD" w:rsidRDefault="00612780" w:rsidP="00612780">
            <w:pPr>
              <w:spacing w:before="0" w:after="0"/>
              <w:jc w:val="left"/>
              <w:rPr>
                <w:rFonts w:ascii="Times New Roman" w:hAnsi="Times New Roman"/>
                <w:b/>
                <w:sz w:val="24"/>
                <w:u w:val="single"/>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030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 xml:space="preserve">(-) TOTAL SORTIES: VALEURS CORRIGÉES DE PROTECTION DE CRÉDIT NON FINANCÉE (G*) </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i/>
                <w:sz w:val="24"/>
              </w:rPr>
            </w:pPr>
            <w:r>
              <w:rPr>
                <w:rFonts w:ascii="Times New Roman" w:hAnsi="Times New Roman"/>
                <w:sz w:val="24"/>
              </w:rPr>
              <w:t>Suivant la règle générale des «entrées» et des «sorties», les montants déclarés dans la colonne 030 du modèle CR SEC IRB apparaîtront dans les «entrées» du modèle de risque de crédit correspondant (CR SA ou CR IRB) et dans la cat</w:t>
            </w:r>
            <w:r>
              <w:rPr>
                <w:rFonts w:ascii="Times New Roman" w:hAnsi="Times New Roman"/>
                <w:sz w:val="24"/>
              </w:rPr>
              <w:t>é</w:t>
            </w:r>
            <w:r>
              <w:rPr>
                <w:rFonts w:ascii="Times New Roman" w:hAnsi="Times New Roman"/>
                <w:sz w:val="24"/>
              </w:rPr>
              <w:t>gorie d'expositions pertinente pour le fournisseur de protection (à savoir le tiers auquel la tranche est transférée au moyen d'une protection de crédit non fina</w:t>
            </w:r>
            <w:r>
              <w:rPr>
                <w:rFonts w:ascii="Times New Roman" w:hAnsi="Times New Roman"/>
                <w:sz w:val="24"/>
              </w:rPr>
              <w:t>n</w:t>
            </w:r>
            <w:r>
              <w:rPr>
                <w:rFonts w:ascii="Times New Roman" w:hAnsi="Times New Roman"/>
                <w:sz w:val="24"/>
              </w:rPr>
              <w:t>cée).</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 mode de calcul du montant nominal de la protection de crédit corrigé du «risque de change» (G*) est précisé à l’article 233, paragraphe 3, du CRR.</w:t>
            </w:r>
          </w:p>
          <w:p w:rsidR="00612780" w:rsidRPr="00392FFD" w:rsidRDefault="00612780" w:rsidP="00612780">
            <w:pPr>
              <w:autoSpaceDE w:val="0"/>
              <w:autoSpaceDN w:val="0"/>
              <w:adjustRightInd w:val="0"/>
              <w:spacing w:before="0" w:after="0"/>
              <w:jc w:val="left"/>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040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MONTANT NOTIONNEL DE PROTECTION DE CRÉDIT CONSERVÉ OU RACHETÉ</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Toutes les tranches qui ont été conservées ou rachetées, par ex. les positions de première perte conservées, seront déclarées à leur montant nominal.</w:t>
            </w:r>
          </w:p>
          <w:p w:rsidR="00612780" w:rsidRPr="00392FFD" w:rsidRDefault="00612780" w:rsidP="00612780">
            <w:pPr>
              <w:autoSpaceDE w:val="0"/>
              <w:autoSpaceDN w:val="0"/>
              <w:adjustRightInd w:val="0"/>
              <w:spacing w:before="0" w:after="0"/>
              <w:rPr>
                <w:rFonts w:ascii="Times New Roman" w:hAnsi="Times New Roman"/>
                <w:bCs/>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L’effet des décotes règlementaires sur la protection de crédit ne sera pas pris en </w:t>
            </w:r>
            <w:r>
              <w:rPr>
                <w:rFonts w:ascii="Times New Roman" w:hAnsi="Times New Roman"/>
                <w:sz w:val="24"/>
              </w:rPr>
              <w:lastRenderedPageBreak/>
              <w:t>considération lors du calcul du montant conservé ou racheté de protection de crédit.</w:t>
            </w:r>
          </w:p>
          <w:p w:rsidR="00612780" w:rsidRPr="00392FFD" w:rsidRDefault="00612780" w:rsidP="00612780">
            <w:pPr>
              <w:autoSpaceDE w:val="0"/>
              <w:autoSpaceDN w:val="0"/>
              <w:adjustRightInd w:val="0"/>
              <w:spacing w:before="0" w:after="0"/>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lastRenderedPageBreak/>
              <w:t>050</w:t>
            </w:r>
          </w:p>
        </w:tc>
        <w:tc>
          <w:tcPr>
            <w:tcW w:w="7903" w:type="dxa"/>
          </w:tcPr>
          <w:p w:rsidR="00612780" w:rsidRPr="0023700C" w:rsidRDefault="00612780" w:rsidP="00612780">
            <w:pPr>
              <w:spacing w:before="0" w:after="0"/>
              <w:rPr>
                <w:rFonts w:ascii="Times New Roman" w:hAnsi="Times New Roman"/>
                <w:b/>
                <w:sz w:val="24"/>
                <w:u w:val="single"/>
              </w:rPr>
            </w:pPr>
            <w:r>
              <w:rPr>
                <w:rFonts w:ascii="Times New Roman" w:hAnsi="Times New Roman"/>
                <w:b/>
                <w:sz w:val="24"/>
                <w:u w:val="single"/>
              </w:rPr>
              <w:t>POSITIONS DE TITRISATION: EXPOSITION INITIALE AVANT A</w:t>
            </w:r>
            <w:r>
              <w:rPr>
                <w:rFonts w:ascii="Times New Roman" w:hAnsi="Times New Roman"/>
                <w:b/>
                <w:sz w:val="24"/>
                <w:u w:val="single"/>
              </w:rPr>
              <w:t>P</w:t>
            </w:r>
            <w:r>
              <w:rPr>
                <w:rFonts w:ascii="Times New Roman" w:hAnsi="Times New Roman"/>
                <w:b/>
                <w:sz w:val="24"/>
                <w:u w:val="single"/>
              </w:rPr>
              <w:t xml:space="preserve">PLICATION DES FACTEURS DE CONVERSION </w:t>
            </w:r>
          </w:p>
          <w:p w:rsidR="00612780" w:rsidRPr="0023700C"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Les positions de titrisation détenues par l’établissement déclarant, calculées conformément à l’article 246, paragraphe 1, points b), d) et e), et paragraphe 2, du CRR, sans application des facteurs de conversion de crédit et sans ajust</w:t>
            </w:r>
            <w:r>
              <w:rPr>
                <w:rFonts w:ascii="Times New Roman" w:hAnsi="Times New Roman"/>
                <w:sz w:val="24"/>
              </w:rPr>
              <w:t>e</w:t>
            </w:r>
            <w:r>
              <w:rPr>
                <w:rFonts w:ascii="Times New Roman" w:hAnsi="Times New Roman"/>
                <w:sz w:val="24"/>
              </w:rPr>
              <w:t>ments pour risque de crédit et provisions. La compensation n’est pertinente que par rapport à plusieurs contrats de dérivés fournis à la même entité de titris</w:t>
            </w:r>
            <w:r>
              <w:rPr>
                <w:rFonts w:ascii="Times New Roman" w:hAnsi="Times New Roman"/>
                <w:sz w:val="24"/>
              </w:rPr>
              <w:t>a</w:t>
            </w:r>
            <w:r>
              <w:rPr>
                <w:rFonts w:ascii="Times New Roman" w:hAnsi="Times New Roman"/>
                <w:sz w:val="24"/>
              </w:rPr>
              <w:t xml:space="preserve">tion, et couverts par un accord de compensation éligible. </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Les corrections de valeur et les provisions à déclarer dans cette colonne ne se rapportent qu’aux positions de titrisation. Les corrections de valeur de pos</w:t>
            </w:r>
            <w:r>
              <w:rPr>
                <w:rFonts w:ascii="Times New Roman" w:hAnsi="Times New Roman"/>
                <w:sz w:val="24"/>
              </w:rPr>
              <w:t>i</w:t>
            </w:r>
            <w:r>
              <w:rPr>
                <w:rFonts w:ascii="Times New Roman" w:hAnsi="Times New Roman"/>
                <w:sz w:val="24"/>
              </w:rPr>
              <w:t>tions titrisées ne sont pas prises en compte.</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En présence d'une clause de remboursement anticipé, les établissements do</w:t>
            </w:r>
            <w:r>
              <w:rPr>
                <w:rFonts w:ascii="Times New Roman" w:hAnsi="Times New Roman"/>
                <w:sz w:val="24"/>
              </w:rPr>
              <w:t>i</w:t>
            </w:r>
            <w:r>
              <w:rPr>
                <w:rFonts w:ascii="Times New Roman" w:hAnsi="Times New Roman"/>
                <w:sz w:val="24"/>
              </w:rPr>
              <w:t xml:space="preserve">vent préciser le montant des «intérêts de l'établissement initiateur», tel que défini à l'article 256, paragraphe 2, du CRR. </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Dans le cadre de titrisations synthétiques, les positions détenues par l’initiateur sous la forme d’éléments au bilan et/ou d’intérêts de l’investisseur (rembou</w:t>
            </w:r>
            <w:r>
              <w:rPr>
                <w:rFonts w:ascii="Times New Roman" w:hAnsi="Times New Roman"/>
                <w:sz w:val="24"/>
              </w:rPr>
              <w:t>r</w:t>
            </w:r>
            <w:r>
              <w:rPr>
                <w:rFonts w:ascii="Times New Roman" w:hAnsi="Times New Roman"/>
                <w:sz w:val="24"/>
              </w:rPr>
              <w:t>sement anticipé) seront la somme des colonnes 010 à 040.</w:t>
            </w:r>
          </w:p>
          <w:p w:rsidR="00612780" w:rsidRPr="00392FFD" w:rsidRDefault="00612780" w:rsidP="00612780">
            <w:pPr>
              <w:autoSpaceDE w:val="0"/>
              <w:autoSpaceDN w:val="0"/>
              <w:adjustRightInd w:val="0"/>
              <w:spacing w:before="0" w:after="0"/>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060-090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TECHNIQUES D'ATTÉNUATION DU RISQUE DE CRÉDIT (ARC) AVEC EFFETS DE SUBSTITUTION SUR L'EXPOSITION</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Voir l’article 4, paragraphe 1, point 57, et la troisième partie, titre II, chapitre 4 du CRR.</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Ce bloc de colonnes rassemble des informations sur les techniques d’atténuation du risque de crédit qui diminuent le risque de crédit d’une ou pl</w:t>
            </w:r>
            <w:r>
              <w:rPr>
                <w:rFonts w:ascii="Times New Roman" w:hAnsi="Times New Roman"/>
                <w:sz w:val="24"/>
              </w:rPr>
              <w:t>u</w:t>
            </w:r>
            <w:r>
              <w:rPr>
                <w:rFonts w:ascii="Times New Roman" w:hAnsi="Times New Roman"/>
                <w:sz w:val="24"/>
              </w:rPr>
              <w:t>sieurs expositions au moyen de la substitution d’expositions (voir plus bas, sous Entrées et Sorties).</w:t>
            </w:r>
          </w:p>
          <w:p w:rsidR="00612780" w:rsidRPr="00392FFD" w:rsidRDefault="00612780" w:rsidP="00612780">
            <w:pPr>
              <w:spacing w:before="0" w:after="0"/>
              <w:rPr>
                <w:rFonts w:ascii="Times New Roman" w:hAnsi="Times New Roman"/>
                <w:b/>
                <w:sz w:val="24"/>
                <w:u w:val="single"/>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060</w:t>
            </w:r>
          </w:p>
        </w:tc>
        <w:tc>
          <w:tcPr>
            <w:tcW w:w="7903" w:type="dxa"/>
          </w:tcPr>
          <w:p w:rsidR="00612780" w:rsidRPr="00392FFD" w:rsidRDefault="00C57F07" w:rsidP="00612780">
            <w:pPr>
              <w:spacing w:before="0" w:after="0"/>
              <w:jc w:val="left"/>
              <w:rPr>
                <w:rFonts w:ascii="Times New Roman" w:hAnsi="Times New Roman"/>
                <w:b/>
                <w:sz w:val="24"/>
                <w:u w:val="single"/>
              </w:rPr>
            </w:pPr>
            <w:r>
              <w:rPr>
                <w:rFonts w:ascii="Times New Roman" w:hAnsi="Times New Roman"/>
                <w:b/>
                <w:sz w:val="24"/>
                <w:u w:val="single"/>
              </w:rPr>
              <w:t>(-) PROTECTION DE CRÉDIT NON FINANCÉE: VALEURS CORR</w:t>
            </w:r>
            <w:r>
              <w:rPr>
                <w:rFonts w:ascii="Times New Roman" w:hAnsi="Times New Roman"/>
                <w:b/>
                <w:sz w:val="24"/>
                <w:u w:val="single"/>
              </w:rPr>
              <w:t>I</w:t>
            </w:r>
            <w:r>
              <w:rPr>
                <w:rFonts w:ascii="Times New Roman" w:hAnsi="Times New Roman"/>
                <w:b/>
                <w:sz w:val="24"/>
                <w:u w:val="single"/>
              </w:rPr>
              <w:t>GÉES (G</w:t>
            </w:r>
            <w:r>
              <w:rPr>
                <w:rFonts w:ascii="Times New Roman" w:hAnsi="Times New Roman"/>
                <w:b/>
                <w:sz w:val="24"/>
                <w:u w:val="single"/>
                <w:vertAlign w:val="subscript"/>
              </w:rPr>
              <w:t>A</w:t>
            </w:r>
            <w:r>
              <w:rPr>
                <w:rFonts w:ascii="Times New Roman" w:hAnsi="Times New Roman"/>
                <w:b/>
                <w:sz w:val="24"/>
                <w:u w:val="single"/>
              </w:rPr>
              <w:t xml:space="preserve">) </w:t>
            </w:r>
          </w:p>
          <w:p w:rsidR="00612780" w:rsidRPr="00392FFD" w:rsidRDefault="00612780" w:rsidP="00612780">
            <w:pPr>
              <w:spacing w:before="0" w:after="0"/>
              <w:jc w:val="left"/>
              <w:rPr>
                <w:rFonts w:ascii="Times New Roman" w:hAnsi="Times New Roman"/>
                <w:b/>
                <w:sz w:val="24"/>
                <w:u w:val="single"/>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Protection de crédit non financée telle que définie à l’article 4, paragraphe 1, point 59, du CRR.</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L'article 236 du CRR décrit la méthode de calcul de G</w:t>
            </w:r>
            <w:r>
              <w:rPr>
                <w:rFonts w:ascii="Times New Roman" w:hAnsi="Times New Roman"/>
                <w:sz w:val="24"/>
                <w:vertAlign w:val="subscript"/>
              </w:rPr>
              <w:t>A</w:t>
            </w:r>
            <w:r>
              <w:rPr>
                <w:rFonts w:ascii="Times New Roman" w:hAnsi="Times New Roman"/>
                <w:sz w:val="24"/>
              </w:rPr>
              <w:t>, en cas de protection totale / partielle — même rang.</w:t>
            </w:r>
          </w:p>
          <w:p w:rsidR="00612780" w:rsidRPr="00392FFD" w:rsidRDefault="00612780" w:rsidP="00612780">
            <w:pPr>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b/>
                <w:sz w:val="24"/>
                <w:u w:val="single"/>
              </w:rPr>
            </w:pPr>
            <w:r>
              <w:rPr>
                <w:rFonts w:ascii="Times New Roman" w:hAnsi="Times New Roman"/>
                <w:sz w:val="24"/>
              </w:rPr>
              <w:t>Ces informations sont liées aux colonnes 040 et 050 du modèle CR IRB.</w:t>
            </w:r>
          </w:p>
          <w:p w:rsidR="00612780" w:rsidRPr="00392FFD" w:rsidRDefault="00612780" w:rsidP="00612780">
            <w:pPr>
              <w:spacing w:before="0" w:after="0"/>
              <w:rPr>
                <w:rFonts w:ascii="Times New Roman" w:hAnsi="Times New Roman"/>
                <w:b/>
                <w:sz w:val="24"/>
                <w:u w:val="single"/>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070</w:t>
            </w:r>
          </w:p>
        </w:tc>
        <w:tc>
          <w:tcPr>
            <w:tcW w:w="7903" w:type="dxa"/>
          </w:tcPr>
          <w:p w:rsidR="00612780" w:rsidRPr="00392FFD" w:rsidRDefault="00C57F07" w:rsidP="00612780">
            <w:pPr>
              <w:spacing w:before="0" w:after="0"/>
              <w:rPr>
                <w:rFonts w:ascii="Times New Roman" w:hAnsi="Times New Roman"/>
                <w:b/>
                <w:sz w:val="24"/>
                <w:u w:val="single"/>
              </w:rPr>
            </w:pPr>
            <w:r>
              <w:rPr>
                <w:rFonts w:ascii="Times New Roman" w:hAnsi="Times New Roman"/>
                <w:b/>
                <w:sz w:val="24"/>
                <w:u w:val="single"/>
              </w:rPr>
              <w:t>(-) PROTECTION DE CRÉDIT FINANCÉE</w:t>
            </w:r>
          </w:p>
          <w:p w:rsidR="00612780" w:rsidRPr="00392FFD" w:rsidRDefault="00612780" w:rsidP="00612780">
            <w:pPr>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Protection de crédit financée telle que définie à l’article 4, paragraphe 1, point </w:t>
            </w:r>
            <w:r>
              <w:rPr>
                <w:rFonts w:ascii="Times New Roman" w:hAnsi="Times New Roman"/>
                <w:sz w:val="24"/>
              </w:rPr>
              <w:lastRenderedPageBreak/>
              <w:t>58, du CRR.</w:t>
            </w:r>
          </w:p>
          <w:p w:rsidR="00612780" w:rsidRPr="00392FFD" w:rsidRDefault="00612780" w:rsidP="00612780">
            <w:pPr>
              <w:autoSpaceDE w:val="0"/>
              <w:autoSpaceDN w:val="0"/>
              <w:adjustRightInd w:val="0"/>
              <w:spacing w:before="0" w:after="0"/>
              <w:ind w:left="284" w:hanging="284"/>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Étant donné que la méthode simple fondée sur les sûretés financières n’est pas applicable, seule la protection de crédit financée, visée à l’article 200 du CRR, figurera dans cette colonne.</w:t>
            </w:r>
          </w:p>
          <w:p w:rsidR="00612780" w:rsidRPr="00392FFD" w:rsidRDefault="00612780" w:rsidP="00612780">
            <w:pPr>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Ces informations sont liées à la colonne 060 du modèle CR IRB.</w:t>
            </w:r>
          </w:p>
          <w:p w:rsidR="00612780" w:rsidRPr="00392FFD" w:rsidRDefault="00612780" w:rsidP="00612780">
            <w:pPr>
              <w:autoSpaceDE w:val="0"/>
              <w:autoSpaceDN w:val="0"/>
              <w:adjustRightInd w:val="0"/>
              <w:spacing w:before="0" w:after="0"/>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lastRenderedPageBreak/>
              <w:t>080-090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SUBSTITUTION DE L’EXPOSITION DUE À L’ARC:</w:t>
            </w:r>
          </w:p>
          <w:p w:rsidR="00612780" w:rsidRPr="00392FFD" w:rsidRDefault="00612780" w:rsidP="00612780">
            <w:pPr>
              <w:spacing w:before="0" w:after="0"/>
              <w:rPr>
                <w:rFonts w:ascii="Times New Roman" w:hAnsi="Times New Roman"/>
                <w:b/>
                <w:sz w:val="24"/>
                <w:u w:val="single"/>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Les entrées et sorties au sein de la même catégorie d’expositions et, le cas échéant, les pondérations de risque ou les échelons de débiteurs seront égal</w:t>
            </w:r>
            <w:r>
              <w:rPr>
                <w:rFonts w:ascii="Times New Roman" w:hAnsi="Times New Roman"/>
                <w:sz w:val="24"/>
              </w:rPr>
              <w:t>e</w:t>
            </w:r>
            <w:r>
              <w:rPr>
                <w:rFonts w:ascii="Times New Roman" w:hAnsi="Times New Roman"/>
                <w:sz w:val="24"/>
              </w:rPr>
              <w:t>ment déclarés.</w:t>
            </w:r>
          </w:p>
          <w:p w:rsidR="00612780" w:rsidRPr="00392FFD" w:rsidRDefault="00612780" w:rsidP="00612780">
            <w:pPr>
              <w:spacing w:before="0" w:after="0"/>
              <w:rPr>
                <w:rFonts w:ascii="Times New Roman" w:hAnsi="Times New Roman"/>
                <w:b/>
                <w:sz w:val="24"/>
                <w:u w:val="single"/>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080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 TOTAL SORTIES</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Article 236 du CRR. </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Les sorties correspondent à la partie couverte de l’«Exposition nette des corre</w:t>
            </w:r>
            <w:r>
              <w:rPr>
                <w:rFonts w:ascii="Times New Roman" w:hAnsi="Times New Roman"/>
                <w:sz w:val="24"/>
              </w:rPr>
              <w:t>c</w:t>
            </w:r>
            <w:r>
              <w:rPr>
                <w:rFonts w:ascii="Times New Roman" w:hAnsi="Times New Roman"/>
                <w:sz w:val="24"/>
              </w:rPr>
              <w:t>tions de valeur et des provisions» qui est déduite de la catégorie d’expositions du débiteur et, le cas échéant, de sa pondération de risque ou de son échelon de débiteur, puis réaffectée à la catégorie d’expositions du fournisseur de prote</w:t>
            </w:r>
            <w:r>
              <w:rPr>
                <w:rFonts w:ascii="Times New Roman" w:hAnsi="Times New Roman"/>
                <w:sz w:val="24"/>
              </w:rPr>
              <w:t>c</w:t>
            </w:r>
            <w:r>
              <w:rPr>
                <w:rFonts w:ascii="Times New Roman" w:hAnsi="Times New Roman"/>
                <w:sz w:val="24"/>
              </w:rPr>
              <w:t xml:space="preserve">tion et, le cas échéant, à sa pondération de risque ou à son échelon de débiteur. </w:t>
            </w: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 montant sera considéré comme une entrée dans la catégorie d’expositions du fournisseur de protection et, le cas échéant, dans ses pondérations de risque ou ses échelons de débiteurs.</w:t>
            </w: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Ces informations sont liées à la colonne 070 du modèle CR IRB.</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090</w:t>
            </w:r>
          </w:p>
        </w:tc>
        <w:tc>
          <w:tcPr>
            <w:tcW w:w="7903" w:type="dxa"/>
          </w:tcPr>
          <w:p w:rsidR="00612780" w:rsidRPr="00392FFD" w:rsidRDefault="00612780" w:rsidP="00612780">
            <w:pPr>
              <w:autoSpaceDE w:val="0"/>
              <w:autoSpaceDN w:val="0"/>
              <w:adjustRightInd w:val="0"/>
              <w:spacing w:before="0" w:after="0"/>
              <w:jc w:val="left"/>
              <w:rPr>
                <w:rStyle w:val="InstructionsTabelleberschrift"/>
                <w:rFonts w:ascii="Times New Roman" w:hAnsi="Times New Roman"/>
                <w:sz w:val="24"/>
              </w:rPr>
            </w:pPr>
            <w:r>
              <w:rPr>
                <w:rStyle w:val="InstructionsTabelleberschrift"/>
                <w:rFonts w:ascii="Times New Roman" w:hAnsi="Times New Roman"/>
                <w:sz w:val="24"/>
              </w:rPr>
              <w:t>TOTAL ENTRÉES</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Ces informations sont liées à la colonne 080 du modèle CR IRB. </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100</w:t>
            </w:r>
          </w:p>
        </w:tc>
        <w:tc>
          <w:tcPr>
            <w:tcW w:w="7903" w:type="dxa"/>
          </w:tcPr>
          <w:p w:rsidR="00612780" w:rsidRPr="00392FFD" w:rsidRDefault="00612780" w:rsidP="00612780">
            <w:pPr>
              <w:autoSpaceDE w:val="0"/>
              <w:autoSpaceDN w:val="0"/>
              <w:adjustRightInd w:val="0"/>
              <w:spacing w:before="0" w:after="0"/>
              <w:jc w:val="left"/>
              <w:rPr>
                <w:rStyle w:val="InstructionsTabelleberschrift"/>
                <w:rFonts w:ascii="Times New Roman" w:hAnsi="Times New Roman"/>
                <w:sz w:val="24"/>
              </w:rPr>
            </w:pPr>
            <w:r>
              <w:rPr>
                <w:rStyle w:val="InstructionsTabelleberschrift"/>
                <w:rFonts w:ascii="Times New Roman" w:hAnsi="Times New Roman"/>
                <w:sz w:val="24"/>
              </w:rPr>
              <w:t>EXPOSITION APRÈS EFFETS DE SUBSTITUTION ARC ET AVANT APPLICATION DES FACTEURS DE CONVERSION</w:t>
            </w:r>
          </w:p>
          <w:p w:rsidR="00612780" w:rsidRPr="00392FFD" w:rsidRDefault="00612780" w:rsidP="00612780">
            <w:pPr>
              <w:autoSpaceDE w:val="0"/>
              <w:autoSpaceDN w:val="0"/>
              <w:adjustRightInd w:val="0"/>
              <w:spacing w:before="0" w:after="0"/>
              <w:jc w:val="left"/>
              <w:rPr>
                <w:rStyle w:val="FormatvorlageInstructionsTabelleText"/>
                <w:rFonts w:ascii="Times New Roman" w:hAnsi="Times New Roman"/>
                <w:sz w:val="24"/>
              </w:rPr>
            </w:pPr>
          </w:p>
          <w:p w:rsidR="00612780" w:rsidRPr="00392FFD" w:rsidRDefault="00612780" w:rsidP="00612780">
            <w:pPr>
              <w:autoSpaceDE w:val="0"/>
              <w:autoSpaceDN w:val="0"/>
              <w:adjustRightInd w:val="0"/>
              <w:spacing w:before="0" w:after="0"/>
              <w:jc w:val="left"/>
              <w:rPr>
                <w:rStyle w:val="FormatvorlageInstructionsTabelleText"/>
                <w:rFonts w:ascii="Times New Roman" w:hAnsi="Times New Roman"/>
                <w:sz w:val="24"/>
              </w:rPr>
            </w:pPr>
            <w:r>
              <w:rPr>
                <w:rStyle w:val="FormatvorlageInstructionsTabelleText"/>
                <w:rFonts w:ascii="Times New Roman" w:hAnsi="Times New Roman"/>
                <w:sz w:val="24"/>
              </w:rPr>
              <w:t>Expositions affectées à la pondération de risque et à la catégorie d’expositions correspondantes, après prise en compte des sorties et des entrées dues aux «techniques d’ARC avec effets de substitution sur l’exposition».</w:t>
            </w:r>
          </w:p>
          <w:p w:rsidR="00612780" w:rsidRPr="00392FFD" w:rsidRDefault="00612780" w:rsidP="00612780">
            <w:pPr>
              <w:autoSpaceDE w:val="0"/>
              <w:autoSpaceDN w:val="0"/>
              <w:adjustRightInd w:val="0"/>
              <w:spacing w:before="0" w:after="0"/>
              <w:jc w:val="left"/>
              <w:rPr>
                <w:rStyle w:val="FormatvorlageInstructionsTabelleText"/>
                <w:rFonts w:ascii="Times New Roman" w:hAnsi="Times New Roman"/>
                <w:sz w:val="24"/>
              </w:rPr>
            </w:pPr>
          </w:p>
          <w:p w:rsidR="00612780" w:rsidRPr="00392FFD" w:rsidRDefault="00612780" w:rsidP="00612780">
            <w:pPr>
              <w:autoSpaceDE w:val="0"/>
              <w:autoSpaceDN w:val="0"/>
              <w:adjustRightInd w:val="0"/>
              <w:spacing w:before="0" w:after="0"/>
              <w:jc w:val="left"/>
              <w:rPr>
                <w:rStyle w:val="FormatvorlageInstructionsTabelleText"/>
                <w:rFonts w:ascii="Times New Roman" w:hAnsi="Times New Roman"/>
                <w:sz w:val="24"/>
              </w:rPr>
            </w:pPr>
            <w:r>
              <w:rPr>
                <w:rStyle w:val="FormatvorlageInstructionsTabelleText"/>
                <w:rFonts w:ascii="Times New Roman" w:hAnsi="Times New Roman"/>
                <w:sz w:val="24"/>
              </w:rPr>
              <w:t>Ces informations sont liées à la colonne 090 du modèle CR IRB.</w:t>
            </w:r>
          </w:p>
          <w:p w:rsidR="00612780" w:rsidRPr="00392FFD" w:rsidRDefault="00612780" w:rsidP="00612780">
            <w:pPr>
              <w:autoSpaceDE w:val="0"/>
              <w:autoSpaceDN w:val="0"/>
              <w:adjustRightInd w:val="0"/>
              <w:spacing w:before="0" w:after="0"/>
              <w:jc w:val="left"/>
              <w:rPr>
                <w:rStyle w:val="InstructionsTabelleberschrift"/>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110</w:t>
            </w:r>
          </w:p>
        </w:tc>
        <w:tc>
          <w:tcPr>
            <w:tcW w:w="7903" w:type="dxa"/>
          </w:tcPr>
          <w:p w:rsidR="00612780" w:rsidRPr="00392FFD" w:rsidRDefault="00612780" w:rsidP="00612780">
            <w:pPr>
              <w:autoSpaceDE w:val="0"/>
              <w:autoSpaceDN w:val="0"/>
              <w:adjustRightInd w:val="0"/>
              <w:spacing w:before="0" w:after="0"/>
              <w:jc w:val="left"/>
              <w:rPr>
                <w:rStyle w:val="InstructionsTabelleberschrift"/>
                <w:rFonts w:ascii="Times New Roman" w:hAnsi="Times New Roman"/>
                <w:sz w:val="24"/>
              </w:rPr>
            </w:pPr>
            <w:r>
              <w:rPr>
                <w:rStyle w:val="InstructionsTabelleberschrift"/>
                <w:rFonts w:ascii="Times New Roman" w:hAnsi="Times New Roman"/>
                <w:sz w:val="24"/>
              </w:rPr>
              <w:t>(-) TECHNIQUES D’ATTÉNUATION DU RISQUE DE CRÉDIT MOD</w:t>
            </w:r>
            <w:r>
              <w:rPr>
                <w:rStyle w:val="InstructionsTabelleberschrift"/>
                <w:rFonts w:ascii="Times New Roman" w:hAnsi="Times New Roman"/>
                <w:sz w:val="24"/>
              </w:rPr>
              <w:t>I</w:t>
            </w:r>
            <w:r>
              <w:rPr>
                <w:rStyle w:val="InstructionsTabelleberschrift"/>
                <w:rFonts w:ascii="Times New Roman" w:hAnsi="Times New Roman"/>
                <w:sz w:val="24"/>
              </w:rPr>
              <w:t>FIANT LE MONTANT DE L’EXPOSITION: VALEUR CORRIGÉE S</w:t>
            </w:r>
            <w:r>
              <w:rPr>
                <w:rStyle w:val="InstructionsTabelleberschrift"/>
                <w:rFonts w:ascii="Times New Roman" w:hAnsi="Times New Roman"/>
                <w:sz w:val="24"/>
              </w:rPr>
              <w:t>E</w:t>
            </w:r>
            <w:r>
              <w:rPr>
                <w:rStyle w:val="InstructionsTabelleberschrift"/>
                <w:rFonts w:ascii="Times New Roman" w:hAnsi="Times New Roman"/>
                <w:sz w:val="24"/>
              </w:rPr>
              <w:t>LON LA MÉTHODE GÉNÉRALE FONDÉE SUR LES SÛRETÉS F</w:t>
            </w:r>
            <w:r>
              <w:rPr>
                <w:rStyle w:val="InstructionsTabelleberschrift"/>
                <w:rFonts w:ascii="Times New Roman" w:hAnsi="Times New Roman"/>
                <w:sz w:val="24"/>
              </w:rPr>
              <w:t>I</w:t>
            </w:r>
            <w:r>
              <w:rPr>
                <w:rStyle w:val="InstructionsTabelleberschrift"/>
                <w:rFonts w:ascii="Times New Roman" w:hAnsi="Times New Roman"/>
                <w:sz w:val="24"/>
              </w:rPr>
              <w:t>NANCIÈRES POUR LA PROTECTION DE CRÉDIT FINANCÉE (CVAM)</w:t>
            </w:r>
          </w:p>
          <w:p w:rsidR="00612780" w:rsidRPr="00392FFD" w:rsidRDefault="00612780" w:rsidP="00612780">
            <w:pPr>
              <w:autoSpaceDE w:val="0"/>
              <w:autoSpaceDN w:val="0"/>
              <w:adjustRightInd w:val="0"/>
              <w:spacing w:before="0" w:after="0"/>
              <w:jc w:val="left"/>
              <w:rPr>
                <w:rStyle w:val="FormatvorlageInstructionsTabelleText"/>
                <w:rFonts w:ascii="Times New Roman" w:hAnsi="Times New Roman"/>
                <w:sz w:val="24"/>
              </w:rPr>
            </w:pPr>
          </w:p>
          <w:p w:rsidR="00612780" w:rsidRPr="00392FFD" w:rsidRDefault="00612780" w:rsidP="00612780">
            <w:pPr>
              <w:autoSpaceDE w:val="0"/>
              <w:autoSpaceDN w:val="0"/>
              <w:adjustRightInd w:val="0"/>
              <w:spacing w:before="0" w:after="0"/>
              <w:jc w:val="left"/>
              <w:rPr>
                <w:rStyle w:val="InstructionsTabelleberschrift"/>
                <w:rFonts w:ascii="Times New Roman" w:hAnsi="Times New Roman"/>
                <w:sz w:val="24"/>
              </w:rPr>
            </w:pPr>
            <w:r>
              <w:rPr>
                <w:rStyle w:val="FormatvorlageInstructionsTabelleText"/>
                <w:rFonts w:ascii="Times New Roman" w:hAnsi="Times New Roman"/>
                <w:sz w:val="24"/>
              </w:rPr>
              <w:t>Articles 218 à 222 du CRR. Les titres liés à un crédit sont également inclus dans ce poste (article 218 du CRR).</w:t>
            </w: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120</w:t>
            </w:r>
          </w:p>
        </w:tc>
        <w:tc>
          <w:tcPr>
            <w:tcW w:w="7903" w:type="dxa"/>
          </w:tcPr>
          <w:p w:rsidR="00612780" w:rsidRPr="00392FFD" w:rsidRDefault="00612780" w:rsidP="00612780">
            <w:pPr>
              <w:spacing w:before="0" w:after="0"/>
              <w:rPr>
                <w:rFonts w:ascii="Times New Roman" w:hAnsi="Times New Roman"/>
                <w:b/>
                <w:sz w:val="24"/>
                <w:u w:val="single"/>
              </w:rPr>
            </w:pPr>
            <w:r>
              <w:rPr>
                <w:rFonts w:ascii="Times New Roman" w:hAnsi="Times New Roman"/>
                <w:b/>
                <w:sz w:val="24"/>
                <w:u w:val="single"/>
              </w:rPr>
              <w:t>VALEUR EXPOSÉE AU RISQUE PLEINEMENT AJUSTÉE (E*)</w:t>
            </w:r>
          </w:p>
          <w:p w:rsidR="00612780" w:rsidRPr="00392FFD" w:rsidRDefault="00612780" w:rsidP="00612780">
            <w:pPr>
              <w:pStyle w:val="Heading1"/>
              <w:rPr>
                <w:rFonts w:ascii="Times New Roman" w:eastAsia="Times New Roman" w:hAnsi="Times New Roman"/>
                <w:sz w:val="24"/>
                <w:szCs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Positions de titrisation conformément à l'article 246 du CRR, c'est-à-dire sans application des facteurs de conversion visés à l'article 246, paragraphe 1, point c), du CRR.</w:t>
            </w:r>
          </w:p>
          <w:p w:rsidR="00612780" w:rsidRPr="00392FFD" w:rsidRDefault="00612780" w:rsidP="00612780">
            <w:pPr>
              <w:autoSpaceDE w:val="0"/>
              <w:autoSpaceDN w:val="0"/>
              <w:adjustRightInd w:val="0"/>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lastRenderedPageBreak/>
              <w:t>130-160</w:t>
            </w:r>
          </w:p>
        </w:tc>
        <w:tc>
          <w:tcPr>
            <w:tcW w:w="7903" w:type="dxa"/>
          </w:tcPr>
          <w:p w:rsidR="00612780" w:rsidRPr="00392FFD" w:rsidRDefault="00612780" w:rsidP="00612780">
            <w:pPr>
              <w:spacing w:before="0" w:after="0"/>
              <w:rPr>
                <w:rFonts w:ascii="Times New Roman" w:hAnsi="Times New Roman"/>
                <w:b/>
                <w:sz w:val="24"/>
                <w:u w:val="single"/>
              </w:rPr>
            </w:pPr>
            <w:r>
              <w:rPr>
                <w:rFonts w:ascii="Times New Roman" w:hAnsi="Times New Roman"/>
                <w:b/>
                <w:sz w:val="24"/>
                <w:u w:val="single"/>
              </w:rPr>
              <w:t>RÉPARTITION DE LA VALEUR EXPOSÉE AU RISQUE PLEIN</w:t>
            </w:r>
            <w:r>
              <w:rPr>
                <w:rFonts w:ascii="Times New Roman" w:hAnsi="Times New Roman"/>
                <w:b/>
                <w:sz w:val="24"/>
                <w:u w:val="single"/>
              </w:rPr>
              <w:t>E</w:t>
            </w:r>
            <w:r>
              <w:rPr>
                <w:rFonts w:ascii="Times New Roman" w:hAnsi="Times New Roman"/>
                <w:b/>
                <w:sz w:val="24"/>
                <w:u w:val="single"/>
              </w:rPr>
              <w:t>MENT AJUSTÉE (E*) DES ÉLÉMENTS DE HORS BILAN PAR FA</w:t>
            </w:r>
            <w:r>
              <w:rPr>
                <w:rFonts w:ascii="Times New Roman" w:hAnsi="Times New Roman"/>
                <w:b/>
                <w:sz w:val="24"/>
                <w:u w:val="single"/>
              </w:rPr>
              <w:t>C</w:t>
            </w:r>
            <w:r>
              <w:rPr>
                <w:rFonts w:ascii="Times New Roman" w:hAnsi="Times New Roman"/>
                <w:b/>
                <w:sz w:val="24"/>
                <w:u w:val="single"/>
              </w:rPr>
              <w:t>TEUR DE CONVERSION</w:t>
            </w:r>
          </w:p>
          <w:p w:rsidR="00612780" w:rsidRPr="00392FFD" w:rsidRDefault="00612780" w:rsidP="00612780">
            <w:pPr>
              <w:spacing w:before="0" w:after="0"/>
              <w:rPr>
                <w:rFonts w:ascii="Times New Roman" w:hAnsi="Times New Roman"/>
                <w:b/>
                <w:sz w:val="24"/>
                <w:u w:val="single"/>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L’article 246, paragraphe 1, point c), du CRR dispose que la valeur exposée au risque d’une position de titrisation hors bilan sera sa valeur nominale multipliée par un facteur de conversion. Sauf mention contraire dans le CRR, ce facteur de conversion s’élèvera à 100 %.</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À cet égard, l’article 4, paragraphe 1, point 56, du CRR définit le facteur de conversion.</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Aux fins de la déclaration, les valeurs exposées au risque pleinement ajustées (E*) seront déclarées selon les quatre intervalles de facteurs de conversion su</w:t>
            </w:r>
            <w:r>
              <w:rPr>
                <w:rFonts w:ascii="Times New Roman" w:hAnsi="Times New Roman"/>
                <w:sz w:val="24"/>
              </w:rPr>
              <w:t>i</w:t>
            </w:r>
            <w:r>
              <w:rPr>
                <w:rFonts w:ascii="Times New Roman" w:hAnsi="Times New Roman"/>
                <w:sz w:val="24"/>
              </w:rPr>
              <w:t>vants, lesquels s’excluent mutuellement: 0 %, (0 %, 20 %], (20 %, 50 %] et (50 %, 100 %].</w:t>
            </w:r>
          </w:p>
          <w:p w:rsidR="00612780" w:rsidRPr="00392FFD" w:rsidRDefault="00612780" w:rsidP="00612780">
            <w:pPr>
              <w:spacing w:before="0" w:after="0"/>
              <w:rPr>
                <w:rFonts w:ascii="Times New Roman" w:hAnsi="Times New Roman"/>
                <w:b/>
                <w:sz w:val="24"/>
                <w:u w:val="single"/>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170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VALEUR EXPOSÉE AU RISQUE</w:t>
            </w:r>
          </w:p>
          <w:p w:rsidR="00612780" w:rsidRPr="00392FFD" w:rsidRDefault="00612780" w:rsidP="00612780">
            <w:pPr>
              <w:spacing w:before="0" w:after="0"/>
              <w:jc w:val="left"/>
              <w:rPr>
                <w:rFonts w:ascii="Times New Roman" w:hAnsi="Times New Roman"/>
                <w:b/>
                <w:sz w:val="24"/>
                <w:u w:val="single"/>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Positions de titrisation conformément à l’article 246 du CRR.</w:t>
            </w: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Ces informations sont liées à la colonne 110 du modèle CR IRB. </w:t>
            </w:r>
          </w:p>
          <w:p w:rsidR="00612780" w:rsidRPr="00392FFD" w:rsidRDefault="00612780" w:rsidP="00612780">
            <w:pPr>
              <w:spacing w:before="0" w:after="0"/>
              <w:jc w:val="left"/>
              <w:rPr>
                <w:rFonts w:ascii="Times New Roman" w:hAnsi="Times New Roman"/>
                <w:b/>
                <w:sz w:val="24"/>
                <w:u w:val="single"/>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180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 VALEUR EXPOSÉE DÉDUITE DES FONDS PROPRES</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L’article 266, paragraphe 3, du CRR prévoit que, lorsqu’une position de titris</w:t>
            </w:r>
            <w:r>
              <w:rPr>
                <w:rFonts w:ascii="Times New Roman" w:hAnsi="Times New Roman"/>
                <w:sz w:val="24"/>
              </w:rPr>
              <w:t>a</w:t>
            </w:r>
            <w:r>
              <w:rPr>
                <w:rFonts w:ascii="Times New Roman" w:hAnsi="Times New Roman"/>
                <w:sz w:val="24"/>
              </w:rPr>
              <w:t>tion appelle une pondération de risque de 1250 %, l’établissement peut, au lieu d’inclure cette position dans le calcul des montants d’exposition pondérés, d</w:t>
            </w:r>
            <w:r>
              <w:rPr>
                <w:rFonts w:ascii="Times New Roman" w:hAnsi="Times New Roman"/>
                <w:sz w:val="24"/>
              </w:rPr>
              <w:t>é</w:t>
            </w:r>
            <w:r>
              <w:rPr>
                <w:rFonts w:ascii="Times New Roman" w:hAnsi="Times New Roman"/>
                <w:sz w:val="24"/>
              </w:rPr>
              <w:t>duire de ses fonds propres la valeur exposée au risque de cette position.</w:t>
            </w:r>
          </w:p>
          <w:p w:rsidR="00612780" w:rsidRPr="00392FFD" w:rsidRDefault="00612780" w:rsidP="00612780">
            <w:pPr>
              <w:autoSpaceDE w:val="0"/>
              <w:autoSpaceDN w:val="0"/>
              <w:adjustRightInd w:val="0"/>
              <w:spacing w:before="0" w:after="0"/>
              <w:ind w:left="284" w:hanging="284"/>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190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VALEUR EXPOSÉE FAISANT L’OBJET DE PONDÉRATIONS</w:t>
            </w:r>
          </w:p>
          <w:p w:rsidR="00612780" w:rsidRPr="00392FFD" w:rsidRDefault="00612780" w:rsidP="00612780">
            <w:pPr>
              <w:pStyle w:val="Heading1"/>
              <w:rPr>
                <w:rFonts w:ascii="Times New Roman" w:eastAsia="Times New Roman" w:hAnsi="Times New Roman"/>
                <w:sz w:val="24"/>
                <w:szCs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200-320</w:t>
            </w:r>
          </w:p>
        </w:tc>
        <w:tc>
          <w:tcPr>
            <w:tcW w:w="7903" w:type="dxa"/>
          </w:tcPr>
          <w:p w:rsidR="00612780" w:rsidRPr="00392FFD" w:rsidRDefault="00612780" w:rsidP="00612780">
            <w:pPr>
              <w:spacing w:before="0" w:after="0"/>
              <w:rPr>
                <w:rFonts w:ascii="Times New Roman" w:hAnsi="Times New Roman"/>
                <w:b/>
                <w:sz w:val="24"/>
                <w:u w:val="single"/>
              </w:rPr>
            </w:pPr>
            <w:r>
              <w:rPr>
                <w:rFonts w:ascii="Times New Roman" w:hAnsi="Times New Roman"/>
                <w:b/>
                <w:sz w:val="24"/>
                <w:u w:val="single"/>
              </w:rPr>
              <w:t>MÉTHODE FONDÉE SUR LES NOTATIONS (ÉCHELONS DE QU</w:t>
            </w:r>
            <w:r>
              <w:rPr>
                <w:rFonts w:ascii="Times New Roman" w:hAnsi="Times New Roman"/>
                <w:b/>
                <w:sz w:val="24"/>
                <w:u w:val="single"/>
              </w:rPr>
              <w:t>A</w:t>
            </w:r>
            <w:r>
              <w:rPr>
                <w:rFonts w:ascii="Times New Roman" w:hAnsi="Times New Roman"/>
                <w:b/>
                <w:sz w:val="24"/>
                <w:u w:val="single"/>
              </w:rPr>
              <w:t>LITÉ DE CRÉDIT -EQC)</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Article 261 du CRR.</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Les positions de titrisation selon l’approche NI, qui recourent à une notation i</w:t>
            </w:r>
            <w:r>
              <w:rPr>
                <w:rFonts w:ascii="Times New Roman" w:hAnsi="Times New Roman"/>
                <w:sz w:val="24"/>
              </w:rPr>
              <w:t>n</w:t>
            </w:r>
            <w:r>
              <w:rPr>
                <w:rFonts w:ascii="Times New Roman" w:hAnsi="Times New Roman"/>
                <w:sz w:val="24"/>
              </w:rPr>
              <w:t>férée conformément à l’article 259, paragraphe 2, du CRR, seront déclarées en tant que positions notées.</w:t>
            </w:r>
          </w:p>
          <w:p w:rsidR="00612780" w:rsidRPr="00392FFD" w:rsidRDefault="00612780" w:rsidP="00612780">
            <w:pPr>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Les valeurs exposées au risque soumises à des pondérations de risque sont ve</w:t>
            </w:r>
            <w:r>
              <w:rPr>
                <w:rFonts w:ascii="Times New Roman" w:hAnsi="Times New Roman"/>
                <w:sz w:val="24"/>
              </w:rPr>
              <w:t>n</w:t>
            </w:r>
            <w:r>
              <w:rPr>
                <w:rFonts w:ascii="Times New Roman" w:hAnsi="Times New Roman"/>
                <w:sz w:val="24"/>
              </w:rPr>
              <w:t xml:space="preserve">tilées en fonction de leur échelon de qualité de crédit (EQC), comme prévu pour l’approche NI à l’article 261, paragraphe 1, tableau 4 du CRR. </w:t>
            </w:r>
          </w:p>
          <w:p w:rsidR="00612780" w:rsidRPr="00392FFD" w:rsidRDefault="00612780" w:rsidP="00612780">
            <w:pPr>
              <w:pStyle w:val="Heading1"/>
              <w:rPr>
                <w:rFonts w:ascii="Times New Roman" w:eastAsia="Times New Roman" w:hAnsi="Times New Roman"/>
                <w:sz w:val="24"/>
                <w:szCs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330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MÉTHODE DE LA FORMULE PRUDENTIELLE</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 xml:space="preserve">Pour la méthode de la formule prudentielle, consultez l’article 262 du CRR. </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 xml:space="preserve">La pondération de risque pour une position de titrisation sera égale à 7 % ou à la pondération de risque à appliquer conformément aux formules fournies si celle-ci est supérieure à 7 %. </w:t>
            </w:r>
          </w:p>
          <w:p w:rsidR="00612780" w:rsidRPr="00392FFD" w:rsidRDefault="00612780" w:rsidP="00612780">
            <w:pPr>
              <w:pStyle w:val="Heading1"/>
              <w:rPr>
                <w:rFonts w:ascii="Times New Roman" w:eastAsia="Times New Roman" w:hAnsi="Times New Roman"/>
                <w:sz w:val="24"/>
                <w:szCs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lastRenderedPageBreak/>
              <w:t>340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MÉTHODE DE LA FORMULE PRUDENTIELLE: PONDÉRATION MOYENNE (%)</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L’atténuation du risque de crédit sur des positions de titrisation peut être com</w:t>
            </w:r>
            <w:r>
              <w:rPr>
                <w:rFonts w:ascii="Times New Roman" w:hAnsi="Times New Roman"/>
                <w:sz w:val="24"/>
              </w:rPr>
              <w:t>p</w:t>
            </w:r>
            <w:r>
              <w:rPr>
                <w:rFonts w:ascii="Times New Roman" w:hAnsi="Times New Roman"/>
                <w:sz w:val="24"/>
              </w:rPr>
              <w:t>tabilisée conformément à l’article 264 du CRR. Dans ce cas, l'établissement i</w:t>
            </w:r>
            <w:r>
              <w:rPr>
                <w:rFonts w:ascii="Times New Roman" w:hAnsi="Times New Roman"/>
                <w:sz w:val="24"/>
              </w:rPr>
              <w:t>n</w:t>
            </w:r>
            <w:r>
              <w:rPr>
                <w:rFonts w:ascii="Times New Roman" w:hAnsi="Times New Roman"/>
                <w:sz w:val="24"/>
              </w:rPr>
              <w:t>dique la «pondération de risque effective» de la position qui bénéficie d'une protection totale conformément aux dispositions de l'article 264, paragraphe 2, du CRR (la pondération de risque effective correspond au montant d'exposition pondéré de la position divisé par la valeur exposée au risque de la position, et multiplié par 100).</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Lorsque la position bénéficie d’une protection partielle, l’établissement doit appliquer la méthode de la formule prudentielle avec une valeur «T» corrigée conformément aux dispositions de l’article 264, paragraphe 3, du CRR.</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La moyenne pondérée des pondérations de risque sera déclarée dans cette c</w:t>
            </w:r>
            <w:r>
              <w:rPr>
                <w:rFonts w:ascii="Times New Roman" w:hAnsi="Times New Roman"/>
                <w:sz w:val="24"/>
              </w:rPr>
              <w:t>o</w:t>
            </w:r>
            <w:r>
              <w:rPr>
                <w:rFonts w:ascii="Times New Roman" w:hAnsi="Times New Roman"/>
                <w:sz w:val="24"/>
              </w:rPr>
              <w:t>lonne.</w:t>
            </w:r>
          </w:p>
          <w:p w:rsidR="00612780" w:rsidRPr="00392FFD" w:rsidRDefault="00612780" w:rsidP="00612780">
            <w:pPr>
              <w:autoSpaceDE w:val="0"/>
              <w:autoSpaceDN w:val="0"/>
              <w:adjustRightInd w:val="0"/>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350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APPROCHE PAR TRANSPARENCE</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Les colonnes consacrées à la méthode par transparence rassemblent tous les cas d’expositions non notées pour lesquelles la pondération de risque est obt</w:t>
            </w:r>
            <w:r>
              <w:rPr>
                <w:rFonts w:ascii="Times New Roman" w:hAnsi="Times New Roman"/>
                <w:sz w:val="24"/>
              </w:rPr>
              <w:t>e</w:t>
            </w:r>
            <w:r>
              <w:rPr>
                <w:rFonts w:ascii="Times New Roman" w:hAnsi="Times New Roman"/>
                <w:sz w:val="24"/>
              </w:rPr>
              <w:t>nue à partir du portefeuille d’expositions sous-jacent (pondération maximale du p</w:t>
            </w:r>
            <w:r>
              <w:rPr>
                <w:rFonts w:ascii="Times New Roman" w:hAnsi="Times New Roman"/>
                <w:sz w:val="24"/>
              </w:rPr>
              <w:t>a</w:t>
            </w:r>
            <w:r>
              <w:rPr>
                <w:rFonts w:ascii="Times New Roman" w:hAnsi="Times New Roman"/>
                <w:sz w:val="24"/>
              </w:rPr>
              <w:t>nier).</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L’article 263, paragraphes 2 et 3, du CRR prévoit un traitement exceptionnel lorsque K</w:t>
            </w:r>
            <w:r>
              <w:rPr>
                <w:rFonts w:ascii="Times New Roman" w:hAnsi="Times New Roman"/>
                <w:sz w:val="24"/>
                <w:vertAlign w:val="subscript"/>
              </w:rPr>
              <w:t>irb</w:t>
            </w:r>
            <w:r>
              <w:rPr>
                <w:rFonts w:ascii="Times New Roman" w:hAnsi="Times New Roman"/>
                <w:sz w:val="24"/>
              </w:rPr>
              <w:t xml:space="preserve"> ne peut être calculé.</w:t>
            </w:r>
          </w:p>
          <w:p w:rsidR="00612780" w:rsidRPr="00392FFD" w:rsidRDefault="00612780" w:rsidP="00612780">
            <w:pPr>
              <w:spacing w:before="0" w:after="0"/>
              <w:rPr>
                <w:rFonts w:ascii="Times New Roman" w:hAnsi="Times New Roman"/>
                <w:i/>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Le montant non tiré des facilités de trésorerie sera déclaré sous «Éléments hors bilan et dérivés».</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Dès lors qu’un initiateur relève du traitement exceptionnel lorsque K</w:t>
            </w:r>
            <w:r>
              <w:rPr>
                <w:rFonts w:ascii="Times New Roman" w:hAnsi="Times New Roman"/>
                <w:sz w:val="24"/>
                <w:vertAlign w:val="subscript"/>
              </w:rPr>
              <w:t>irb</w:t>
            </w:r>
            <w:r>
              <w:rPr>
                <w:rFonts w:ascii="Times New Roman" w:hAnsi="Times New Roman"/>
                <w:sz w:val="24"/>
              </w:rPr>
              <w:t xml:space="preserve"> ne peut être calculé, la colonne 350 est alors la colonne à utiliser pour déclarer le tra</w:t>
            </w:r>
            <w:r>
              <w:rPr>
                <w:rFonts w:ascii="Times New Roman" w:hAnsi="Times New Roman"/>
                <w:sz w:val="24"/>
              </w:rPr>
              <w:t>i</w:t>
            </w:r>
            <w:r>
              <w:rPr>
                <w:rFonts w:ascii="Times New Roman" w:hAnsi="Times New Roman"/>
                <w:sz w:val="24"/>
              </w:rPr>
              <w:t>tement de pondération appliqué à la valeur exposée au risque d’une facilité de trésorerie soumise au traitement visé à l’article 263 du CRR.</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Pour le remboursement anticipé, voir l’article 256, paragraphe 5, et l’article 265 du CRR.</w:t>
            </w:r>
          </w:p>
          <w:p w:rsidR="00612780" w:rsidRPr="00392FFD" w:rsidRDefault="00612780" w:rsidP="00612780">
            <w:pPr>
              <w:autoSpaceDE w:val="0"/>
              <w:autoSpaceDN w:val="0"/>
              <w:adjustRightInd w:val="0"/>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360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APPROCHE PAR TRANSPARENCE: PONDÉRATION MOYENNE (%)</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jc w:val="left"/>
              <w:rPr>
                <w:rFonts w:ascii="Times New Roman" w:hAnsi="Times New Roman"/>
                <w:sz w:val="24"/>
              </w:rPr>
            </w:pPr>
            <w:r>
              <w:rPr>
                <w:rFonts w:ascii="Times New Roman" w:hAnsi="Times New Roman"/>
                <w:sz w:val="24"/>
              </w:rPr>
              <w:t>La moyenne, pondérée en fonction de la valeur exposée au risque, des pondér</w:t>
            </w:r>
            <w:r>
              <w:rPr>
                <w:rFonts w:ascii="Times New Roman" w:hAnsi="Times New Roman"/>
                <w:sz w:val="24"/>
              </w:rPr>
              <w:t>a</w:t>
            </w:r>
            <w:r>
              <w:rPr>
                <w:rFonts w:ascii="Times New Roman" w:hAnsi="Times New Roman"/>
                <w:sz w:val="24"/>
              </w:rPr>
              <w:t>tions de risque sera déclarée.</w:t>
            </w:r>
          </w:p>
          <w:p w:rsidR="00612780" w:rsidRPr="00392FFD" w:rsidRDefault="00612780" w:rsidP="00612780">
            <w:pPr>
              <w:spacing w:before="0" w:after="0"/>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lastRenderedPageBreak/>
              <w:t>370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APPROCHE PAR ÉVALUATION INTERNE</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L’article 259, paragraphes 3 et 4, du CRR prévoit une «approche par évaluation interne» pour les positions de programmes ABCP.</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380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APPROCHE PAR ÉVALUATION INTERNE: PONDÉRATION MOYENNE (%)</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jc w:val="left"/>
              <w:rPr>
                <w:rFonts w:ascii="Times New Roman" w:hAnsi="Times New Roman"/>
                <w:sz w:val="24"/>
              </w:rPr>
            </w:pPr>
            <w:r>
              <w:rPr>
                <w:rFonts w:ascii="Times New Roman" w:hAnsi="Times New Roman"/>
                <w:sz w:val="24"/>
              </w:rPr>
              <w:t>La moyenne pondérée des pondérations de risque sera déclarée dans cette c</w:t>
            </w:r>
            <w:r>
              <w:rPr>
                <w:rFonts w:ascii="Times New Roman" w:hAnsi="Times New Roman"/>
                <w:sz w:val="24"/>
              </w:rPr>
              <w:t>o</w:t>
            </w:r>
            <w:r>
              <w:rPr>
                <w:rFonts w:ascii="Times New Roman" w:hAnsi="Times New Roman"/>
                <w:sz w:val="24"/>
              </w:rPr>
              <w:t>lonne.</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390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 xml:space="preserve">(-) RÉDUCTION DU MONTANT D’EXPOSITION PONDÉRÉ SUITE À DES CORRECTIONS DE VALEUR ET PROVISIONS </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Les établissements qui recourent à l’approche NI observent les dispositions de l’article 266, paragraphe 1 (applicables uniquement pour les initiateurs, lorsque l’exposition n’a pas été déduite des fonds propres) et paragraphe 2 du CRR.</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Corrections de valeur et provisions (article 159 du CRR) pour pertes de crédit, effectuées conformément au référentiel comptable appliqué par l’établissement déclarant. Les corrections de valeur comprennent tout montant comptabilisé dans le compte de correction au titre de pertes de crédit sur des actifs financiers depuis leur première comptabilisation au bilan (y compris les pertes dues au risque de crédit d’actifs financiers mesurés à leur juste valeur, et qui ne seront pas déduites de la valeur exposée au risque), plus les décotes sur les expositions acquises alors qu’elles étaient en défaut, conformément à l’article 166, par</w:t>
            </w:r>
            <w:r>
              <w:rPr>
                <w:rFonts w:ascii="Times New Roman" w:hAnsi="Times New Roman"/>
                <w:sz w:val="24"/>
              </w:rPr>
              <w:t>a</w:t>
            </w:r>
            <w:r>
              <w:rPr>
                <w:rFonts w:ascii="Times New Roman" w:hAnsi="Times New Roman"/>
                <w:sz w:val="24"/>
              </w:rPr>
              <w:t>graphe 1, du CRR. Les provisions comprennent les montants accumulés de pertes de crédit sur des éléments hors bilan.</w:t>
            </w:r>
          </w:p>
          <w:p w:rsidR="00612780" w:rsidRPr="00392FFD" w:rsidRDefault="00612780" w:rsidP="00612780">
            <w:pPr>
              <w:autoSpaceDE w:val="0"/>
              <w:autoSpaceDN w:val="0"/>
              <w:adjustRightInd w:val="0"/>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400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MONTANT D’EXPOSITION PONDÉRÉ</w:t>
            </w:r>
          </w:p>
          <w:p w:rsidR="00612780" w:rsidRPr="00392FFD" w:rsidRDefault="00612780" w:rsidP="00612780">
            <w:pPr>
              <w:spacing w:before="0" w:after="0"/>
              <w:jc w:val="left"/>
              <w:rPr>
                <w:rFonts w:ascii="Times New Roman" w:hAnsi="Times New Roman"/>
                <w:sz w:val="24"/>
              </w:rPr>
            </w:pPr>
          </w:p>
          <w:p w:rsidR="00612780" w:rsidRPr="00392FFD" w:rsidRDefault="0036415F" w:rsidP="00612780">
            <w:pPr>
              <w:spacing w:before="0" w:after="0"/>
              <w:rPr>
                <w:rFonts w:ascii="Times New Roman" w:hAnsi="Times New Roman"/>
                <w:sz w:val="24"/>
              </w:rPr>
            </w:pPr>
            <w:r>
              <w:rPr>
                <w:rFonts w:ascii="Times New Roman" w:hAnsi="Times New Roman"/>
                <w:sz w:val="24"/>
              </w:rPr>
              <w:t>Montant total d’exposition pondéré, calculé selon les dispositions de la tro</w:t>
            </w:r>
            <w:r>
              <w:rPr>
                <w:rFonts w:ascii="Times New Roman" w:hAnsi="Times New Roman"/>
                <w:sz w:val="24"/>
              </w:rPr>
              <w:t>i</w:t>
            </w:r>
            <w:r>
              <w:rPr>
                <w:rFonts w:ascii="Times New Roman" w:hAnsi="Times New Roman"/>
                <w:sz w:val="24"/>
              </w:rPr>
              <w:t>sième partie, titre II, chapitre 5, section 3 du CRR, avant ajustements en raison d’asymétries d’échéances ou de non-respect des mesures de diligence appr</w:t>
            </w:r>
            <w:r>
              <w:rPr>
                <w:rFonts w:ascii="Times New Roman" w:hAnsi="Times New Roman"/>
                <w:sz w:val="24"/>
              </w:rPr>
              <w:t>o</w:t>
            </w:r>
            <w:r>
              <w:rPr>
                <w:rFonts w:ascii="Times New Roman" w:hAnsi="Times New Roman"/>
                <w:sz w:val="24"/>
              </w:rPr>
              <w:t xml:space="preserve">priée, et à l’exception de tout montant d’exposition pondéré correspondant aux expositions redistribuées dans un autre modèle au moyen des sorties. </w:t>
            </w:r>
          </w:p>
          <w:p w:rsidR="00612780" w:rsidRPr="00392FFD" w:rsidRDefault="00612780" w:rsidP="00612780">
            <w:pPr>
              <w:spacing w:before="0" w:after="0"/>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410</w:t>
            </w:r>
          </w:p>
        </w:tc>
        <w:tc>
          <w:tcPr>
            <w:tcW w:w="7903" w:type="dxa"/>
          </w:tcPr>
          <w:p w:rsidR="00612780" w:rsidRPr="00392FFD" w:rsidRDefault="00612780" w:rsidP="00612780">
            <w:pPr>
              <w:spacing w:before="0" w:after="0"/>
              <w:rPr>
                <w:rFonts w:ascii="Times New Roman" w:hAnsi="Times New Roman"/>
                <w:b/>
                <w:sz w:val="24"/>
                <w:u w:val="single"/>
              </w:rPr>
            </w:pPr>
            <w:r>
              <w:rPr>
                <w:rFonts w:ascii="Times New Roman" w:hAnsi="Times New Roman"/>
                <w:b/>
                <w:sz w:val="24"/>
                <w:u w:val="single"/>
              </w:rPr>
              <w:t>MONTANT D’EXPOSITION PONDÉRÉ DONT: TITRISATIONS SY</w:t>
            </w:r>
            <w:r>
              <w:rPr>
                <w:rFonts w:ascii="Times New Roman" w:hAnsi="Times New Roman"/>
                <w:b/>
                <w:sz w:val="24"/>
                <w:u w:val="single"/>
              </w:rPr>
              <w:t>N</w:t>
            </w:r>
            <w:r>
              <w:rPr>
                <w:rFonts w:ascii="Times New Roman" w:hAnsi="Times New Roman"/>
                <w:b/>
                <w:sz w:val="24"/>
                <w:u w:val="single"/>
              </w:rPr>
              <w:t>THÉTIQUES</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Pour les titrisations synthétiques présentant une asymétrie d’échéances, le mo</w:t>
            </w:r>
            <w:r>
              <w:rPr>
                <w:rFonts w:ascii="Times New Roman" w:hAnsi="Times New Roman"/>
                <w:sz w:val="24"/>
              </w:rPr>
              <w:t>n</w:t>
            </w:r>
            <w:r>
              <w:rPr>
                <w:rFonts w:ascii="Times New Roman" w:hAnsi="Times New Roman"/>
                <w:sz w:val="24"/>
              </w:rPr>
              <w:t>tant à déclarer dans cette colonne ne tiendra pas compte d’une quelconque asymétrie d’échéances.</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420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EFFET GLOBAL (AJUSTEMENT) LIÉ AU MANQUEMENT AUX DI</w:t>
            </w:r>
            <w:r>
              <w:rPr>
                <w:rFonts w:ascii="Times New Roman" w:hAnsi="Times New Roman"/>
                <w:b/>
                <w:sz w:val="24"/>
                <w:u w:val="single"/>
              </w:rPr>
              <w:t>S</w:t>
            </w:r>
            <w:r>
              <w:rPr>
                <w:rFonts w:ascii="Times New Roman" w:hAnsi="Times New Roman"/>
                <w:b/>
                <w:sz w:val="24"/>
                <w:u w:val="single"/>
              </w:rPr>
              <w:t>POSITIONS EN MATIÈRE DE DILIGENCE APPROPRIÉE</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 xml:space="preserve">L’article 14, paragraphe 2, l’article 406, paragraphe 2, et l’article 407 du CRR prévoient que lorsqu’un établissement manque à certaines exigences, l’État </w:t>
            </w:r>
            <w:r>
              <w:rPr>
                <w:rFonts w:ascii="Times New Roman" w:hAnsi="Times New Roman"/>
                <w:sz w:val="24"/>
              </w:rPr>
              <w:lastRenderedPageBreak/>
              <w:t>membre veille à ce que les autorités compétentes imposent une pondération de risque supplémentaire proportionnée, qui ne peut être inférieure à 250 % de la pondération de risque (plafonnée à 1250 %) qui s’appliquerait aux positions de titrisation concernées en vertu de la troisième partie, titre II, chapitre 5, section 3 du CRR.</w:t>
            </w:r>
          </w:p>
          <w:p w:rsidR="00612780" w:rsidRPr="00392FFD" w:rsidRDefault="00612780" w:rsidP="00612780">
            <w:pPr>
              <w:spacing w:before="0" w:after="0"/>
              <w:rPr>
                <w:rFonts w:ascii="Times New Roman" w:hAnsi="Times New Roman"/>
                <w:b/>
                <w:sz w:val="24"/>
                <w:u w:val="single"/>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lastRenderedPageBreak/>
              <w:t>430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AJUSTEMENT DU MONTANT D’EXPOSITION PONDÉRÉ DU FAIT D’UNE ASYMÉTRIE D’ÉCHÉANCES</w:t>
            </w:r>
          </w:p>
          <w:p w:rsidR="00612780" w:rsidRPr="00392FFD" w:rsidRDefault="00612780" w:rsidP="00612780">
            <w:pPr>
              <w:spacing w:before="0" w:after="0"/>
              <w:jc w:val="left"/>
              <w:rPr>
                <w:rFonts w:ascii="Times New Roman" w:hAnsi="Times New Roman"/>
                <w:b/>
                <w:sz w:val="24"/>
                <w:u w:val="single"/>
              </w:rPr>
            </w:pPr>
          </w:p>
          <w:p w:rsidR="00612780" w:rsidRPr="00392FFD" w:rsidRDefault="00612780" w:rsidP="00612780">
            <w:pPr>
              <w:spacing w:before="0" w:after="0"/>
              <w:rPr>
                <w:rFonts w:ascii="Times New Roman" w:hAnsi="Times New Roman"/>
                <w:sz w:val="24"/>
              </w:rPr>
            </w:pPr>
            <w:r>
              <w:rPr>
                <w:rFonts w:ascii="Times New Roman" w:hAnsi="Times New Roman"/>
                <w:sz w:val="24"/>
              </w:rPr>
              <w:t>Pour les asymétries d’échéances dans les titrisations synthétiques, RW*-RW(SP), tel que défini à l’article 250 du CRR, sera inclus, sauf dans le cas de tranches soumises à une pondération de risque de 1250 %, pour lesquelles le montant à déclarer sera de 0. Attention: RW(SP) inclut non seulement les mo</w:t>
            </w:r>
            <w:r>
              <w:rPr>
                <w:rFonts w:ascii="Times New Roman" w:hAnsi="Times New Roman"/>
                <w:sz w:val="24"/>
              </w:rPr>
              <w:t>n</w:t>
            </w:r>
            <w:r>
              <w:rPr>
                <w:rFonts w:ascii="Times New Roman" w:hAnsi="Times New Roman"/>
                <w:sz w:val="24"/>
              </w:rPr>
              <w:t>tants d’exposition pondérés déclarés à la colonne 400, mais également les mo</w:t>
            </w:r>
            <w:r>
              <w:rPr>
                <w:rFonts w:ascii="Times New Roman" w:hAnsi="Times New Roman"/>
                <w:sz w:val="24"/>
              </w:rPr>
              <w:t>n</w:t>
            </w:r>
            <w:r>
              <w:rPr>
                <w:rFonts w:ascii="Times New Roman" w:hAnsi="Times New Roman"/>
                <w:sz w:val="24"/>
              </w:rPr>
              <w:t>tants d’exposition pondérés correspondant aux expositions redistribuées dans d’autres modèles au moyen des sorties.</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Cette colonne contiendra des valeurs négatives.</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440-450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MONTANT TOTAL D’EXPOSITION PONDÉRÉ: AVANT APPLIC</w:t>
            </w:r>
            <w:r>
              <w:rPr>
                <w:rFonts w:ascii="Times New Roman" w:hAnsi="Times New Roman"/>
                <w:b/>
                <w:sz w:val="24"/>
                <w:u w:val="single"/>
              </w:rPr>
              <w:t>A</w:t>
            </w:r>
            <w:r>
              <w:rPr>
                <w:rFonts w:ascii="Times New Roman" w:hAnsi="Times New Roman"/>
                <w:b/>
                <w:sz w:val="24"/>
                <w:u w:val="single"/>
              </w:rPr>
              <w:t>TION DU PLAFOND/APRÈS APPLICATION DU PLAFOND</w:t>
            </w:r>
          </w:p>
          <w:p w:rsidR="00612780" w:rsidRPr="00392FFD" w:rsidRDefault="00612780" w:rsidP="00612780">
            <w:pPr>
              <w:spacing w:before="0" w:after="0"/>
              <w:jc w:val="left"/>
              <w:rPr>
                <w:rFonts w:ascii="Times New Roman" w:hAnsi="Times New Roman"/>
                <w:b/>
                <w:sz w:val="24"/>
                <w:u w:val="single"/>
              </w:rPr>
            </w:pPr>
          </w:p>
          <w:p w:rsidR="00612780" w:rsidRPr="00392FFD" w:rsidRDefault="00612780" w:rsidP="00612780">
            <w:pPr>
              <w:spacing w:before="0" w:after="0"/>
              <w:jc w:val="left"/>
              <w:rPr>
                <w:rFonts w:ascii="Times New Roman" w:hAnsi="Times New Roman"/>
                <w:sz w:val="24"/>
              </w:rPr>
            </w:pPr>
            <w:r>
              <w:rPr>
                <w:rFonts w:ascii="Times New Roman" w:hAnsi="Times New Roman"/>
                <w:sz w:val="24"/>
              </w:rPr>
              <w:t>Montant total d'exposition au risque calculé conformément à la troisième partie, titre II, chapitre 5, section 3 du CRR, avant (colonne 440) / après (colonne 450) application des limites fixées à l'article 260 du CRR. De plus, l’article 265 du CRR (Exigences de fonds propres supplémentaires pour les titrisations d’expositions renouvelables comportant une clause de remboursement anticipé) doit être pris en compte.</w:t>
            </w:r>
          </w:p>
          <w:p w:rsidR="00612780" w:rsidRPr="00392FFD" w:rsidRDefault="00612780" w:rsidP="00612780">
            <w:pPr>
              <w:spacing w:before="0" w:after="0"/>
              <w:jc w:val="left"/>
              <w:rPr>
                <w:rFonts w:ascii="Times New Roman" w:hAnsi="Times New Roman"/>
                <w:b/>
                <w:sz w:val="24"/>
                <w:u w:val="single"/>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460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POUR MÉMOIRE: MONTANT D’EXPOSITION PONDÉRÉ CORRE</w:t>
            </w:r>
            <w:r>
              <w:rPr>
                <w:rFonts w:ascii="Times New Roman" w:hAnsi="Times New Roman"/>
                <w:b/>
                <w:sz w:val="24"/>
                <w:u w:val="single"/>
              </w:rPr>
              <w:t>S</w:t>
            </w:r>
            <w:r>
              <w:rPr>
                <w:rFonts w:ascii="Times New Roman" w:hAnsi="Times New Roman"/>
                <w:b/>
                <w:sz w:val="24"/>
                <w:u w:val="single"/>
              </w:rPr>
              <w:t>PONDANT AUX SORTIES DE LA TITRISATION NI VERS D’AUTRES CATÉGORIES D’EXPOSITION</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Montant d’exposition pondéré découlant d’expositions redistribuées vers le fournisseur de la mesure d’atténuation du risque, figurant dès lors dans le m</w:t>
            </w:r>
            <w:r>
              <w:rPr>
                <w:rFonts w:ascii="Times New Roman" w:hAnsi="Times New Roman"/>
                <w:sz w:val="24"/>
              </w:rPr>
              <w:t>o</w:t>
            </w:r>
            <w:r>
              <w:rPr>
                <w:rFonts w:ascii="Times New Roman" w:hAnsi="Times New Roman"/>
                <w:sz w:val="24"/>
              </w:rPr>
              <w:t>dèle correspondant, et qui sont prises en compte dans le calcul du plafonnement des positions de titrisation.</w:t>
            </w:r>
          </w:p>
          <w:p w:rsidR="00612780" w:rsidRPr="00392FFD" w:rsidRDefault="00612780" w:rsidP="00612780">
            <w:pPr>
              <w:spacing w:before="0" w:after="0"/>
              <w:jc w:val="left"/>
              <w:rPr>
                <w:rFonts w:ascii="Times New Roman" w:hAnsi="Times New Roman"/>
                <w:sz w:val="24"/>
              </w:rPr>
            </w:pPr>
          </w:p>
        </w:tc>
      </w:tr>
    </w:tbl>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p>
    <w:p w:rsidR="00612780" w:rsidRPr="00392FFD" w:rsidRDefault="00125707" w:rsidP="0023700C">
      <w:pPr>
        <w:pStyle w:val="InstructionsText2"/>
        <w:numPr>
          <w:ilvl w:val="0"/>
          <w:numId w:val="0"/>
        </w:numPr>
        <w:ind w:left="1353" w:hanging="360"/>
      </w:pPr>
      <w:r>
        <w:t>107.</w:t>
      </w:r>
      <w:r>
        <w:tab/>
        <w:t>Le modèle CR SEC IRB se compose de trois grands blocs de lignes, qui ra</w:t>
      </w:r>
      <w:r>
        <w:t>s</w:t>
      </w:r>
      <w:r>
        <w:t xml:space="preserve">semblent des données sur les expositions initiées / sponsorisées / conservées ou acquises par les initiateurs, investisseurs et sponsors. Pour chacun, les données sont ventilées entre éléments au bilan, et éléments hors bilan et dérivés, ainsi que par groupes de pondération de risque des titrisations et des retitrisations. </w:t>
      </w:r>
    </w:p>
    <w:p w:rsidR="00612780" w:rsidRPr="00392FFD" w:rsidRDefault="00125707" w:rsidP="0023700C">
      <w:pPr>
        <w:pStyle w:val="InstructionsText2"/>
        <w:numPr>
          <w:ilvl w:val="0"/>
          <w:numId w:val="0"/>
        </w:numPr>
        <w:ind w:left="1353" w:hanging="360"/>
      </w:pPr>
      <w:r>
        <w:t>108.</w:t>
      </w:r>
      <w:r>
        <w:tab/>
        <w:t>Les positions traitées selon la méthode fondée sur les notations et les positions non notées (expositions à la date de déclaration) sont également ventilées en fonction des échelons de qualité de crédit appliqués à la date d’initiation (de</w:t>
      </w:r>
      <w:r>
        <w:t>r</w:t>
      </w:r>
      <w:r>
        <w:lastRenderedPageBreak/>
        <w:t>nier bloc de lignes). Les initiateurs, les sponsors et les investisseurs doivent d</w:t>
      </w:r>
      <w:r>
        <w:t>é</w:t>
      </w:r>
      <w:r>
        <w:t>clarer ces données.</w:t>
      </w:r>
    </w:p>
    <w:p w:rsidR="00612780" w:rsidRPr="00392FFD" w:rsidRDefault="00612780" w:rsidP="00612780">
      <w:pPr>
        <w:spacing w:before="0" w:after="0"/>
        <w:rPr>
          <w:rFonts w:ascii="Times New Roman" w:hAnsi="Times New Roman"/>
          <w:sz w:val="24"/>
        </w:rPr>
      </w:pPr>
    </w:p>
    <w:tbl>
      <w:tblPr>
        <w:tblW w:w="9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2"/>
        <w:gridCol w:w="7903"/>
      </w:tblGrid>
      <w:tr w:rsidR="00612780" w:rsidRPr="00392FFD" w:rsidTr="00612780">
        <w:tc>
          <w:tcPr>
            <w:tcW w:w="9145" w:type="dxa"/>
            <w:gridSpan w:val="2"/>
            <w:shd w:val="clear" w:color="auto" w:fill="CCCCCC"/>
          </w:tcPr>
          <w:p w:rsidR="00612780" w:rsidRPr="00392FFD" w:rsidRDefault="00612780" w:rsidP="00612780">
            <w:pPr>
              <w:autoSpaceDE w:val="0"/>
              <w:autoSpaceDN w:val="0"/>
              <w:adjustRightInd w:val="0"/>
              <w:spacing w:before="0" w:after="0"/>
              <w:rPr>
                <w:rFonts w:ascii="Times New Roman" w:hAnsi="Times New Roman"/>
                <w:bCs/>
                <w:sz w:val="24"/>
              </w:rPr>
            </w:pPr>
          </w:p>
          <w:p w:rsidR="00612780" w:rsidRPr="00392FFD" w:rsidRDefault="00612780" w:rsidP="00612780">
            <w:pPr>
              <w:autoSpaceDE w:val="0"/>
              <w:autoSpaceDN w:val="0"/>
              <w:adjustRightInd w:val="0"/>
              <w:spacing w:before="0" w:after="0"/>
              <w:rPr>
                <w:rFonts w:ascii="Times New Roman" w:hAnsi="Times New Roman"/>
                <w:b/>
                <w:bCs/>
                <w:sz w:val="24"/>
              </w:rPr>
            </w:pPr>
            <w:r>
              <w:rPr>
                <w:rFonts w:ascii="Times New Roman" w:hAnsi="Times New Roman"/>
                <w:b/>
                <w:sz w:val="24"/>
              </w:rPr>
              <w:t>Lignes</w:t>
            </w:r>
          </w:p>
          <w:p w:rsidR="00612780" w:rsidRPr="00392FFD" w:rsidRDefault="00612780" w:rsidP="00612780">
            <w:pPr>
              <w:autoSpaceDE w:val="0"/>
              <w:autoSpaceDN w:val="0"/>
              <w:adjustRightInd w:val="0"/>
              <w:spacing w:before="0" w:after="0"/>
              <w:rPr>
                <w:rFonts w:ascii="Times New Roman" w:hAnsi="Times New Roman"/>
                <w:bCs/>
                <w:sz w:val="24"/>
              </w:rPr>
            </w:pPr>
          </w:p>
        </w:tc>
      </w:tr>
      <w:tr w:rsidR="00612780" w:rsidRPr="00392FFD" w:rsidTr="00612780">
        <w:tc>
          <w:tcPr>
            <w:tcW w:w="1242"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010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 xml:space="preserve">TOTAL DES EXPOSITIONS </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 montant total des expositions correspond au montant total de l’encours des titrisations. Cette ligne résume toutes les données déclarées par les initiateurs, les sponsors et les investisseurs dans les lignes suivantes.</w:t>
            </w:r>
          </w:p>
          <w:p w:rsidR="00612780" w:rsidRPr="00392FFD" w:rsidRDefault="00612780" w:rsidP="00612780">
            <w:pPr>
              <w:autoSpaceDE w:val="0"/>
              <w:autoSpaceDN w:val="0"/>
              <w:adjustRightInd w:val="0"/>
              <w:spacing w:before="0" w:after="0"/>
              <w:rPr>
                <w:rFonts w:ascii="Times New Roman" w:hAnsi="Times New Roman"/>
                <w:b/>
                <w:bCs/>
                <w:sz w:val="24"/>
                <w:u w:val="single"/>
              </w:rPr>
            </w:pPr>
          </w:p>
        </w:tc>
      </w:tr>
      <w:tr w:rsidR="00612780" w:rsidRPr="00392FFD" w:rsidTr="00612780">
        <w:tc>
          <w:tcPr>
            <w:tcW w:w="1242"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020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DONT: RETITRISATIONS</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Montant total de l’encours des retitrisations, conformément aux définitions de l’article 4, paragraphe 1, points 63 et 64, du CRR.</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tc>
      </w:tr>
      <w:tr w:rsidR="00612780" w:rsidRPr="00392FFD" w:rsidTr="00612780">
        <w:tc>
          <w:tcPr>
            <w:tcW w:w="1242" w:type="dxa"/>
          </w:tcPr>
          <w:p w:rsidR="00612780" w:rsidRPr="00392FFD" w:rsidRDefault="00612780" w:rsidP="00612780">
            <w:pPr>
              <w:autoSpaceDE w:val="0"/>
              <w:autoSpaceDN w:val="0"/>
              <w:adjustRightInd w:val="0"/>
              <w:spacing w:before="0" w:after="0"/>
              <w:rPr>
                <w:rFonts w:ascii="Times New Roman" w:hAnsi="Times New Roman"/>
                <w:bCs/>
                <w:sz w:val="24"/>
                <w:highlight w:val="yellow"/>
              </w:rPr>
            </w:pPr>
            <w:r>
              <w:rPr>
                <w:rFonts w:ascii="Times New Roman" w:hAnsi="Times New Roman"/>
                <w:sz w:val="24"/>
              </w:rPr>
              <w:t>030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 xml:space="preserve">INITIATEUR: TOTAL DES EXPOSITIONS </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Cette ligne synthétise les données sur les éléments au bilan et les éléments hors bilan et les dérivés et le remboursement anticipé des positions de titrisation pour lesquelles l’établissement joue le rôle d’initiateur, tel que défini à l’article 4, paragraphe 1, point 13, du CRR.</w:t>
            </w:r>
          </w:p>
          <w:p w:rsidR="00612780" w:rsidRPr="00392FFD" w:rsidRDefault="00612780" w:rsidP="00612780">
            <w:pPr>
              <w:autoSpaceDE w:val="0"/>
              <w:autoSpaceDN w:val="0"/>
              <w:adjustRightInd w:val="0"/>
              <w:spacing w:before="0" w:after="0"/>
              <w:rPr>
                <w:rFonts w:ascii="Times New Roman" w:hAnsi="Times New Roman"/>
                <w:b/>
                <w:sz w:val="24"/>
                <w:u w:val="single"/>
              </w:rPr>
            </w:pPr>
            <w:r>
              <w:rPr>
                <w:rFonts w:ascii="Times New Roman" w:hAnsi="Times New Roman"/>
                <w:b/>
                <w:sz w:val="24"/>
                <w:u w:val="single"/>
              </w:rPr>
              <w:t xml:space="preserve"> </w:t>
            </w:r>
          </w:p>
        </w:tc>
      </w:tr>
      <w:tr w:rsidR="00612780" w:rsidRPr="00392FFD" w:rsidTr="00612780">
        <w:tc>
          <w:tcPr>
            <w:tcW w:w="1242"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040-090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 xml:space="preserve">ÉLÉMENTS DE BILAN </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L’article 246, paragraphe 1, point b), du CRR dispose que lorsqu’un établiss</w:t>
            </w:r>
            <w:r>
              <w:rPr>
                <w:rFonts w:ascii="Times New Roman" w:hAnsi="Times New Roman"/>
                <w:sz w:val="24"/>
              </w:rPr>
              <w:t>e</w:t>
            </w:r>
            <w:r>
              <w:rPr>
                <w:rFonts w:ascii="Times New Roman" w:hAnsi="Times New Roman"/>
                <w:sz w:val="24"/>
              </w:rPr>
              <w:t>ment calcule des montants d’exposition pondérés selon l’approche NI, la valeur exposée au risque d’une position de titrisation inscrite au bilan est égale à sa valeur comptable, mesurée sans tenir compte d’aucun ajustement éventuell</w:t>
            </w:r>
            <w:r>
              <w:rPr>
                <w:rFonts w:ascii="Times New Roman" w:hAnsi="Times New Roman"/>
                <w:sz w:val="24"/>
              </w:rPr>
              <w:t>e</w:t>
            </w:r>
            <w:r>
              <w:rPr>
                <w:rFonts w:ascii="Times New Roman" w:hAnsi="Times New Roman"/>
                <w:sz w:val="24"/>
              </w:rPr>
              <w:t>ment opéré pour risque de crédit.</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Les éléments au bilan sont répartis en fonction des groupes de pondérations des titrisations (A-B-C), dans les lignes 050 à 070, et des retitrisations (D-E), dans les colonnes 080 à 090, conformément à l’article 261, paragraphe 1, tableau 4 du CRR. </w:t>
            </w:r>
          </w:p>
          <w:p w:rsidR="00612780" w:rsidRPr="00392FFD" w:rsidRDefault="00612780" w:rsidP="00612780">
            <w:pPr>
              <w:autoSpaceDE w:val="0"/>
              <w:autoSpaceDN w:val="0"/>
              <w:adjustRightInd w:val="0"/>
              <w:spacing w:before="0" w:after="0"/>
              <w:rPr>
                <w:rFonts w:ascii="Times New Roman" w:hAnsi="Times New Roman"/>
                <w:b/>
                <w:sz w:val="24"/>
                <w:u w:val="single"/>
              </w:rPr>
            </w:pPr>
          </w:p>
        </w:tc>
      </w:tr>
      <w:tr w:rsidR="00612780" w:rsidRPr="00392FFD" w:rsidTr="00612780">
        <w:tc>
          <w:tcPr>
            <w:tcW w:w="1242" w:type="dxa"/>
          </w:tcPr>
          <w:p w:rsidR="00612780" w:rsidRPr="00392FFD" w:rsidRDefault="00612780" w:rsidP="00612780">
            <w:pPr>
              <w:autoSpaceDE w:val="0"/>
              <w:autoSpaceDN w:val="0"/>
              <w:adjustRightInd w:val="0"/>
              <w:spacing w:before="0" w:after="0"/>
              <w:rPr>
                <w:rFonts w:ascii="Times New Roman" w:hAnsi="Times New Roman"/>
                <w:bCs/>
                <w:sz w:val="24"/>
                <w:highlight w:val="yellow"/>
              </w:rPr>
            </w:pPr>
            <w:r>
              <w:rPr>
                <w:rFonts w:ascii="Times New Roman" w:hAnsi="Times New Roman"/>
                <w:sz w:val="24"/>
              </w:rPr>
              <w:t>100-150</w:t>
            </w:r>
          </w:p>
        </w:tc>
        <w:tc>
          <w:tcPr>
            <w:tcW w:w="7903" w:type="dxa"/>
          </w:tcPr>
          <w:p w:rsidR="00612780" w:rsidRPr="00392FFD" w:rsidRDefault="00612780" w:rsidP="00612780">
            <w:pPr>
              <w:spacing w:before="0" w:after="0"/>
              <w:rPr>
                <w:rFonts w:ascii="Times New Roman" w:hAnsi="Times New Roman"/>
                <w:b/>
                <w:sz w:val="24"/>
                <w:u w:val="single"/>
              </w:rPr>
            </w:pPr>
            <w:r>
              <w:rPr>
                <w:rFonts w:ascii="Times New Roman" w:hAnsi="Times New Roman"/>
                <w:b/>
                <w:sz w:val="24"/>
                <w:u w:val="single"/>
              </w:rPr>
              <w:t>ÉLÉMENTS DE HORS BILAN ET DÉRIVÉS</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i/>
                <w:sz w:val="24"/>
              </w:rPr>
            </w:pPr>
            <w:r>
              <w:rPr>
                <w:rFonts w:ascii="Times New Roman" w:hAnsi="Times New Roman"/>
                <w:sz w:val="24"/>
              </w:rPr>
              <w:t>Ces lignes rassemblent des informations sur les éléments de hors bilan et les positions de titrisation de dérivés soumises à un facteur de conversion dans le cadre de la titrisation. La valeur exposée au risque d’une position de titrisation hors bilan sera sa valeur nominale, amputée de tout ajustement pour risque de crédit spécifique de cette position de titrisation, multipliée par un facteur de conversion de 100 %, sauf mention contraire.</w:t>
            </w:r>
          </w:p>
          <w:p w:rsidR="00612780" w:rsidRPr="00392FFD" w:rsidRDefault="00612780" w:rsidP="00612780">
            <w:pPr>
              <w:autoSpaceDE w:val="0"/>
              <w:autoSpaceDN w:val="0"/>
              <w:adjustRightInd w:val="0"/>
              <w:spacing w:before="0" w:after="0"/>
              <w:rPr>
                <w:rFonts w:ascii="Times New Roman" w:hAnsi="Times New Roman"/>
                <w:i/>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Les positions de titrisation hors bilan provenant d’un instrument dérivé repris à l’annexe II du CRR seront déterminées conformément à la troisième partie, titre II, chapitre 6 du CRR. La valeur exposée au risque pour risque de contrepartie </w:t>
            </w:r>
            <w:r>
              <w:rPr>
                <w:rFonts w:ascii="Times New Roman" w:hAnsi="Times New Roman"/>
                <w:sz w:val="24"/>
              </w:rPr>
              <w:lastRenderedPageBreak/>
              <w:t>d’un instrument dérivé repris à l’annexe II du CRR sera déterminée conform</w:t>
            </w:r>
            <w:r>
              <w:rPr>
                <w:rFonts w:ascii="Times New Roman" w:hAnsi="Times New Roman"/>
                <w:sz w:val="24"/>
              </w:rPr>
              <w:t>é</w:t>
            </w:r>
            <w:r>
              <w:rPr>
                <w:rFonts w:ascii="Times New Roman" w:hAnsi="Times New Roman"/>
                <w:sz w:val="24"/>
              </w:rPr>
              <w:t xml:space="preserve">ment à la troisième partie, titre II, chapitre 6 du CRR. </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Pour les facilités de trésorerie, les facilités de crédit et les avances de trésorerie des organes de gestion, les établissements déclarent le montant non tiré. </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Pour les contrats d’échange de taux d’intérêt et de devises, ils déclarent la v</w:t>
            </w:r>
            <w:r>
              <w:rPr>
                <w:rFonts w:ascii="Times New Roman" w:hAnsi="Times New Roman"/>
                <w:sz w:val="24"/>
              </w:rPr>
              <w:t>a</w:t>
            </w:r>
            <w:r>
              <w:rPr>
                <w:rFonts w:ascii="Times New Roman" w:hAnsi="Times New Roman"/>
                <w:sz w:val="24"/>
              </w:rPr>
              <w:t>leur exposée au risque (conformément à l’article 246, paragraphe 1, du CRR), telle qu’indiquée dans le modèle CR SA Total.</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Les éléments hors bilan sont répartis en fonction des groupes de pondérations des titrisations (A-B-C), dans les lignes 110 à 130, et des retitrisations (D-E), dans les lignes 140 à 150, comme indiqué à l’article 261, paragraphe 1, tableau 4 du CRR.</w:t>
            </w:r>
          </w:p>
          <w:p w:rsidR="00612780" w:rsidRPr="00392FFD" w:rsidRDefault="00612780" w:rsidP="00612780">
            <w:pPr>
              <w:autoSpaceDE w:val="0"/>
              <w:autoSpaceDN w:val="0"/>
              <w:adjustRightInd w:val="0"/>
              <w:spacing w:before="0" w:after="0"/>
              <w:rPr>
                <w:rFonts w:ascii="Times New Roman" w:hAnsi="Times New Roman"/>
                <w:bCs/>
                <w:sz w:val="24"/>
              </w:rPr>
            </w:pPr>
          </w:p>
        </w:tc>
      </w:tr>
      <w:tr w:rsidR="00612780" w:rsidRPr="00392FFD" w:rsidTr="00612780">
        <w:tc>
          <w:tcPr>
            <w:tcW w:w="1242"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lastRenderedPageBreak/>
              <w:t>160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REMBOURSEMENT ANTICIPÉ</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Cette ligne ne s’applique que pour les initiateurs de titrisations renouvelables comportant une clause de remboursement anticipé, au sens de l’article 242, points 13 et 14, du CRR.</w:t>
            </w:r>
          </w:p>
          <w:p w:rsidR="00612780" w:rsidRPr="00392FFD" w:rsidRDefault="00612780" w:rsidP="00612780">
            <w:pPr>
              <w:pStyle w:val="Heading1"/>
              <w:rPr>
                <w:rFonts w:ascii="Times New Roman" w:eastAsia="Times New Roman" w:hAnsi="Times New Roman"/>
                <w:sz w:val="24"/>
                <w:szCs w:val="24"/>
              </w:rPr>
            </w:pPr>
          </w:p>
        </w:tc>
      </w:tr>
      <w:tr w:rsidR="00612780" w:rsidRPr="00392FFD" w:rsidTr="00612780">
        <w:tc>
          <w:tcPr>
            <w:tcW w:w="1242"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170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 xml:space="preserve">INVESTISSEUR: TOTAL DES EXPOSITIONS </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Style w:val="FormatvorlageInstructionsTabelleText"/>
                <w:rFonts w:ascii="Times New Roman" w:hAnsi="Times New Roman"/>
                <w:sz w:val="24"/>
              </w:rPr>
            </w:pPr>
            <w:r>
              <w:rPr>
                <w:rStyle w:val="FormatvorlageInstructionsTabelleText"/>
                <w:rFonts w:ascii="Times New Roman" w:hAnsi="Times New Roman"/>
                <w:sz w:val="24"/>
              </w:rPr>
              <w:t xml:space="preserve">Cette ligne synthétise les données sur les éléments au bilan, les éléments hors bilan et les dérivés de positions de titrisation pour lesquelles l’établissement joue le rôle d’investisseur. </w:t>
            </w:r>
          </w:p>
          <w:p w:rsidR="00612780" w:rsidRPr="00392FFD" w:rsidRDefault="00612780" w:rsidP="00612780">
            <w:pPr>
              <w:autoSpaceDE w:val="0"/>
              <w:autoSpaceDN w:val="0"/>
              <w:adjustRightInd w:val="0"/>
              <w:spacing w:before="0" w:after="0"/>
              <w:rPr>
                <w:rStyle w:val="FormatvorlageInstructionsTabelleText"/>
                <w:rFonts w:ascii="Times New Roman" w:hAnsi="Times New Roman"/>
                <w:sz w:val="24"/>
              </w:rPr>
            </w:pPr>
          </w:p>
          <w:p w:rsidR="00612780" w:rsidRPr="00392FFD" w:rsidRDefault="00612780" w:rsidP="00612780">
            <w:pPr>
              <w:autoSpaceDE w:val="0"/>
              <w:autoSpaceDN w:val="0"/>
              <w:adjustRightInd w:val="0"/>
              <w:spacing w:before="0" w:after="0"/>
              <w:rPr>
                <w:rStyle w:val="FormatvorlageInstructionsTabelleText"/>
                <w:rFonts w:ascii="Times New Roman" w:hAnsi="Times New Roman"/>
                <w:sz w:val="24"/>
              </w:rPr>
            </w:pPr>
            <w:r>
              <w:rPr>
                <w:rStyle w:val="FormatvorlageInstructionsTabelleText"/>
                <w:rFonts w:ascii="Times New Roman" w:hAnsi="Times New Roman"/>
                <w:sz w:val="24"/>
              </w:rPr>
              <w:t>Le CRR ne fournit pas de définition explicite d’un investisseur. Dès lors, par «investisseur», on entendra un établissement qui détient une position de titris</w:t>
            </w:r>
            <w:r>
              <w:rPr>
                <w:rStyle w:val="FormatvorlageInstructionsTabelleText"/>
                <w:rFonts w:ascii="Times New Roman" w:hAnsi="Times New Roman"/>
                <w:sz w:val="24"/>
              </w:rPr>
              <w:t>a</w:t>
            </w:r>
            <w:r>
              <w:rPr>
                <w:rStyle w:val="FormatvorlageInstructionsTabelleText"/>
                <w:rFonts w:ascii="Times New Roman" w:hAnsi="Times New Roman"/>
                <w:sz w:val="24"/>
              </w:rPr>
              <w:t>tion dans le cadre d’une opération de titrisation dans laquelle il n’est ni l’initiateur ni le sponsor.</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tc>
      </w:tr>
      <w:tr w:rsidR="00612780" w:rsidRPr="00392FFD" w:rsidTr="00612780">
        <w:tc>
          <w:tcPr>
            <w:tcW w:w="1242" w:type="dxa"/>
          </w:tcPr>
          <w:p w:rsidR="00612780" w:rsidRPr="00392FFD" w:rsidRDefault="00612780" w:rsidP="00612780">
            <w:pPr>
              <w:autoSpaceDE w:val="0"/>
              <w:autoSpaceDN w:val="0"/>
              <w:adjustRightInd w:val="0"/>
              <w:spacing w:before="0" w:after="0"/>
              <w:rPr>
                <w:rFonts w:ascii="Times New Roman" w:hAnsi="Times New Roman"/>
                <w:bCs/>
                <w:sz w:val="24"/>
                <w:highlight w:val="yellow"/>
              </w:rPr>
            </w:pPr>
            <w:r>
              <w:rPr>
                <w:rFonts w:ascii="Times New Roman" w:hAnsi="Times New Roman"/>
                <w:sz w:val="24"/>
              </w:rPr>
              <w:t>180-230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 xml:space="preserve">ÉLÉMENTS DE BILAN </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On appliquera ici les mêmes critères de classement entre titrisations (A-B-C) et retitrisations (D-E) que ceux utilisés pour les éléments au bilan pour les initi</w:t>
            </w:r>
            <w:r>
              <w:rPr>
                <w:rFonts w:ascii="Times New Roman" w:hAnsi="Times New Roman"/>
                <w:sz w:val="24"/>
              </w:rPr>
              <w:t>a</w:t>
            </w:r>
            <w:r>
              <w:rPr>
                <w:rFonts w:ascii="Times New Roman" w:hAnsi="Times New Roman"/>
                <w:sz w:val="24"/>
              </w:rPr>
              <w:t>teurs.</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tc>
      </w:tr>
      <w:tr w:rsidR="00612780" w:rsidRPr="00392FFD" w:rsidTr="00612780">
        <w:tc>
          <w:tcPr>
            <w:tcW w:w="1242" w:type="dxa"/>
          </w:tcPr>
          <w:p w:rsidR="00612780" w:rsidRPr="00392FFD" w:rsidRDefault="00612780" w:rsidP="00612780">
            <w:pPr>
              <w:autoSpaceDE w:val="0"/>
              <w:autoSpaceDN w:val="0"/>
              <w:adjustRightInd w:val="0"/>
              <w:spacing w:before="0" w:after="0"/>
              <w:rPr>
                <w:rFonts w:ascii="Times New Roman" w:hAnsi="Times New Roman"/>
                <w:bCs/>
                <w:sz w:val="24"/>
                <w:highlight w:val="yellow"/>
              </w:rPr>
            </w:pPr>
            <w:r>
              <w:rPr>
                <w:rFonts w:ascii="Times New Roman" w:hAnsi="Times New Roman"/>
                <w:sz w:val="24"/>
              </w:rPr>
              <w:t>240-290</w:t>
            </w:r>
          </w:p>
        </w:tc>
        <w:tc>
          <w:tcPr>
            <w:tcW w:w="7903" w:type="dxa"/>
          </w:tcPr>
          <w:p w:rsidR="00612780" w:rsidRPr="00392FFD" w:rsidRDefault="00612780" w:rsidP="00612780">
            <w:pPr>
              <w:spacing w:before="0" w:after="0"/>
              <w:rPr>
                <w:rFonts w:ascii="Times New Roman" w:hAnsi="Times New Roman"/>
                <w:b/>
                <w:sz w:val="24"/>
                <w:u w:val="single"/>
              </w:rPr>
            </w:pPr>
            <w:r>
              <w:rPr>
                <w:rFonts w:ascii="Times New Roman" w:hAnsi="Times New Roman"/>
                <w:b/>
                <w:sz w:val="24"/>
                <w:u w:val="single"/>
              </w:rPr>
              <w:t>ÉLÉMENTS DE HORS BILAN ET DÉRIVÉS</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On appliquera ici les mêmes critères de classement entre titrisations (A-B-C) et retitrisations (D-E) que ceux utilisés pour les éléments hors bilan et les dérivés pour les initiateurs.</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tc>
      </w:tr>
      <w:tr w:rsidR="00612780" w:rsidRPr="00392FFD" w:rsidTr="00612780">
        <w:tc>
          <w:tcPr>
            <w:tcW w:w="1242"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300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 xml:space="preserve">SPONSOR: TOTAL DES EXPOSITIONS </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Cette ligne synthétise les données sur les éléments au bilan et les éléments hors bilan et les dérivés des positions de titrisation pour lesquelles l’établissement joue le rôle de sponsor, tel que défini à l’article 4, paragraphe 1, point 14, du CRR. Si un sponsor titrise également ses propres actifs, il devra indiquer, dans </w:t>
            </w:r>
            <w:r>
              <w:rPr>
                <w:rFonts w:ascii="Times New Roman" w:hAnsi="Times New Roman"/>
                <w:sz w:val="24"/>
              </w:rPr>
              <w:lastRenderedPageBreak/>
              <w:t>les lignes sur l’initiateur, les données relatives à ses propres actifs titrisés.</w:t>
            </w:r>
          </w:p>
          <w:p w:rsidR="00612780" w:rsidRPr="00392FFD" w:rsidRDefault="00612780" w:rsidP="00612780">
            <w:pPr>
              <w:autoSpaceDE w:val="0"/>
              <w:autoSpaceDN w:val="0"/>
              <w:adjustRightInd w:val="0"/>
              <w:spacing w:before="0" w:after="0"/>
              <w:rPr>
                <w:rFonts w:ascii="Times New Roman" w:hAnsi="Times New Roman"/>
                <w:sz w:val="24"/>
              </w:rPr>
            </w:pPr>
          </w:p>
        </w:tc>
      </w:tr>
      <w:tr w:rsidR="00612780" w:rsidRPr="00392FFD" w:rsidTr="00612780">
        <w:tc>
          <w:tcPr>
            <w:tcW w:w="1242" w:type="dxa"/>
            <w:shd w:val="clear" w:color="auto" w:fill="auto"/>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lastRenderedPageBreak/>
              <w:t>310-360</w:t>
            </w:r>
          </w:p>
        </w:tc>
        <w:tc>
          <w:tcPr>
            <w:tcW w:w="7903" w:type="dxa"/>
            <w:shd w:val="clear" w:color="auto" w:fill="auto"/>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 xml:space="preserve">ÉLÉMENTS DE BILAN </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sz w:val="24"/>
              </w:rPr>
              <w:t>On appliquera ici les mêmes critères de classement entre titrisations (A-B-C) et retitrisations (D-E) que ceux utilisés pour les éléments au bilan et les dérivés pour les initiateurs.</w:t>
            </w:r>
          </w:p>
          <w:p w:rsidR="00612780" w:rsidRPr="00392FFD" w:rsidRDefault="00612780" w:rsidP="00612780">
            <w:pPr>
              <w:autoSpaceDE w:val="0"/>
              <w:autoSpaceDN w:val="0"/>
              <w:adjustRightInd w:val="0"/>
              <w:spacing w:before="0" w:after="0"/>
              <w:rPr>
                <w:rFonts w:ascii="Times New Roman" w:hAnsi="Times New Roman"/>
                <w:sz w:val="24"/>
              </w:rPr>
            </w:pPr>
          </w:p>
        </w:tc>
      </w:tr>
      <w:tr w:rsidR="00612780" w:rsidRPr="00392FFD" w:rsidTr="00612780">
        <w:tc>
          <w:tcPr>
            <w:tcW w:w="1242" w:type="dxa"/>
            <w:shd w:val="clear" w:color="auto" w:fill="auto"/>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370-420</w:t>
            </w:r>
          </w:p>
        </w:tc>
        <w:tc>
          <w:tcPr>
            <w:tcW w:w="7903" w:type="dxa"/>
            <w:shd w:val="clear" w:color="auto" w:fill="auto"/>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ÉLÉMENTS DE HORS BILAN ET DÉRIVÉS</w:t>
            </w:r>
          </w:p>
          <w:p w:rsidR="00612780" w:rsidRPr="00392FFD" w:rsidRDefault="00612780" w:rsidP="00612780">
            <w:pPr>
              <w:autoSpaceDE w:val="0"/>
              <w:autoSpaceDN w:val="0"/>
              <w:adjustRightInd w:val="0"/>
              <w:spacing w:before="0" w:after="0"/>
              <w:rPr>
                <w:rFonts w:ascii="Times New Roman" w:hAnsi="Times New Roman"/>
                <w:b/>
                <w:sz w:val="24"/>
                <w:u w:val="single"/>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On appliquera ici les mêmes critères de classement entre titrisations (A-B-C) et retitrisations (D-E) que ceux utilisés pour les éléments hors bilan et les dérivés pour les initiateurs.</w:t>
            </w:r>
          </w:p>
          <w:p w:rsidR="00612780" w:rsidRPr="00392FFD" w:rsidRDefault="00612780" w:rsidP="00612780">
            <w:pPr>
              <w:autoSpaceDE w:val="0"/>
              <w:autoSpaceDN w:val="0"/>
              <w:adjustRightInd w:val="0"/>
              <w:spacing w:before="0" w:after="0"/>
              <w:rPr>
                <w:rFonts w:ascii="Times New Roman" w:hAnsi="Times New Roman"/>
                <w:b/>
                <w:sz w:val="24"/>
                <w:u w:val="single"/>
              </w:rPr>
            </w:pPr>
          </w:p>
        </w:tc>
      </w:tr>
      <w:tr w:rsidR="00612780" w:rsidRPr="00392FFD" w:rsidTr="00612780">
        <w:tc>
          <w:tcPr>
            <w:tcW w:w="1242" w:type="dxa"/>
          </w:tcPr>
          <w:p w:rsidR="00612780" w:rsidRPr="00392FFD" w:rsidRDefault="00612780" w:rsidP="00612780">
            <w:pPr>
              <w:autoSpaceDE w:val="0"/>
              <w:autoSpaceDN w:val="0"/>
              <w:adjustRightInd w:val="0"/>
              <w:spacing w:before="0" w:after="0"/>
              <w:rPr>
                <w:rFonts w:ascii="Times New Roman" w:hAnsi="Times New Roman"/>
                <w:bCs/>
                <w:sz w:val="24"/>
                <w:highlight w:val="yellow"/>
              </w:rPr>
            </w:pPr>
            <w:r>
              <w:rPr>
                <w:rFonts w:ascii="Times New Roman" w:hAnsi="Times New Roman"/>
                <w:sz w:val="24"/>
              </w:rPr>
              <w:t>430-540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RÉPARTITION DE L’ENCOURS DES POSITIONS PAR EQC AU COMMENCEMENT</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Ces lignes rassemblent des données sur l’encours des positions traitées selon la méthode fondée sur les notations et des positions non notées (à la date de décl</w:t>
            </w:r>
            <w:r>
              <w:rPr>
                <w:rFonts w:ascii="Times New Roman" w:hAnsi="Times New Roman"/>
                <w:sz w:val="24"/>
              </w:rPr>
              <w:t>a</w:t>
            </w:r>
            <w:r>
              <w:rPr>
                <w:rFonts w:ascii="Times New Roman" w:hAnsi="Times New Roman"/>
                <w:sz w:val="24"/>
              </w:rPr>
              <w:t>ration) en fonction des échelons de qualité de crédit (EQC) (prévus pour l’approche NI à l’article 261, tableau 4, du CRR) appliqués à la date d’initiation (commencement). En l’absence de ces données, les données les plus anciennes, équivalentes en matière d’échelons de qualité de crédit, seront fournies.</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Ces lignes ne doivent être remplies que pour les colonnes 170, 190 à 320 et les colonnes 400 à 410.</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tc>
      </w:tr>
    </w:tbl>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21A3B" w:rsidRDefault="00125707" w:rsidP="0023700C">
      <w:pPr>
        <w:pStyle w:val="Instructionsberschrift2"/>
        <w:numPr>
          <w:ilvl w:val="0"/>
          <w:numId w:val="0"/>
        </w:numPr>
        <w:ind w:left="357" w:hanging="357"/>
        <w:rPr>
          <w:rFonts w:ascii="Times New Roman" w:hAnsi="Times New Roman" w:cs="Times New Roman"/>
          <w:sz w:val="24"/>
        </w:rPr>
      </w:pPr>
      <w:bookmarkStart w:id="408" w:name="_Toc239157390"/>
      <w:bookmarkStart w:id="409" w:name="_Toc310415046"/>
      <w:bookmarkStart w:id="410" w:name="_Toc360188381"/>
      <w:bookmarkStart w:id="411" w:name="_Toc473560932"/>
      <w:bookmarkStart w:id="412" w:name="_Toc496022327"/>
      <w:r>
        <w:rPr>
          <w:rFonts w:ascii="Times New Roman" w:hAnsi="Times New Roman"/>
          <w:sz w:val="24"/>
          <w:u w:val="none"/>
        </w:rPr>
        <w:t>3.9.</w:t>
      </w:r>
      <w:r>
        <w:tab/>
      </w:r>
      <w:r>
        <w:rPr>
          <w:rFonts w:ascii="Times New Roman" w:hAnsi="Times New Roman"/>
          <w:sz w:val="24"/>
        </w:rPr>
        <w:t xml:space="preserve">C 14.00 – </w:t>
      </w:r>
      <w:bookmarkEnd w:id="408"/>
      <w:r>
        <w:rPr>
          <w:rFonts w:ascii="Times New Roman" w:hAnsi="Times New Roman"/>
          <w:sz w:val="24"/>
        </w:rPr>
        <w:t>Informations détaillées sur les titrisations</w:t>
      </w:r>
      <w:bookmarkEnd w:id="409"/>
      <w:bookmarkEnd w:id="410"/>
      <w:r>
        <w:rPr>
          <w:rFonts w:ascii="Times New Roman" w:hAnsi="Times New Roman"/>
          <w:sz w:val="24"/>
        </w:rPr>
        <w:t xml:space="preserve"> (SEC DETAILS)</w:t>
      </w:r>
      <w:bookmarkEnd w:id="411"/>
      <w:bookmarkEnd w:id="412"/>
    </w:p>
    <w:p w:rsidR="00612780" w:rsidRPr="00321A3B" w:rsidRDefault="00125707" w:rsidP="0023700C">
      <w:pPr>
        <w:pStyle w:val="Instructionsberschrift2"/>
        <w:numPr>
          <w:ilvl w:val="0"/>
          <w:numId w:val="0"/>
        </w:numPr>
        <w:ind w:left="357" w:hanging="357"/>
        <w:rPr>
          <w:rFonts w:ascii="Times New Roman" w:hAnsi="Times New Roman" w:cs="Times New Roman"/>
          <w:sz w:val="24"/>
        </w:rPr>
      </w:pPr>
      <w:bookmarkStart w:id="413" w:name="_Toc310415047"/>
      <w:bookmarkStart w:id="414" w:name="_Toc360188382"/>
      <w:bookmarkStart w:id="415" w:name="_Toc473560933"/>
      <w:bookmarkStart w:id="416" w:name="_Toc496022328"/>
      <w:r>
        <w:rPr>
          <w:rFonts w:ascii="Times New Roman" w:hAnsi="Times New Roman"/>
          <w:sz w:val="24"/>
          <w:u w:val="none"/>
        </w:rPr>
        <w:t>3.9.1.</w:t>
      </w:r>
      <w:r>
        <w:tab/>
      </w:r>
      <w:r>
        <w:rPr>
          <w:rFonts w:ascii="Times New Roman" w:hAnsi="Times New Roman"/>
          <w:sz w:val="24"/>
        </w:rPr>
        <w:t>Remarques générales</w:t>
      </w:r>
      <w:bookmarkEnd w:id="413"/>
      <w:bookmarkEnd w:id="414"/>
      <w:bookmarkEnd w:id="415"/>
      <w:bookmarkEnd w:id="416"/>
    </w:p>
    <w:p w:rsidR="00612780" w:rsidRPr="00392FFD" w:rsidRDefault="00125707" w:rsidP="0023700C">
      <w:pPr>
        <w:pStyle w:val="InstructionsText2"/>
        <w:numPr>
          <w:ilvl w:val="0"/>
          <w:numId w:val="0"/>
        </w:numPr>
        <w:ind w:left="1353" w:hanging="360"/>
      </w:pPr>
      <w:r>
        <w:t>109.</w:t>
      </w:r>
      <w:r>
        <w:tab/>
        <w:t>Ce modèle rassemble des informations transaction par transaction (à la diff</w:t>
      </w:r>
      <w:r>
        <w:t>é</w:t>
      </w:r>
      <w:r>
        <w:t>rence des données agrégées déclarées dans les modèles CR SEC SA, CR SEC IRB, MKR SA SEC et MKR SA CTP) au sujet de toutes les titrisations dans lesquelles l’établissement déclarant est impliqué. Les principales caractéri</w:t>
      </w:r>
      <w:r>
        <w:t>s</w:t>
      </w:r>
      <w:r>
        <w:t>tiques de chaque titrisation, notamment la nature des paniers sous-jacents et les exigences de fonds propres, y sont déclarées.</w:t>
      </w:r>
    </w:p>
    <w:p w:rsidR="00612780" w:rsidRPr="00392FFD" w:rsidRDefault="00125707" w:rsidP="0023700C">
      <w:pPr>
        <w:pStyle w:val="InstructionsText2"/>
        <w:numPr>
          <w:ilvl w:val="0"/>
          <w:numId w:val="0"/>
        </w:numPr>
        <w:ind w:left="1353" w:hanging="360"/>
      </w:pPr>
      <w:r>
        <w:t>110.</w:t>
      </w:r>
      <w:r>
        <w:tab/>
        <w:t>Ce modèle doit être utilisé pour:</w:t>
      </w:r>
    </w:p>
    <w:p w:rsidR="00612780" w:rsidRPr="00392FFD" w:rsidRDefault="00125707" w:rsidP="0023700C">
      <w:pPr>
        <w:pStyle w:val="PlainText"/>
        <w:ind w:left="1287" w:hanging="360"/>
        <w:jc w:val="both"/>
        <w:rPr>
          <w:rFonts w:ascii="Times New Roman" w:hAnsi="Times New Roman"/>
          <w:sz w:val="24"/>
          <w:szCs w:val="24"/>
        </w:rPr>
      </w:pPr>
      <w:r>
        <w:rPr>
          <w:rFonts w:ascii="Times New Roman" w:hAnsi="Times New Roman"/>
          <w:sz w:val="24"/>
        </w:rPr>
        <w:t>a.</w:t>
      </w:r>
      <w:r>
        <w:tab/>
      </w:r>
      <w:r>
        <w:rPr>
          <w:rFonts w:ascii="Times New Roman" w:hAnsi="Times New Roman"/>
          <w:sz w:val="24"/>
        </w:rPr>
        <w:t>Les titrisations initiées / sponsorisées par l'établissement déclarant lorsqu'il d</w:t>
      </w:r>
      <w:r>
        <w:rPr>
          <w:rFonts w:ascii="Times New Roman" w:hAnsi="Times New Roman"/>
          <w:sz w:val="24"/>
        </w:rPr>
        <w:t>é</w:t>
      </w:r>
      <w:r>
        <w:rPr>
          <w:rFonts w:ascii="Times New Roman" w:hAnsi="Times New Roman"/>
          <w:sz w:val="24"/>
        </w:rPr>
        <w:t>tient au moins une position dans la titrisation. Cela signifie que, qu’il y ait eu ou non un transfert de risque significatif, l’établissement déclarera des informations sur toutes les positions qu’il détient (soit dans le portefeuille de négociation soit dans le portefeuille d’intermédiation bancaire). Les positions détenues compre</w:t>
      </w:r>
      <w:r>
        <w:rPr>
          <w:rFonts w:ascii="Times New Roman" w:hAnsi="Times New Roman"/>
          <w:sz w:val="24"/>
        </w:rPr>
        <w:t>n</w:t>
      </w:r>
      <w:r>
        <w:rPr>
          <w:rFonts w:ascii="Times New Roman" w:hAnsi="Times New Roman"/>
          <w:sz w:val="24"/>
        </w:rPr>
        <w:t>nent les positions retenues en vertu de l’article 405 du CRR.</w:t>
      </w:r>
    </w:p>
    <w:p w:rsidR="00612780" w:rsidRPr="00392FFD" w:rsidRDefault="00612780" w:rsidP="00612780">
      <w:pPr>
        <w:pStyle w:val="PlainText"/>
        <w:ind w:left="567"/>
        <w:jc w:val="both"/>
        <w:rPr>
          <w:rFonts w:ascii="Times New Roman" w:hAnsi="Times New Roman"/>
          <w:sz w:val="24"/>
          <w:szCs w:val="24"/>
        </w:rPr>
      </w:pPr>
    </w:p>
    <w:p w:rsidR="00612780" w:rsidRPr="00392FFD" w:rsidRDefault="00125707" w:rsidP="0023700C">
      <w:pPr>
        <w:pStyle w:val="PlainText"/>
        <w:ind w:left="1287" w:hanging="360"/>
        <w:jc w:val="both"/>
        <w:rPr>
          <w:rFonts w:ascii="Times New Roman" w:hAnsi="Times New Roman"/>
          <w:sz w:val="24"/>
          <w:szCs w:val="24"/>
        </w:rPr>
      </w:pPr>
      <w:r>
        <w:rPr>
          <w:rFonts w:ascii="Times New Roman" w:hAnsi="Times New Roman"/>
          <w:sz w:val="24"/>
        </w:rPr>
        <w:lastRenderedPageBreak/>
        <w:t>b.</w:t>
      </w:r>
      <w:r>
        <w:tab/>
      </w:r>
      <w:r>
        <w:rPr>
          <w:rFonts w:ascii="Times New Roman" w:hAnsi="Times New Roman"/>
          <w:sz w:val="24"/>
        </w:rPr>
        <w:t>Les titrisations initiées / sponsorisées par l'établissement déclarant au cours de l'année de déclaration</w:t>
      </w:r>
      <w:r>
        <w:rPr>
          <w:rStyle w:val="FootnoteReference"/>
          <w:rFonts w:ascii="Times New Roman" w:hAnsi="Times New Roman"/>
          <w:sz w:val="24"/>
        </w:rPr>
        <w:footnoteReference w:id="2"/>
      </w:r>
      <w:r>
        <w:rPr>
          <w:rFonts w:ascii="Times New Roman" w:hAnsi="Times New Roman"/>
          <w:sz w:val="24"/>
        </w:rPr>
        <w:t>, lorsqu'il ne détient aucune position.</w:t>
      </w:r>
    </w:p>
    <w:p w:rsidR="00612780" w:rsidRPr="00392FFD" w:rsidRDefault="00612780" w:rsidP="00612780">
      <w:pPr>
        <w:pStyle w:val="PlainText"/>
        <w:ind w:left="567"/>
        <w:jc w:val="both"/>
        <w:rPr>
          <w:rFonts w:ascii="Times New Roman" w:hAnsi="Times New Roman"/>
          <w:sz w:val="24"/>
          <w:szCs w:val="24"/>
        </w:rPr>
      </w:pPr>
    </w:p>
    <w:p w:rsidR="00612780" w:rsidRPr="00125707" w:rsidRDefault="00125707" w:rsidP="0023700C">
      <w:pPr>
        <w:autoSpaceDE w:val="0"/>
        <w:autoSpaceDN w:val="0"/>
        <w:adjustRightInd w:val="0"/>
        <w:spacing w:before="0" w:after="0"/>
        <w:ind w:left="1287" w:hanging="360"/>
        <w:rPr>
          <w:rFonts w:ascii="Times New Roman" w:hAnsi="Times New Roman"/>
          <w:sz w:val="24"/>
        </w:rPr>
      </w:pPr>
      <w:r>
        <w:rPr>
          <w:rFonts w:ascii="Times New Roman" w:hAnsi="Times New Roman"/>
          <w:sz w:val="24"/>
        </w:rPr>
        <w:t>c)</w:t>
      </w:r>
      <w:r>
        <w:tab/>
      </w:r>
      <w:r>
        <w:rPr>
          <w:rFonts w:ascii="Times New Roman" w:hAnsi="Times New Roman"/>
          <w:sz w:val="24"/>
        </w:rPr>
        <w:t>Les titrisations dont les sous-jacents en dernière analyse sont des passifs fina</w:t>
      </w:r>
      <w:r>
        <w:rPr>
          <w:rFonts w:ascii="Times New Roman" w:hAnsi="Times New Roman"/>
          <w:sz w:val="24"/>
        </w:rPr>
        <w:t>n</w:t>
      </w:r>
      <w:r>
        <w:rPr>
          <w:rFonts w:ascii="Times New Roman" w:hAnsi="Times New Roman"/>
          <w:sz w:val="24"/>
        </w:rPr>
        <w:t>ciers initialement émis par l’établissement déclarant et (partiellement) acquis par un véhicule de titrisation. Ces sous-jacents pourraient inclure des obligations g</w:t>
      </w:r>
      <w:r>
        <w:rPr>
          <w:rFonts w:ascii="Times New Roman" w:hAnsi="Times New Roman"/>
          <w:sz w:val="24"/>
        </w:rPr>
        <w:t>a</w:t>
      </w:r>
      <w:r>
        <w:rPr>
          <w:rFonts w:ascii="Times New Roman" w:hAnsi="Times New Roman"/>
          <w:sz w:val="24"/>
        </w:rPr>
        <w:t>ranties ou autres passifs et sont identifiés en tant que tels dans la colonne 160.</w:t>
      </w:r>
    </w:p>
    <w:p w:rsidR="00612780" w:rsidRPr="00392FFD" w:rsidRDefault="00612780" w:rsidP="00612780">
      <w:pPr>
        <w:pStyle w:val="PlainText"/>
        <w:ind w:left="567"/>
        <w:jc w:val="both"/>
        <w:rPr>
          <w:rFonts w:ascii="Times New Roman" w:hAnsi="Times New Roman"/>
          <w:sz w:val="24"/>
          <w:szCs w:val="24"/>
        </w:rPr>
      </w:pPr>
    </w:p>
    <w:p w:rsidR="00612780" w:rsidRPr="00392FFD" w:rsidRDefault="00125707" w:rsidP="0023700C">
      <w:pPr>
        <w:pStyle w:val="PlainText"/>
        <w:ind w:left="1287" w:hanging="360"/>
        <w:jc w:val="both"/>
        <w:rPr>
          <w:rFonts w:ascii="Times New Roman" w:hAnsi="Times New Roman"/>
          <w:sz w:val="24"/>
          <w:szCs w:val="24"/>
        </w:rPr>
      </w:pPr>
      <w:r>
        <w:rPr>
          <w:rFonts w:ascii="Times New Roman" w:hAnsi="Times New Roman"/>
          <w:sz w:val="24"/>
        </w:rPr>
        <w:t>d.</w:t>
      </w:r>
      <w:r>
        <w:tab/>
      </w:r>
      <w:r>
        <w:rPr>
          <w:rFonts w:ascii="Times New Roman" w:hAnsi="Times New Roman"/>
          <w:sz w:val="24"/>
        </w:rPr>
        <w:t>Les positions détenues dans des titrisations dont l'établissement déclarant n'est ni l'initiateur ni le sponsor (c'est-à-dire les investisseurs et les prêteurs initiaux).</w:t>
      </w:r>
    </w:p>
    <w:p w:rsidR="00612780" w:rsidRPr="00392FFD" w:rsidRDefault="00612780" w:rsidP="00612780">
      <w:pPr>
        <w:autoSpaceDE w:val="0"/>
        <w:autoSpaceDN w:val="0"/>
        <w:adjustRightInd w:val="0"/>
        <w:spacing w:before="0" w:after="0"/>
        <w:ind w:left="567"/>
        <w:rPr>
          <w:rFonts w:ascii="Times New Roman" w:hAnsi="Times New Roman"/>
          <w:sz w:val="24"/>
        </w:rPr>
      </w:pPr>
    </w:p>
    <w:p w:rsidR="00612780" w:rsidRPr="00392FFD" w:rsidRDefault="00125707" w:rsidP="0023700C">
      <w:pPr>
        <w:pStyle w:val="InstructionsText2"/>
        <w:numPr>
          <w:ilvl w:val="0"/>
          <w:numId w:val="0"/>
        </w:numPr>
        <w:ind w:left="1353" w:hanging="360"/>
      </w:pPr>
      <w:r>
        <w:t>111.</w:t>
      </w:r>
      <w:r>
        <w:tab/>
        <w:t>Ce modèle est utilisé par les groupes consolidés et les établissements indépe</w:t>
      </w:r>
      <w:r>
        <w:t>n</w:t>
      </w:r>
      <w:r>
        <w:t>dants</w:t>
      </w:r>
      <w:r>
        <w:rPr>
          <w:vertAlign w:val="superscript"/>
        </w:rPr>
        <w:footnoteReference w:id="3"/>
      </w:r>
      <w:r>
        <w:t xml:space="preserve"> situés dans le même pays que celui où ils sont soumis aux exigences de fonds propres. Dans le cas des titrisations impliquant plusieurs entités d’un même groupe consolidé, une ventilation détaillée entité par entité sera fournie. </w:t>
      </w:r>
    </w:p>
    <w:p w:rsidR="00612780" w:rsidRPr="00392FFD" w:rsidRDefault="00125707" w:rsidP="0023700C">
      <w:pPr>
        <w:pStyle w:val="InstructionsText2"/>
        <w:numPr>
          <w:ilvl w:val="0"/>
          <w:numId w:val="0"/>
        </w:numPr>
        <w:ind w:left="1353" w:hanging="360"/>
      </w:pPr>
      <w:r>
        <w:t>112.</w:t>
      </w:r>
      <w:r>
        <w:tab/>
        <w:t>En vertu de l’article 406, paragraphe 1, du CRR, qui dispose que les établiss</w:t>
      </w:r>
      <w:r>
        <w:t>e</w:t>
      </w:r>
      <w:r>
        <w:t>ments qui investissent dans des positions de titrisation doivent rassembler une quantité importante d’informations sur celles-ci afin de satisfaire aux exigences de diligence appropriée, ce modèle s’applique dans une certaine mesure aux i</w:t>
      </w:r>
      <w:r>
        <w:t>n</w:t>
      </w:r>
      <w:r>
        <w:t>vestisseurs. En particulier, ces derniers déclarent les colonnes 010-040, 070-110, 160, 190, 290-400, et 420-470.</w:t>
      </w:r>
    </w:p>
    <w:p w:rsidR="00612780" w:rsidRPr="00392FFD" w:rsidRDefault="00125707" w:rsidP="0023700C">
      <w:pPr>
        <w:pStyle w:val="InstructionsText2"/>
        <w:numPr>
          <w:ilvl w:val="0"/>
          <w:numId w:val="0"/>
        </w:numPr>
        <w:ind w:left="1353" w:hanging="360"/>
      </w:pPr>
      <w:r>
        <w:t>113.</w:t>
      </w:r>
      <w:r>
        <w:tab/>
        <w:t>En règle générale, les établissements qui jouent le rôle de prêteur initial (sans être par ailleurs initiateurs ou sponsors de la même titrisation) remplissent le modèle comme les investisseurs.</w:t>
      </w:r>
    </w:p>
    <w:p w:rsidR="00612780" w:rsidRPr="00321A3B" w:rsidRDefault="00125707" w:rsidP="0023700C">
      <w:pPr>
        <w:pStyle w:val="Instructionsberschrift2"/>
        <w:numPr>
          <w:ilvl w:val="0"/>
          <w:numId w:val="0"/>
        </w:numPr>
        <w:ind w:left="357" w:hanging="357"/>
        <w:rPr>
          <w:rFonts w:ascii="Times New Roman" w:hAnsi="Times New Roman" w:cs="Times New Roman"/>
          <w:sz w:val="24"/>
        </w:rPr>
      </w:pPr>
      <w:bookmarkStart w:id="417" w:name="_Toc310415048"/>
      <w:bookmarkStart w:id="418" w:name="_Toc360188383"/>
      <w:bookmarkStart w:id="419" w:name="_Toc473560934"/>
      <w:bookmarkStart w:id="420" w:name="_Toc496022329"/>
      <w:r>
        <w:rPr>
          <w:rFonts w:ascii="Times New Roman" w:hAnsi="Times New Roman"/>
          <w:sz w:val="24"/>
          <w:u w:val="none"/>
        </w:rPr>
        <w:t>3.9.2.</w:t>
      </w:r>
      <w:r>
        <w:tab/>
      </w:r>
      <w:r>
        <w:rPr>
          <w:rFonts w:ascii="Times New Roman" w:hAnsi="Times New Roman"/>
          <w:sz w:val="24"/>
        </w:rPr>
        <w:t>Instructions concernant certaines positions</w:t>
      </w:r>
      <w:bookmarkEnd w:id="417"/>
      <w:bookmarkEnd w:id="418"/>
      <w:bookmarkEnd w:id="419"/>
      <w:bookmarkEnd w:id="420"/>
    </w:p>
    <w:p w:rsidR="00612780" w:rsidRPr="00392FFD" w:rsidRDefault="00612780" w:rsidP="00612780">
      <w:pPr>
        <w:autoSpaceDE w:val="0"/>
        <w:autoSpaceDN w:val="0"/>
        <w:adjustRightInd w:val="0"/>
        <w:spacing w:before="0" w:after="0"/>
        <w:ind w:left="284"/>
        <w:jc w:val="left"/>
        <w:rPr>
          <w:rFonts w:ascii="Times New Roman" w:hAnsi="Times New Roman"/>
          <w:sz w:val="24"/>
        </w:rPr>
      </w:pP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1"/>
        <w:gridCol w:w="7903"/>
      </w:tblGrid>
      <w:tr w:rsidR="00612780" w:rsidRPr="00392FFD" w:rsidTr="00612780">
        <w:tc>
          <w:tcPr>
            <w:tcW w:w="9004" w:type="dxa"/>
            <w:gridSpan w:val="2"/>
            <w:shd w:val="clear" w:color="auto" w:fill="CCCCCC"/>
          </w:tcPr>
          <w:p w:rsidR="00612780" w:rsidRPr="00392FFD" w:rsidRDefault="00612780" w:rsidP="00612780">
            <w:pPr>
              <w:autoSpaceDE w:val="0"/>
              <w:autoSpaceDN w:val="0"/>
              <w:adjustRightInd w:val="0"/>
              <w:spacing w:before="0" w:after="0"/>
              <w:rPr>
                <w:rFonts w:ascii="Times New Roman" w:hAnsi="Times New Roman"/>
                <w:bCs/>
                <w:sz w:val="24"/>
              </w:rPr>
            </w:pPr>
          </w:p>
          <w:p w:rsidR="00612780" w:rsidRPr="00392FFD" w:rsidRDefault="00612780" w:rsidP="00612780">
            <w:pPr>
              <w:autoSpaceDE w:val="0"/>
              <w:autoSpaceDN w:val="0"/>
              <w:adjustRightInd w:val="0"/>
              <w:spacing w:before="0" w:after="0"/>
              <w:rPr>
                <w:rFonts w:ascii="Times New Roman" w:hAnsi="Times New Roman"/>
                <w:b/>
                <w:bCs/>
                <w:sz w:val="24"/>
              </w:rPr>
            </w:pPr>
            <w:r>
              <w:rPr>
                <w:rFonts w:ascii="Times New Roman" w:hAnsi="Times New Roman"/>
                <w:b/>
                <w:sz w:val="24"/>
              </w:rPr>
              <w:t>Colonnes</w:t>
            </w:r>
          </w:p>
          <w:p w:rsidR="00612780" w:rsidRPr="00392FFD" w:rsidRDefault="00612780" w:rsidP="00612780">
            <w:pPr>
              <w:autoSpaceDE w:val="0"/>
              <w:autoSpaceDN w:val="0"/>
              <w:adjustRightInd w:val="0"/>
              <w:spacing w:before="0" w:after="0"/>
              <w:rPr>
                <w:rFonts w:ascii="Times New Roman" w:hAnsi="Times New Roman"/>
                <w:bCs/>
                <w:sz w:val="24"/>
              </w:rPr>
            </w:pPr>
          </w:p>
        </w:tc>
      </w:tr>
      <w:tr w:rsidR="007F7831" w:rsidRPr="00392FFD" w:rsidTr="00612780">
        <w:tc>
          <w:tcPr>
            <w:tcW w:w="1101" w:type="dxa"/>
          </w:tcPr>
          <w:p w:rsidR="007F7831" w:rsidRPr="00392FFD" w:rsidRDefault="007F7831" w:rsidP="00612780">
            <w:pPr>
              <w:autoSpaceDE w:val="0"/>
              <w:autoSpaceDN w:val="0"/>
              <w:adjustRightInd w:val="0"/>
              <w:spacing w:before="0" w:after="0"/>
              <w:rPr>
                <w:rFonts w:ascii="Times New Roman" w:hAnsi="Times New Roman"/>
                <w:bCs/>
                <w:sz w:val="24"/>
              </w:rPr>
            </w:pPr>
            <w:r>
              <w:rPr>
                <w:rFonts w:ascii="Times New Roman" w:hAnsi="Times New Roman"/>
                <w:sz w:val="24"/>
              </w:rPr>
              <w:t>005</w:t>
            </w:r>
          </w:p>
        </w:tc>
        <w:tc>
          <w:tcPr>
            <w:tcW w:w="7903" w:type="dxa"/>
          </w:tcPr>
          <w:p w:rsidR="007F7831" w:rsidRPr="00392FFD" w:rsidRDefault="007F7831" w:rsidP="00612780">
            <w:pPr>
              <w:spacing w:before="0" w:after="0"/>
              <w:jc w:val="left"/>
              <w:rPr>
                <w:rFonts w:ascii="Times New Roman" w:hAnsi="Times New Roman"/>
                <w:b/>
                <w:sz w:val="24"/>
                <w:u w:val="single"/>
              </w:rPr>
            </w:pPr>
            <w:r>
              <w:rPr>
                <w:rFonts w:ascii="Times New Roman" w:hAnsi="Times New Roman"/>
                <w:b/>
                <w:sz w:val="24"/>
                <w:u w:val="single"/>
              </w:rPr>
              <w:t>NUMÉRO DE LIGNE</w:t>
            </w:r>
          </w:p>
          <w:p w:rsidR="007F7831" w:rsidRPr="00392FFD" w:rsidRDefault="007F7831" w:rsidP="00612780">
            <w:pPr>
              <w:spacing w:before="0" w:after="0"/>
              <w:jc w:val="left"/>
              <w:rPr>
                <w:rFonts w:ascii="Times New Roman" w:hAnsi="Times New Roman"/>
                <w:b/>
                <w:sz w:val="24"/>
                <w:u w:val="single"/>
              </w:rPr>
            </w:pPr>
          </w:p>
          <w:p w:rsidR="007F7831" w:rsidRPr="00392FFD" w:rsidRDefault="007F7831" w:rsidP="00FF2D0E">
            <w:pPr>
              <w:autoSpaceDE w:val="0"/>
              <w:autoSpaceDN w:val="0"/>
              <w:adjustRightInd w:val="0"/>
              <w:spacing w:before="0" w:after="0"/>
              <w:rPr>
                <w:rFonts w:ascii="Times New Roman" w:hAnsi="Times New Roman"/>
                <w:sz w:val="24"/>
              </w:rPr>
            </w:pPr>
            <w:r>
              <w:rPr>
                <w:rFonts w:ascii="Times New Roman" w:hAnsi="Times New Roman"/>
                <w:sz w:val="24"/>
              </w:rPr>
              <w:t>Le numéro de ligne est un identifiant de ligne et est propre à chaque ligne du tableau. Il suit l’ordre numérique: 1, 2, 3, etc.</w:t>
            </w:r>
          </w:p>
          <w:p w:rsidR="007F7831" w:rsidRPr="00392FFD" w:rsidRDefault="007F7831" w:rsidP="00FF2D0E">
            <w:pPr>
              <w:autoSpaceDE w:val="0"/>
              <w:autoSpaceDN w:val="0"/>
              <w:adjustRightInd w:val="0"/>
              <w:spacing w:before="0" w:after="0"/>
              <w:rPr>
                <w:rFonts w:ascii="Times New Roman" w:hAnsi="Times New Roman"/>
                <w:b/>
                <w:sz w:val="24"/>
                <w:u w:val="single"/>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highlight w:val="yellow"/>
              </w:rPr>
            </w:pPr>
            <w:r>
              <w:rPr>
                <w:rFonts w:ascii="Times New Roman" w:hAnsi="Times New Roman"/>
                <w:sz w:val="24"/>
              </w:rPr>
              <w:t>010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CODE INTERNE</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Code (alphanumérique) interne utilisé par l’établissement pour identifier la t</w:t>
            </w:r>
            <w:r>
              <w:rPr>
                <w:rFonts w:ascii="Times New Roman" w:hAnsi="Times New Roman"/>
                <w:sz w:val="24"/>
              </w:rPr>
              <w:t>i</w:t>
            </w:r>
            <w:r>
              <w:rPr>
                <w:rFonts w:ascii="Times New Roman" w:hAnsi="Times New Roman"/>
                <w:sz w:val="24"/>
              </w:rPr>
              <w:t>trisation. Ce code interne sera associé à l’identifiant de la titrisation.</w:t>
            </w:r>
          </w:p>
          <w:p w:rsidR="00612780" w:rsidRPr="00392FFD" w:rsidRDefault="00612780" w:rsidP="00612780">
            <w:pPr>
              <w:autoSpaceDE w:val="0"/>
              <w:autoSpaceDN w:val="0"/>
              <w:adjustRightInd w:val="0"/>
              <w:spacing w:before="0" w:after="0"/>
              <w:jc w:val="left"/>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020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IDENTIFIANT DE LA TITRISATION</w:t>
            </w:r>
            <w:r>
              <w:rPr>
                <w:rFonts w:ascii="Times New Roman" w:hAnsi="Times New Roman"/>
                <w:b/>
                <w:sz w:val="24"/>
              </w:rPr>
              <w:t xml:space="preserve"> (Code/Nom)</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lastRenderedPageBreak/>
              <w:t>Code utilisé pour l’enregistrement légal de la titrisation ou, s’il n’est pas disp</w:t>
            </w:r>
            <w:r>
              <w:rPr>
                <w:rFonts w:ascii="Times New Roman" w:hAnsi="Times New Roman"/>
                <w:sz w:val="24"/>
              </w:rPr>
              <w:t>o</w:t>
            </w:r>
            <w:r>
              <w:rPr>
                <w:rFonts w:ascii="Times New Roman" w:hAnsi="Times New Roman"/>
                <w:sz w:val="24"/>
              </w:rPr>
              <w:t>nible, le nom sous lequel la titrisation est connue sur le marché. Si le code ISIN (International Securities Identification Number) est disponible (pour les opér</w:t>
            </w:r>
            <w:r>
              <w:rPr>
                <w:rFonts w:ascii="Times New Roman" w:hAnsi="Times New Roman"/>
                <w:sz w:val="24"/>
              </w:rPr>
              <w:t>a</w:t>
            </w:r>
            <w:r>
              <w:rPr>
                <w:rFonts w:ascii="Times New Roman" w:hAnsi="Times New Roman"/>
                <w:sz w:val="24"/>
              </w:rPr>
              <w:t>tions publiques), les caractères communs à toutes les tranches de la titrisation seront mentionnés dans cette colonne.</w:t>
            </w:r>
          </w:p>
          <w:p w:rsidR="00612780" w:rsidRPr="00392FFD" w:rsidRDefault="00612780" w:rsidP="00612780">
            <w:pPr>
              <w:autoSpaceDE w:val="0"/>
              <w:autoSpaceDN w:val="0"/>
              <w:adjustRightInd w:val="0"/>
              <w:spacing w:before="0" w:after="0"/>
              <w:jc w:val="left"/>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lastRenderedPageBreak/>
              <w:t>030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IDENTIFIANT DE L’INITIATEUR</w:t>
            </w:r>
            <w:r>
              <w:rPr>
                <w:rFonts w:ascii="Times New Roman" w:hAnsi="Times New Roman"/>
                <w:b/>
                <w:sz w:val="24"/>
              </w:rPr>
              <w:t xml:space="preserve"> (Code/Nom)</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Dans cette colonne doit figurer le code attribué par l’autorité de surveillance à l’initiateur ou, s’il n’est pas disponible, le nom de l’établissement lui-même.</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Dans le cas des titrisations avec plusieurs vendeurs, l’établissement déclarant mentionnera l’identifiant de toutes les entités faisant partie de son groupe co</w:t>
            </w:r>
            <w:r>
              <w:rPr>
                <w:rFonts w:ascii="Times New Roman" w:hAnsi="Times New Roman"/>
                <w:sz w:val="24"/>
              </w:rPr>
              <w:t>n</w:t>
            </w:r>
            <w:r>
              <w:rPr>
                <w:rFonts w:ascii="Times New Roman" w:hAnsi="Times New Roman"/>
                <w:sz w:val="24"/>
              </w:rPr>
              <w:t>solidé qui sont impliquées (en tant qu’initiateur, sponsor ou prêteur initial) dans la transaction. Lorsque le code n’est pas disponible ou connu de l’entité décl</w:t>
            </w:r>
            <w:r>
              <w:rPr>
                <w:rFonts w:ascii="Times New Roman" w:hAnsi="Times New Roman"/>
                <w:sz w:val="24"/>
              </w:rPr>
              <w:t>a</w:t>
            </w:r>
            <w:r>
              <w:rPr>
                <w:rFonts w:ascii="Times New Roman" w:hAnsi="Times New Roman"/>
                <w:sz w:val="24"/>
              </w:rPr>
              <w:t>rante, le nom de l’établissement sera utilisé.</w:t>
            </w:r>
          </w:p>
          <w:p w:rsidR="00612780" w:rsidRPr="00392FFD" w:rsidRDefault="00612780" w:rsidP="00612780">
            <w:pPr>
              <w:autoSpaceDE w:val="0"/>
              <w:autoSpaceDN w:val="0"/>
              <w:adjustRightInd w:val="0"/>
              <w:spacing w:before="0" w:after="0"/>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highlight w:val="yellow"/>
              </w:rPr>
            </w:pPr>
            <w:r>
              <w:rPr>
                <w:rFonts w:ascii="Times New Roman" w:hAnsi="Times New Roman"/>
                <w:sz w:val="24"/>
              </w:rPr>
              <w:t>040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 xml:space="preserve">TYPE DE TITRISATION: (CLASSIQUE/ SYNTHÉTIQUE) </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Les abréviations suivantes seront utilisées:</w:t>
            </w:r>
            <w:r>
              <w:rPr>
                <w:rFonts w:ascii="Times New Roman" w:hAnsi="Times New Roman"/>
                <w:sz w:val="24"/>
              </w:rPr>
              <w:br/>
              <w:t>- «T» pour classique;</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xml:space="preserve">- «S» pour synthétique. </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La «titrisation classique» et la «titrisation synthétique» sont définies à l’article 242, points 10 et 11, du CRR.</w:t>
            </w:r>
          </w:p>
          <w:p w:rsidR="00612780" w:rsidRPr="00392FFD" w:rsidRDefault="00612780" w:rsidP="00612780">
            <w:pPr>
              <w:autoSpaceDE w:val="0"/>
              <w:autoSpaceDN w:val="0"/>
              <w:adjustRightInd w:val="0"/>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highlight w:val="yellow"/>
              </w:rPr>
            </w:pPr>
            <w:r>
              <w:rPr>
                <w:rFonts w:ascii="Times New Roman" w:hAnsi="Times New Roman"/>
                <w:sz w:val="24"/>
              </w:rPr>
              <w:t>050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TRAITEMENT COMPTABLE: LES EXPOSITIONS TITRISÉES SONT-ELLES COMPTABILISÉES AU BILAN OU RETIRÉES?</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706D25" w:rsidP="00612780">
            <w:pPr>
              <w:autoSpaceDE w:val="0"/>
              <w:autoSpaceDN w:val="0"/>
              <w:adjustRightInd w:val="0"/>
              <w:spacing w:before="0" w:after="0"/>
              <w:jc w:val="left"/>
              <w:rPr>
                <w:rFonts w:ascii="Times New Roman" w:hAnsi="Times New Roman"/>
                <w:sz w:val="24"/>
              </w:rPr>
            </w:pPr>
            <w:r>
              <w:rPr>
                <w:rFonts w:ascii="Times New Roman" w:hAnsi="Times New Roman"/>
                <w:sz w:val="24"/>
              </w:rPr>
              <w:t>Les initiateurs, sponsors et prêteurs initiaux mentionnent l’une des abréviations suivantes:</w:t>
            </w:r>
          </w:p>
          <w:p w:rsidR="00612780" w:rsidRPr="00392FFD" w:rsidRDefault="00612780" w:rsidP="00612780">
            <w:pPr>
              <w:autoSpaceDE w:val="0"/>
              <w:autoSpaceDN w:val="0"/>
              <w:adjustRightInd w:val="0"/>
              <w:spacing w:before="0" w:after="0"/>
              <w:ind w:left="1440" w:hanging="1440"/>
              <w:jc w:val="left"/>
              <w:rPr>
                <w:rFonts w:ascii="Times New Roman" w:hAnsi="Times New Roman"/>
                <w:sz w:val="24"/>
              </w:rPr>
            </w:pPr>
            <w:r>
              <w:rPr>
                <w:rFonts w:ascii="Times New Roman" w:hAnsi="Times New Roman"/>
                <w:sz w:val="24"/>
              </w:rPr>
              <w:t>- «K» lorsque les expositions titrisées sont totalement comptabilisées</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«P» lorsque les expositions titrisées sont partiellement décomptabilisées</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«R» lorsque les expositions titrisées sont totalement décomptabilisées</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«N» pour «sans objet».</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Cette colonne synthétise le traitement comptable de l’opération. </w:t>
            </w: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Dans le cas des titrisations synthétiques, les initiateurs doivent indiquer que les expositions titrisées ont été sorties du bilan.</w:t>
            </w: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Dans le cas de titrisations de passifs, les initiateurs ne doivent pas remplir cette colonne.</w:t>
            </w: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L’option «P» (expositions titrisées partiellement décomptabilisées) sera utilisée lorsque les actifs titrisés sont comptabilisés au bilan à hauteur de l'implication continue de l’entité déclarante, tel que régi par la norme IAS 39.30-35. </w:t>
            </w:r>
          </w:p>
          <w:p w:rsidR="00612780" w:rsidRPr="00392FFD" w:rsidRDefault="00612780" w:rsidP="00612780">
            <w:pPr>
              <w:autoSpaceDE w:val="0"/>
              <w:autoSpaceDN w:val="0"/>
              <w:adjustRightInd w:val="0"/>
              <w:spacing w:before="0" w:after="0"/>
              <w:jc w:val="left"/>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highlight w:val="yellow"/>
              </w:rPr>
            </w:pPr>
            <w:r>
              <w:rPr>
                <w:rFonts w:ascii="Times New Roman" w:hAnsi="Times New Roman"/>
                <w:sz w:val="24"/>
              </w:rPr>
              <w:t>060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TRAITEMENT DE SOLVABILITÉ: LES POSITIONS DE TITRIS</w:t>
            </w:r>
            <w:r>
              <w:rPr>
                <w:rFonts w:ascii="Times New Roman" w:hAnsi="Times New Roman"/>
                <w:b/>
                <w:sz w:val="24"/>
                <w:u w:val="single"/>
              </w:rPr>
              <w:t>A</w:t>
            </w:r>
            <w:r>
              <w:rPr>
                <w:rFonts w:ascii="Times New Roman" w:hAnsi="Times New Roman"/>
                <w:b/>
                <w:sz w:val="24"/>
                <w:u w:val="single"/>
              </w:rPr>
              <w:t>TION FONT-ELLES L’OBJET D’EXIGENCES DE FONDS PROPRES?</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xml:space="preserve">Seuls les initiateurs mentionnent les abréviations suivantes: </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lastRenderedPageBreak/>
              <w:t>- «N» pour non soumis à des exigences de fonds propres;</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«B» pour portefeuille d’intermédiation bancaire;</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«T» pour portefeuille de négociation;</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xml:space="preserve">- «A» pour en partie dans les deux portefeuilles. </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Articles 109, 243 et 244 du CRR.</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Cette colonne synthétise le traitement de solvabilité du dispositif de titrisation par l’initiateur. Elle indique si les exigences de fonds propres sont calculées en fonction des expositions titrisées ou des positions de titrisation (portefeuille d’intermédiation bancaire/portefeuille de négociation). </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Lorsque les exigences de fonds propres sont basées sur des </w:t>
            </w:r>
            <w:r>
              <w:rPr>
                <w:rFonts w:ascii="Times New Roman" w:hAnsi="Times New Roman"/>
                <w:i/>
                <w:sz w:val="24"/>
              </w:rPr>
              <w:t>expositions titrisées</w:t>
            </w:r>
            <w:r>
              <w:rPr>
                <w:rFonts w:ascii="Times New Roman" w:hAnsi="Times New Roman"/>
                <w:sz w:val="24"/>
              </w:rPr>
              <w:t xml:space="preserve"> (car elles ne constituent pas un transfert de risque significatif), le calcul des exigences de fonds propres pour risque de crédit sera déclaré dans le modèle CR SA, si l’approche standard est utilisée par l’établissement, ou dans le m</w:t>
            </w:r>
            <w:r>
              <w:rPr>
                <w:rFonts w:ascii="Times New Roman" w:hAnsi="Times New Roman"/>
                <w:sz w:val="24"/>
              </w:rPr>
              <w:t>o</w:t>
            </w:r>
            <w:r>
              <w:rPr>
                <w:rFonts w:ascii="Times New Roman" w:hAnsi="Times New Roman"/>
                <w:sz w:val="24"/>
              </w:rPr>
              <w:t>dèle CR IRB, si l’approche NI est utilisée.</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 xml:space="preserve">En revanche, lorsque les exigences de fonds propres sont basées sur des </w:t>
            </w:r>
            <w:r>
              <w:rPr>
                <w:rFonts w:ascii="Times New Roman" w:hAnsi="Times New Roman"/>
                <w:i/>
                <w:sz w:val="24"/>
              </w:rPr>
              <w:t>pos</w:t>
            </w:r>
            <w:r>
              <w:rPr>
                <w:rFonts w:ascii="Times New Roman" w:hAnsi="Times New Roman"/>
                <w:i/>
                <w:sz w:val="24"/>
              </w:rPr>
              <w:t>i</w:t>
            </w:r>
            <w:r>
              <w:rPr>
                <w:rFonts w:ascii="Times New Roman" w:hAnsi="Times New Roman"/>
                <w:i/>
                <w:sz w:val="24"/>
              </w:rPr>
              <w:t>tions de titrisation détenues dans le portefeuille d’intermédiation bancaire</w:t>
            </w:r>
            <w:r>
              <w:rPr>
                <w:rFonts w:ascii="Times New Roman" w:hAnsi="Times New Roman"/>
                <w:sz w:val="24"/>
              </w:rPr>
              <w:t xml:space="preserve"> (car elles constituent un transfert de risque significatif), le calcul des exigences de fonds propres pour risque de crédit sera déclaré dans les modèles CR SEC SA ou CR SEC IRB. Dans le cas des </w:t>
            </w:r>
            <w:r>
              <w:rPr>
                <w:rFonts w:ascii="Times New Roman" w:hAnsi="Times New Roman"/>
                <w:i/>
                <w:sz w:val="24"/>
              </w:rPr>
              <w:t>positions de titrisation détenues dans le port</w:t>
            </w:r>
            <w:r>
              <w:rPr>
                <w:rFonts w:ascii="Times New Roman" w:hAnsi="Times New Roman"/>
                <w:i/>
                <w:sz w:val="24"/>
              </w:rPr>
              <w:t>e</w:t>
            </w:r>
            <w:r>
              <w:rPr>
                <w:rFonts w:ascii="Times New Roman" w:hAnsi="Times New Roman"/>
                <w:i/>
                <w:sz w:val="24"/>
              </w:rPr>
              <w:t>feuille de négociation</w:t>
            </w:r>
            <w:r>
              <w:rPr>
                <w:rFonts w:ascii="Times New Roman" w:hAnsi="Times New Roman"/>
                <w:sz w:val="24"/>
              </w:rPr>
              <w:t>, le calcul des exigences de fonds propres pour risque de marché sera déclaré dans les modèles MKR SA TDI (risque de position général selon l’approche standard), MKR SA SEC ou MKR SA CTP (risque de pos</w:t>
            </w:r>
            <w:r>
              <w:rPr>
                <w:rFonts w:ascii="Times New Roman" w:hAnsi="Times New Roman"/>
                <w:sz w:val="24"/>
              </w:rPr>
              <w:t>i</w:t>
            </w:r>
            <w:r>
              <w:rPr>
                <w:rFonts w:ascii="Times New Roman" w:hAnsi="Times New Roman"/>
                <w:sz w:val="24"/>
              </w:rPr>
              <w:t>tion spécifique selon l’approche standard), ou MKR IM (modèles internes).</w:t>
            </w: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Dans le cas des titrisations de passifs, les initiateurs ne doivent pas remplir cette colonne.</w:t>
            </w:r>
          </w:p>
          <w:p w:rsidR="00612780" w:rsidRPr="00392FFD" w:rsidRDefault="00612780" w:rsidP="00612780">
            <w:pPr>
              <w:autoSpaceDE w:val="0"/>
              <w:autoSpaceDN w:val="0"/>
              <w:adjustRightInd w:val="0"/>
              <w:spacing w:before="0" w:after="0"/>
              <w:jc w:val="left"/>
              <w:rPr>
                <w:rFonts w:ascii="Times New Roman" w:hAnsi="Times New Roman"/>
                <w:bCs/>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lastRenderedPageBreak/>
              <w:t>070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TITRISATION OU RETITRISATION?</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Conformément aux définitions de la «titrisation» et de la «retitrisation» do</w:t>
            </w:r>
            <w:r>
              <w:rPr>
                <w:rFonts w:ascii="Times New Roman" w:hAnsi="Times New Roman"/>
                <w:sz w:val="24"/>
              </w:rPr>
              <w:t>n</w:t>
            </w:r>
            <w:r>
              <w:rPr>
                <w:rFonts w:ascii="Times New Roman" w:hAnsi="Times New Roman"/>
                <w:sz w:val="24"/>
              </w:rPr>
              <w:t>nées à l’article 4, paragraphe 1, points 61 et 62 à 64, du CRR, déclarer le type de sous-jacent en utilisant les abréviations suivantes:</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«S» pour titrisation;</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«R» pour retitrisation.</w:t>
            </w:r>
          </w:p>
          <w:p w:rsidR="00612780" w:rsidRPr="00392FFD" w:rsidRDefault="00612780" w:rsidP="00612780">
            <w:pPr>
              <w:spacing w:before="0" w:after="0"/>
              <w:jc w:val="left"/>
              <w:rPr>
                <w:rFonts w:ascii="Times New Roman" w:hAnsi="Times New Roman"/>
                <w:b/>
                <w:sz w:val="24"/>
                <w:u w:val="single"/>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sz w:val="24"/>
                <w:highlight w:val="yellow"/>
              </w:rPr>
            </w:pPr>
            <w:r>
              <w:rPr>
                <w:rFonts w:ascii="Times New Roman" w:hAnsi="Times New Roman"/>
                <w:sz w:val="24"/>
              </w:rPr>
              <w:t>080-100</w:t>
            </w:r>
          </w:p>
        </w:tc>
        <w:tc>
          <w:tcPr>
            <w:tcW w:w="7903" w:type="dxa"/>
          </w:tcPr>
          <w:p w:rsidR="00612780" w:rsidRPr="00392FFD" w:rsidRDefault="00612780" w:rsidP="00612780">
            <w:pPr>
              <w:spacing w:before="0" w:after="0"/>
              <w:jc w:val="left"/>
              <w:rPr>
                <w:rFonts w:ascii="Times New Roman" w:hAnsi="Times New Roman"/>
                <w:sz w:val="24"/>
              </w:rPr>
            </w:pPr>
            <w:r>
              <w:rPr>
                <w:rFonts w:ascii="Times New Roman" w:hAnsi="Times New Roman"/>
                <w:b/>
                <w:sz w:val="24"/>
                <w:u w:val="single"/>
              </w:rPr>
              <w:t>RÉTENTION</w:t>
            </w:r>
          </w:p>
          <w:p w:rsidR="00612780" w:rsidRPr="00392FFD" w:rsidRDefault="00612780" w:rsidP="00612780">
            <w:pPr>
              <w:spacing w:before="0" w:after="0"/>
              <w:jc w:val="left"/>
              <w:rPr>
                <w:rFonts w:ascii="Times New Roman" w:hAnsi="Times New Roman"/>
                <w:sz w:val="24"/>
              </w:rPr>
            </w:pPr>
            <w:r>
              <w:rPr>
                <w:rFonts w:ascii="Times New Roman" w:hAnsi="Times New Roman"/>
                <w:sz w:val="24"/>
              </w:rPr>
              <w:t>Articles 404 à 410 du CRR.</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highlight w:val="yellow"/>
              </w:rPr>
            </w:pPr>
            <w:r>
              <w:rPr>
                <w:rFonts w:ascii="Times New Roman" w:hAnsi="Times New Roman"/>
                <w:sz w:val="24"/>
              </w:rPr>
              <w:t>080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TYPE DE RÉTENTION APPLIQUÉE</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Pour chaque dispositif de titrisation initié, il convient de déclarer le type de r</w:t>
            </w:r>
            <w:r>
              <w:rPr>
                <w:rFonts w:ascii="Times New Roman" w:hAnsi="Times New Roman"/>
                <w:sz w:val="24"/>
              </w:rPr>
              <w:t>é</w:t>
            </w:r>
            <w:r>
              <w:rPr>
                <w:rFonts w:ascii="Times New Roman" w:hAnsi="Times New Roman"/>
                <w:sz w:val="24"/>
              </w:rPr>
              <w:t>tention d’intérêt économique net significatif, comme prévu à l’article 405 du CRR:</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 xml:space="preserve">A - Tranche verticale (positions de titrisation): </w:t>
            </w:r>
            <w:r>
              <w:rPr>
                <w:rFonts w:ascii="Times New Roman" w:hAnsi="Times New Roman"/>
                <w:i/>
                <w:sz w:val="24"/>
              </w:rPr>
              <w:t>«rétention de 5 % au moins de la valeur nominale de chacune des tranches vendues ou transférées aux inve</w:t>
            </w:r>
            <w:r>
              <w:rPr>
                <w:rFonts w:ascii="Times New Roman" w:hAnsi="Times New Roman"/>
                <w:i/>
                <w:sz w:val="24"/>
              </w:rPr>
              <w:t>s</w:t>
            </w:r>
            <w:r>
              <w:rPr>
                <w:rFonts w:ascii="Times New Roman" w:hAnsi="Times New Roman"/>
                <w:i/>
                <w:sz w:val="24"/>
              </w:rPr>
              <w:t xml:space="preserve">tisseurs». </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V - Tranche verticale (expositions titrisées): rétention de 5 % au moins du risque de crédit de chacune des expositions titrisées, lorsque le risque de crédit ainsi retenu pour ces expositions titrisées est toujours du même rang que le risque de crédit qui a été titrisé en ce qui concerne ces mêmes expositions, ou y est subordonné.</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 xml:space="preserve">B - Expositions renouvelables: </w:t>
            </w:r>
            <w:r>
              <w:rPr>
                <w:rFonts w:ascii="Times New Roman" w:hAnsi="Times New Roman"/>
                <w:i/>
                <w:sz w:val="24"/>
              </w:rPr>
              <w:t>«dans le cas de la titrisation d'expositions r</w:t>
            </w:r>
            <w:r>
              <w:rPr>
                <w:rFonts w:ascii="Times New Roman" w:hAnsi="Times New Roman"/>
                <w:i/>
                <w:sz w:val="24"/>
              </w:rPr>
              <w:t>e</w:t>
            </w:r>
            <w:r>
              <w:rPr>
                <w:rFonts w:ascii="Times New Roman" w:hAnsi="Times New Roman"/>
                <w:i/>
                <w:sz w:val="24"/>
              </w:rPr>
              <w:t>nouvelables, la rétention de l'intérêt de l'initiateur, qui n'est pas inférieur à 5 % de la valeur nominale des expositions titrisées».</w:t>
            </w:r>
            <w:r>
              <w:rPr>
                <w:rFonts w:ascii="Times New Roman" w:hAnsi="Times New Roman"/>
                <w:sz w:val="24"/>
              </w:rPr>
              <w:t xml:space="preserve"> </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 xml:space="preserve">C - Au bilan: </w:t>
            </w:r>
            <w:r>
              <w:rPr>
                <w:rFonts w:ascii="Times New Roman" w:hAnsi="Times New Roman"/>
                <w:i/>
                <w:sz w:val="24"/>
              </w:rPr>
              <w:t>«rétention d'expositions choisies d'une manière aléatoire, équiv</w:t>
            </w:r>
            <w:r>
              <w:rPr>
                <w:rFonts w:ascii="Times New Roman" w:hAnsi="Times New Roman"/>
                <w:i/>
                <w:sz w:val="24"/>
              </w:rPr>
              <w:t>a</w:t>
            </w:r>
            <w:r>
              <w:rPr>
                <w:rFonts w:ascii="Times New Roman" w:hAnsi="Times New Roman"/>
                <w:i/>
                <w:sz w:val="24"/>
              </w:rPr>
              <w:t>lentes à 5 % au moins de la valeur nominale des expositions titrisées, lorsque ces expositions auraient autrement été titrisées dans la titrisation, pour autant que le nombre d'expositions potentiellement titrisées ne soit pas inférieur à cent à l'initiation».</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 xml:space="preserve">D - Première perte: </w:t>
            </w:r>
            <w:r>
              <w:rPr>
                <w:rFonts w:ascii="Times New Roman" w:hAnsi="Times New Roman"/>
                <w:i/>
                <w:sz w:val="24"/>
              </w:rPr>
              <w:t>«rétention de la tranche de première perte et, si nécessaire, d'autres tranches ayant un profil de risque identique ou plus important que celles transférées ou vendues aux investisseurs et ne venant pas à échéance avant celles transférées ou vendues aux investisseurs, de manière à ce que, au total, la rétention soit égale à 5 % au moins de la valeur nominale des expos</w:t>
            </w:r>
            <w:r>
              <w:rPr>
                <w:rFonts w:ascii="Times New Roman" w:hAnsi="Times New Roman"/>
                <w:i/>
                <w:sz w:val="24"/>
              </w:rPr>
              <w:t>i</w:t>
            </w:r>
            <w:r>
              <w:rPr>
                <w:rFonts w:ascii="Times New Roman" w:hAnsi="Times New Roman"/>
                <w:i/>
                <w:sz w:val="24"/>
              </w:rPr>
              <w:t>tions titrisées».</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E - Exonéré. Ce code sera utilisé pour les titrisations concernées par les dispos</w:t>
            </w:r>
            <w:r>
              <w:rPr>
                <w:rFonts w:ascii="Times New Roman" w:hAnsi="Times New Roman"/>
                <w:sz w:val="24"/>
              </w:rPr>
              <w:t>i</w:t>
            </w:r>
            <w:r>
              <w:rPr>
                <w:rFonts w:ascii="Times New Roman" w:hAnsi="Times New Roman"/>
                <w:sz w:val="24"/>
              </w:rPr>
              <w:t>tions de l’article 405, paragraphe 3, du CRR.</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N - Sans objet. Ce code sera utilisé pour les titrisations concernées par les di</w:t>
            </w:r>
            <w:r>
              <w:rPr>
                <w:rFonts w:ascii="Times New Roman" w:hAnsi="Times New Roman"/>
                <w:sz w:val="24"/>
              </w:rPr>
              <w:t>s</w:t>
            </w:r>
            <w:r>
              <w:rPr>
                <w:rFonts w:ascii="Times New Roman" w:hAnsi="Times New Roman"/>
                <w:sz w:val="24"/>
              </w:rPr>
              <w:t>positions de l’article 404 du CRR.</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U - Non conforme ou inconnu. Ce code sera utilisé lorsque l’entité déclarante ne connaît pas avec certitude le type de rétention appliqué ou en cas de non-conformité.</w:t>
            </w:r>
          </w:p>
          <w:p w:rsidR="00612780" w:rsidRPr="00392FFD" w:rsidRDefault="00612780" w:rsidP="00612780">
            <w:pPr>
              <w:spacing w:before="0" w:after="0"/>
              <w:rPr>
                <w:rFonts w:ascii="Times New Roman" w:hAnsi="Times New Roman"/>
                <w:sz w:val="24"/>
              </w:rPr>
            </w:pPr>
          </w:p>
          <w:p w:rsidR="00612780" w:rsidRPr="00392FFD" w:rsidRDefault="00612780" w:rsidP="00612780">
            <w:pPr>
              <w:autoSpaceDE w:val="0"/>
              <w:autoSpaceDN w:val="0"/>
              <w:adjustRightInd w:val="0"/>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lastRenderedPageBreak/>
              <w:t>090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 DE RÉTENTION À LA DATE DE DÉCLARATION</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i/>
                <w:sz w:val="24"/>
              </w:rPr>
            </w:pPr>
            <w:r>
              <w:rPr>
                <w:rFonts w:ascii="Times New Roman" w:hAnsi="Times New Roman"/>
                <w:sz w:val="24"/>
              </w:rPr>
              <w:t xml:space="preserve">La rétention d’un </w:t>
            </w:r>
            <w:r>
              <w:rPr>
                <w:rFonts w:ascii="Times New Roman" w:hAnsi="Times New Roman"/>
                <w:i/>
                <w:sz w:val="24"/>
              </w:rPr>
              <w:t>intérêt économique net significatif par l’initiateur, le sponsor ou le prêteur initial</w:t>
            </w:r>
            <w:r>
              <w:rPr>
                <w:rFonts w:ascii="Times New Roman" w:hAnsi="Times New Roman"/>
                <w:sz w:val="24"/>
              </w:rPr>
              <w:t xml:space="preserve"> de la titrisation sera de 5 % au moins (à la date d’initiation).</w:t>
            </w:r>
          </w:p>
          <w:p w:rsidR="00612780" w:rsidRPr="00392FFD" w:rsidRDefault="00612780" w:rsidP="00612780">
            <w:pPr>
              <w:spacing w:before="0" w:after="0"/>
              <w:rPr>
                <w:rFonts w:ascii="Times New Roman" w:hAnsi="Times New Roman"/>
                <w:i/>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Nonobstant l’article 405, paragraphe 1, du CRR, la mesure de la rétention à l’initiation peut généralement être interprétée comme étant la mesure au m</w:t>
            </w:r>
            <w:r>
              <w:rPr>
                <w:rFonts w:ascii="Times New Roman" w:hAnsi="Times New Roman"/>
                <w:sz w:val="24"/>
              </w:rPr>
              <w:t>o</w:t>
            </w:r>
            <w:r>
              <w:rPr>
                <w:rFonts w:ascii="Times New Roman" w:hAnsi="Times New Roman"/>
                <w:sz w:val="24"/>
              </w:rPr>
              <w:t>ment où les expositions ont été titrisées pour la première fois et non au moment où elles ont été créées pour la première fois (par exemple, pas au moment où les crédits sous-jacents ont été octroyés pour la première fois). La mesure de la rétention à l’initiation signifie que 5 % est le pourcentage de rétention requis au moment où ce niveau de rétention a été mesuré et qu’il a été satisfait à cette exigence (par ex. lorsque les expositions ont été titrisées pour la première fois); un recalcul dynamique et un réajustement du pourcentage de rétention tout au long de la durée de vie de l’opération ne sont pas exigés.</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i/>
                <w:sz w:val="24"/>
              </w:rPr>
            </w:pPr>
            <w:r>
              <w:rPr>
                <w:rFonts w:ascii="Times New Roman" w:hAnsi="Times New Roman"/>
                <w:sz w:val="24"/>
              </w:rPr>
              <w:t>Cette colonne demeure vide si les codes «E» (exonéré) ou «N» (sans objet) f</w:t>
            </w:r>
            <w:r>
              <w:rPr>
                <w:rFonts w:ascii="Times New Roman" w:hAnsi="Times New Roman"/>
                <w:sz w:val="24"/>
              </w:rPr>
              <w:t>i</w:t>
            </w:r>
            <w:r>
              <w:rPr>
                <w:rFonts w:ascii="Times New Roman" w:hAnsi="Times New Roman"/>
                <w:sz w:val="24"/>
              </w:rPr>
              <w:t>gurent dans la colonne 080 (Type de rétention appliquée)</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lastRenderedPageBreak/>
              <w:t>100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RESPECT DE L’EXIGENCE DE RÉTENTION?</w:t>
            </w:r>
          </w:p>
          <w:p w:rsidR="00612780" w:rsidRPr="00392FFD" w:rsidRDefault="00612780" w:rsidP="00612780">
            <w:pPr>
              <w:spacing w:before="0" w:after="0"/>
              <w:jc w:val="left"/>
              <w:rPr>
                <w:rFonts w:ascii="Times New Roman" w:hAnsi="Times New Roman"/>
                <w:b/>
                <w:sz w:val="24"/>
                <w:u w:val="single"/>
              </w:rPr>
            </w:pPr>
          </w:p>
          <w:p w:rsidR="00612780" w:rsidRPr="00392FFD" w:rsidRDefault="00612780" w:rsidP="00612780">
            <w:pPr>
              <w:spacing w:before="0" w:after="0"/>
              <w:jc w:val="left"/>
              <w:rPr>
                <w:rFonts w:ascii="Times New Roman" w:hAnsi="Times New Roman"/>
                <w:sz w:val="24"/>
              </w:rPr>
            </w:pPr>
            <w:r>
              <w:rPr>
                <w:rFonts w:ascii="Times New Roman" w:hAnsi="Times New Roman"/>
                <w:sz w:val="24"/>
              </w:rPr>
              <w:t>Article 405, paragraphe 1, du CRR.</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jc w:val="left"/>
              <w:rPr>
                <w:rFonts w:ascii="Times New Roman" w:hAnsi="Times New Roman"/>
                <w:sz w:val="24"/>
              </w:rPr>
            </w:pPr>
            <w:r>
              <w:rPr>
                <w:rFonts w:ascii="Times New Roman" w:hAnsi="Times New Roman"/>
                <w:sz w:val="24"/>
              </w:rPr>
              <w:t>Les abréviations suivantes seront utilisées:</w:t>
            </w:r>
          </w:p>
          <w:p w:rsidR="00612780" w:rsidRPr="00392FFD" w:rsidRDefault="00612780" w:rsidP="00612780">
            <w:pPr>
              <w:spacing w:before="0" w:after="0"/>
              <w:jc w:val="left"/>
              <w:rPr>
                <w:rFonts w:ascii="Times New Roman" w:hAnsi="Times New Roman"/>
                <w:sz w:val="24"/>
              </w:rPr>
            </w:pPr>
            <w:r>
              <w:rPr>
                <w:rFonts w:ascii="Times New Roman" w:hAnsi="Times New Roman"/>
                <w:sz w:val="24"/>
              </w:rPr>
              <w:t>Y - Oui;</w:t>
            </w:r>
          </w:p>
          <w:p w:rsidR="00612780" w:rsidRPr="00392FFD" w:rsidRDefault="00612780" w:rsidP="00612780">
            <w:pPr>
              <w:spacing w:before="0" w:after="0"/>
              <w:jc w:val="left"/>
              <w:rPr>
                <w:rFonts w:ascii="Times New Roman" w:hAnsi="Times New Roman"/>
                <w:sz w:val="24"/>
              </w:rPr>
            </w:pPr>
            <w:r>
              <w:rPr>
                <w:rFonts w:ascii="Times New Roman" w:hAnsi="Times New Roman"/>
                <w:sz w:val="24"/>
              </w:rPr>
              <w:t>N - Non.</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i/>
                <w:sz w:val="24"/>
              </w:rPr>
            </w:pPr>
            <w:r>
              <w:rPr>
                <w:rFonts w:ascii="Times New Roman" w:hAnsi="Times New Roman"/>
                <w:sz w:val="24"/>
              </w:rPr>
              <w:t>Cette colonne demeure vide si les codes «E» (exonéré) ou «N» (sans objet) f</w:t>
            </w:r>
            <w:r>
              <w:rPr>
                <w:rFonts w:ascii="Times New Roman" w:hAnsi="Times New Roman"/>
                <w:sz w:val="24"/>
              </w:rPr>
              <w:t>i</w:t>
            </w:r>
            <w:r>
              <w:rPr>
                <w:rFonts w:ascii="Times New Roman" w:hAnsi="Times New Roman"/>
                <w:sz w:val="24"/>
              </w:rPr>
              <w:t>gurent dans la colonne 080 (Type de rétention appliquée)</w:t>
            </w:r>
          </w:p>
          <w:p w:rsidR="00612780" w:rsidRPr="00392FFD" w:rsidRDefault="00612780" w:rsidP="00612780">
            <w:pPr>
              <w:spacing w:before="0" w:after="0"/>
              <w:jc w:val="left"/>
              <w:rPr>
                <w:rFonts w:ascii="Times New Roman" w:hAnsi="Times New Roman"/>
                <w:b/>
                <w:sz w:val="24"/>
                <w:u w:val="single"/>
              </w:rPr>
            </w:pPr>
          </w:p>
        </w:tc>
      </w:tr>
      <w:tr w:rsidR="00612780" w:rsidRPr="00392FFD" w:rsidTr="00612780">
        <w:tc>
          <w:tcPr>
            <w:tcW w:w="1101" w:type="dxa"/>
            <w:shd w:val="clear" w:color="auto" w:fill="auto"/>
          </w:tcPr>
          <w:p w:rsidR="00612780" w:rsidRPr="00392FFD" w:rsidRDefault="00612780" w:rsidP="00612780">
            <w:pPr>
              <w:autoSpaceDE w:val="0"/>
              <w:autoSpaceDN w:val="0"/>
              <w:adjustRightInd w:val="0"/>
              <w:spacing w:before="0" w:after="0"/>
              <w:rPr>
                <w:rFonts w:ascii="Times New Roman" w:hAnsi="Times New Roman"/>
                <w:bCs/>
                <w:sz w:val="24"/>
                <w:highlight w:val="yellow"/>
              </w:rPr>
            </w:pPr>
            <w:r>
              <w:rPr>
                <w:rFonts w:ascii="Times New Roman" w:hAnsi="Times New Roman"/>
                <w:sz w:val="24"/>
              </w:rPr>
              <w:t>110</w:t>
            </w:r>
          </w:p>
        </w:tc>
        <w:tc>
          <w:tcPr>
            <w:tcW w:w="7903" w:type="dxa"/>
            <w:shd w:val="clear" w:color="auto" w:fill="auto"/>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RÔLE DE L’ÉTABLISSEMENT: (INITIATEUR/ SPONSOR/ PRÊTEUR INITIAL/ INVESTISSEUR)</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xml:space="preserve">Les abréviations suivantes seront utilisées: </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«O» pour initiateur;</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«S» pour sponsor;</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«L» pour prêteur initial;</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xml:space="preserve">- «I» pour investisseur. </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Voir les définitions à l’article 4, paragraphe 1, points 13 (initiateur) et 14 (spo</w:t>
            </w:r>
            <w:r>
              <w:rPr>
                <w:rFonts w:ascii="Times New Roman" w:hAnsi="Times New Roman"/>
                <w:sz w:val="24"/>
              </w:rPr>
              <w:t>n</w:t>
            </w:r>
            <w:r>
              <w:rPr>
                <w:rFonts w:ascii="Times New Roman" w:hAnsi="Times New Roman"/>
                <w:sz w:val="24"/>
              </w:rPr>
              <w:t>sor), du CRR. Les investisseurs sont supposés être les établissements auxquels les dispositions des articles 406 et 407 du CRR s’appliquent.</w:t>
            </w:r>
          </w:p>
          <w:p w:rsidR="00612780" w:rsidRPr="00392FFD" w:rsidRDefault="00612780" w:rsidP="00612780">
            <w:pPr>
              <w:autoSpaceDE w:val="0"/>
              <w:autoSpaceDN w:val="0"/>
              <w:adjustRightInd w:val="0"/>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highlight w:val="yellow"/>
              </w:rPr>
            </w:pPr>
            <w:r>
              <w:rPr>
                <w:rFonts w:ascii="Times New Roman" w:hAnsi="Times New Roman"/>
                <w:sz w:val="24"/>
              </w:rPr>
              <w:t>120-130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rPr>
            </w:pPr>
            <w:r>
              <w:rPr>
                <w:rFonts w:ascii="Times New Roman" w:hAnsi="Times New Roman"/>
                <w:b/>
                <w:sz w:val="24"/>
              </w:rPr>
              <w:t>HORS PROGRAMMES ABCP</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En raison de leur nature spéciale liée au fait qu’ils se composent de plusieurs positions de titrisation individuelles, les programmes ABCP (définis à l’article 242, point 9, du CRR) sont exonérés de déclaration dans les colonnes 120 et 130.</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120</w:t>
            </w:r>
          </w:p>
        </w:tc>
        <w:tc>
          <w:tcPr>
            <w:tcW w:w="7903" w:type="dxa"/>
          </w:tcPr>
          <w:p w:rsidR="00612780" w:rsidRPr="00392FFD" w:rsidRDefault="00612780" w:rsidP="00612780">
            <w:pPr>
              <w:spacing w:before="0" w:after="0"/>
              <w:jc w:val="left"/>
              <w:rPr>
                <w:rFonts w:ascii="Times New Roman" w:hAnsi="Times New Roman"/>
                <w:b/>
                <w:sz w:val="24"/>
              </w:rPr>
            </w:pPr>
            <w:r>
              <w:rPr>
                <w:rFonts w:ascii="Times New Roman" w:hAnsi="Times New Roman"/>
                <w:b/>
                <w:sz w:val="24"/>
              </w:rPr>
              <w:t>DATE D’INITIATION (mm/aaaa)</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 mois et l’année de la date d’initiation (c’est-à-dire la date limite ou la date de clôture du panier) de la titrisation seront déclarés selon le format suivant: «mm/aaaa».</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Pour chaque dispositif de titrisation, la date d’initiation ne peut pas changer entre deux dates de déclaration. Dans le cas particulier des dispositifs de titris</w:t>
            </w:r>
            <w:r>
              <w:rPr>
                <w:rFonts w:ascii="Times New Roman" w:hAnsi="Times New Roman"/>
                <w:sz w:val="24"/>
              </w:rPr>
              <w:t>a</w:t>
            </w:r>
            <w:r>
              <w:rPr>
                <w:rFonts w:ascii="Times New Roman" w:hAnsi="Times New Roman"/>
                <w:sz w:val="24"/>
              </w:rPr>
              <w:t>tion adossés à des paniers ouverts, la date d’initiation sera la date de la pr</w:t>
            </w:r>
            <w:r>
              <w:rPr>
                <w:rFonts w:ascii="Times New Roman" w:hAnsi="Times New Roman"/>
                <w:sz w:val="24"/>
              </w:rPr>
              <w:t>e</w:t>
            </w:r>
            <w:r>
              <w:rPr>
                <w:rFonts w:ascii="Times New Roman" w:hAnsi="Times New Roman"/>
                <w:sz w:val="24"/>
              </w:rPr>
              <w:t xml:space="preserve">mière émission des titres. </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Ces données seront déclarées même lorsque l’entité déclarante ne détient a</w:t>
            </w:r>
            <w:r>
              <w:rPr>
                <w:rFonts w:ascii="Times New Roman" w:hAnsi="Times New Roman"/>
                <w:sz w:val="24"/>
              </w:rPr>
              <w:t>u</w:t>
            </w:r>
            <w:r>
              <w:rPr>
                <w:rFonts w:ascii="Times New Roman" w:hAnsi="Times New Roman"/>
                <w:sz w:val="24"/>
              </w:rPr>
              <w:t>cune position dans la titrisation.</w:t>
            </w:r>
          </w:p>
          <w:p w:rsidR="00612780" w:rsidRPr="00392FFD" w:rsidRDefault="00612780" w:rsidP="00612780">
            <w:pPr>
              <w:autoSpaceDE w:val="0"/>
              <w:autoSpaceDN w:val="0"/>
              <w:adjustRightInd w:val="0"/>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130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 xml:space="preserve">MONTANT TOTAL DES EXPOSITIONS TITRISÉES À LA DATE </w:t>
            </w:r>
            <w:r>
              <w:rPr>
                <w:rFonts w:ascii="Times New Roman" w:hAnsi="Times New Roman"/>
                <w:b/>
                <w:sz w:val="24"/>
                <w:u w:val="single"/>
              </w:rPr>
              <w:lastRenderedPageBreak/>
              <w:t>D’INITIATION</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Cette colonne contient le montant (selon les expositions initiales avant applic</w:t>
            </w:r>
            <w:r>
              <w:rPr>
                <w:rFonts w:ascii="Times New Roman" w:hAnsi="Times New Roman"/>
                <w:sz w:val="24"/>
              </w:rPr>
              <w:t>a</w:t>
            </w:r>
            <w:r>
              <w:rPr>
                <w:rFonts w:ascii="Times New Roman" w:hAnsi="Times New Roman"/>
                <w:sz w:val="24"/>
              </w:rPr>
              <w:t xml:space="preserve">tion des facteurs de conversion) du portefeuille titrisé à la date d’initiation. </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Dans le cas des dispositifs de titrisation adossés à des paniers ouverts, on décl</w:t>
            </w:r>
            <w:r>
              <w:rPr>
                <w:rFonts w:ascii="Times New Roman" w:hAnsi="Times New Roman"/>
                <w:sz w:val="24"/>
              </w:rPr>
              <w:t>a</w:t>
            </w:r>
            <w:r>
              <w:rPr>
                <w:rFonts w:ascii="Times New Roman" w:hAnsi="Times New Roman"/>
                <w:sz w:val="24"/>
              </w:rPr>
              <w:t>rera le montant correspondant à la date d’initiation de la première émission des titres. En ce qui concerne les titrisations classiques, aucun autre actif du panier de titrisation ne sera inclus. Dans le cas des titrisations avec plusieurs vendeurs (c’est-à-dire avec plus d’un initiateur), seul le montant qui correspond à la co</w:t>
            </w:r>
            <w:r>
              <w:rPr>
                <w:rFonts w:ascii="Times New Roman" w:hAnsi="Times New Roman"/>
                <w:sz w:val="24"/>
              </w:rPr>
              <w:t>n</w:t>
            </w:r>
            <w:r>
              <w:rPr>
                <w:rFonts w:ascii="Times New Roman" w:hAnsi="Times New Roman"/>
                <w:sz w:val="24"/>
              </w:rPr>
              <w:t>tribution de l’entité déclarante dans le portefeuille titrisé sera déclaré. Dans le cas de la titrisation de passifs, seuls les montants émis par l’entité déclarante doivent être indiqués.</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Ces données seront déclarées même lorsque l’entité déclarante ne détient a</w:t>
            </w:r>
            <w:r>
              <w:rPr>
                <w:rFonts w:ascii="Times New Roman" w:hAnsi="Times New Roman"/>
                <w:sz w:val="24"/>
              </w:rPr>
              <w:t>u</w:t>
            </w:r>
            <w:r>
              <w:rPr>
                <w:rFonts w:ascii="Times New Roman" w:hAnsi="Times New Roman"/>
                <w:sz w:val="24"/>
              </w:rPr>
              <w:t>cune position dans la titrisation.</w:t>
            </w:r>
          </w:p>
          <w:p w:rsidR="00612780" w:rsidRPr="00392FFD" w:rsidRDefault="00612780" w:rsidP="00612780">
            <w:pPr>
              <w:autoSpaceDE w:val="0"/>
              <w:autoSpaceDN w:val="0"/>
              <w:adjustRightInd w:val="0"/>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highlight w:val="yellow"/>
              </w:rPr>
            </w:pPr>
            <w:r>
              <w:rPr>
                <w:rFonts w:ascii="Times New Roman" w:hAnsi="Times New Roman"/>
                <w:sz w:val="24"/>
              </w:rPr>
              <w:lastRenderedPageBreak/>
              <w:t>140-220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EXPOSITIONS TITRISÉES</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Les colonnes 140 à 220 contiennent des informations de l’entité déclarante sur plusieurs caractéristiques du portefeuille titrisé.</w:t>
            </w:r>
          </w:p>
          <w:p w:rsidR="00612780" w:rsidRPr="00392FFD" w:rsidRDefault="00612780" w:rsidP="00612780">
            <w:pPr>
              <w:autoSpaceDE w:val="0"/>
              <w:autoSpaceDN w:val="0"/>
              <w:adjustRightInd w:val="0"/>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140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MONTANT TOTAL</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Les établissements déclarent la valeur du portefeuille titrisé à la date de décl</w:t>
            </w:r>
            <w:r>
              <w:rPr>
                <w:rFonts w:ascii="Times New Roman" w:hAnsi="Times New Roman"/>
                <w:sz w:val="24"/>
              </w:rPr>
              <w:t>a</w:t>
            </w:r>
            <w:r>
              <w:rPr>
                <w:rFonts w:ascii="Times New Roman" w:hAnsi="Times New Roman"/>
                <w:sz w:val="24"/>
              </w:rPr>
              <w:t>ration, à savoir l’encours des expositions titrisées. En ce qui concerne les titr</w:t>
            </w:r>
            <w:r>
              <w:rPr>
                <w:rFonts w:ascii="Times New Roman" w:hAnsi="Times New Roman"/>
                <w:sz w:val="24"/>
              </w:rPr>
              <w:t>i</w:t>
            </w:r>
            <w:r>
              <w:rPr>
                <w:rFonts w:ascii="Times New Roman" w:hAnsi="Times New Roman"/>
                <w:sz w:val="24"/>
              </w:rPr>
              <w:t>sations classiques, aucun autre actif du panier de titrisation ne sera inclus. Dans le cas des titrisations avec plusieurs vendeurs (c’est-à-dire avec plus d’un initi</w:t>
            </w:r>
            <w:r>
              <w:rPr>
                <w:rFonts w:ascii="Times New Roman" w:hAnsi="Times New Roman"/>
                <w:sz w:val="24"/>
              </w:rPr>
              <w:t>a</w:t>
            </w:r>
            <w:r>
              <w:rPr>
                <w:rFonts w:ascii="Times New Roman" w:hAnsi="Times New Roman"/>
                <w:sz w:val="24"/>
              </w:rPr>
              <w:t>teur), seul le montant qui correspond à la contribution de l’entité déclarante dans le portefeuille titrisé sera déclaré. Dans le cas des dispositifs de titrisation adossés à des paniers fermés (c’est-à-dire lorsque le portefeuille d’actifs titrisés ne peut être élargi après la date d’initiation), le montant sera progressivement diminué.</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Ces données seront déclarées même lorsque l’entité déclarante ne détient a</w:t>
            </w:r>
            <w:r>
              <w:rPr>
                <w:rFonts w:ascii="Times New Roman" w:hAnsi="Times New Roman"/>
                <w:sz w:val="24"/>
              </w:rPr>
              <w:t>u</w:t>
            </w:r>
            <w:r>
              <w:rPr>
                <w:rFonts w:ascii="Times New Roman" w:hAnsi="Times New Roman"/>
                <w:sz w:val="24"/>
              </w:rPr>
              <w:t>cune position dans la titrisation.</w:t>
            </w:r>
          </w:p>
          <w:p w:rsidR="00612780" w:rsidRPr="00392FFD" w:rsidRDefault="00612780" w:rsidP="00612780">
            <w:pPr>
              <w:autoSpaceDE w:val="0"/>
              <w:autoSpaceDN w:val="0"/>
              <w:adjustRightInd w:val="0"/>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150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PART DE L'ÉTABLISSEMENT (%)</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Sera déclarée la part de l’établissement (pourcentage à deux décimales) dans le portefeuille titrisé à la date de déclaration. Par défaut, la valeur à indiquer dans cette colonne est de 100 %, sauf pour les dispositifs de titrisation avec plusieurs vendeurs. Dans ce cas, l’entité déclarante doit préciser sa contribution actuelle au portefeuille titrisé (équivalant à la colonne 140 en termes relatifs).</w:t>
            </w:r>
          </w:p>
          <w:p w:rsidR="00612780" w:rsidRPr="00392FFD" w:rsidRDefault="00612780" w:rsidP="00612780">
            <w:pPr>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Ces données seront déclarées même lorsque l’entité déclarante ne détient a</w:t>
            </w:r>
            <w:r>
              <w:rPr>
                <w:rFonts w:ascii="Times New Roman" w:hAnsi="Times New Roman"/>
                <w:sz w:val="24"/>
              </w:rPr>
              <w:t>u</w:t>
            </w:r>
            <w:r>
              <w:rPr>
                <w:rFonts w:ascii="Times New Roman" w:hAnsi="Times New Roman"/>
                <w:sz w:val="24"/>
              </w:rPr>
              <w:t>cune position dans la titrisation.</w:t>
            </w:r>
          </w:p>
          <w:p w:rsidR="00612780" w:rsidRPr="00392FFD" w:rsidRDefault="00612780" w:rsidP="00612780">
            <w:pPr>
              <w:autoSpaceDE w:val="0"/>
              <w:autoSpaceDN w:val="0"/>
              <w:adjustRightInd w:val="0"/>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highlight w:val="yellow"/>
              </w:rPr>
            </w:pPr>
            <w:r>
              <w:rPr>
                <w:rFonts w:ascii="Times New Roman" w:hAnsi="Times New Roman"/>
                <w:sz w:val="24"/>
              </w:rPr>
              <w:t>160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TYPE</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lastRenderedPageBreak/>
              <w:t>Cette colonne rassemble des données sur le type d’actifs («1» à «8») ou de pa</w:t>
            </w:r>
            <w:r>
              <w:rPr>
                <w:rFonts w:ascii="Times New Roman" w:hAnsi="Times New Roman"/>
                <w:sz w:val="24"/>
              </w:rPr>
              <w:t>s</w:t>
            </w:r>
            <w:r>
              <w:rPr>
                <w:rFonts w:ascii="Times New Roman" w:hAnsi="Times New Roman"/>
                <w:sz w:val="24"/>
              </w:rPr>
              <w:t>sifs («9» et «10») qui composent le portefeuille titrisé. L’établissement me</w:t>
            </w:r>
            <w:r>
              <w:rPr>
                <w:rFonts w:ascii="Times New Roman" w:hAnsi="Times New Roman"/>
                <w:sz w:val="24"/>
              </w:rPr>
              <w:t>n</w:t>
            </w:r>
            <w:r>
              <w:rPr>
                <w:rFonts w:ascii="Times New Roman" w:hAnsi="Times New Roman"/>
                <w:sz w:val="24"/>
              </w:rPr>
              <w:t>tionne un des codes numériques suivants:</w:t>
            </w:r>
          </w:p>
          <w:p w:rsidR="00BB7E19" w:rsidRPr="00392FFD" w:rsidRDefault="00BB7E19"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xml:space="preserve">1 - Hypothèques sur un bien immobilier résidentiel; </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xml:space="preserve">2 - Hypothèques sur un bien immobilier commercial; </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xml:space="preserve">3 - Créances sur cartes de crédit; </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xml:space="preserve">4 - Locations ou crédits-bails; </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xml:space="preserve">5 - Prêts à des entreprises ou des PME (considérées comme des entreprises); </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6 - Prêts à la consommation;</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7 - Créances commerciales;</w:t>
            </w:r>
          </w:p>
          <w:p w:rsidR="00612780" w:rsidRPr="00392FFD" w:rsidRDefault="00BB7E19" w:rsidP="00612780">
            <w:pPr>
              <w:autoSpaceDE w:val="0"/>
              <w:autoSpaceDN w:val="0"/>
              <w:adjustRightInd w:val="0"/>
              <w:spacing w:before="0" w:after="0"/>
              <w:jc w:val="left"/>
              <w:rPr>
                <w:rFonts w:ascii="Times New Roman" w:hAnsi="Times New Roman"/>
                <w:sz w:val="24"/>
              </w:rPr>
            </w:pPr>
            <w:r>
              <w:rPr>
                <w:rFonts w:ascii="Times New Roman" w:hAnsi="Times New Roman"/>
                <w:sz w:val="24"/>
              </w:rPr>
              <w:t>8 - Autres actifs;</w:t>
            </w:r>
          </w:p>
          <w:p w:rsidR="00612780" w:rsidRPr="00392FFD" w:rsidRDefault="00BB7E19" w:rsidP="00612780">
            <w:pPr>
              <w:autoSpaceDE w:val="0"/>
              <w:autoSpaceDN w:val="0"/>
              <w:adjustRightInd w:val="0"/>
              <w:spacing w:before="0" w:after="0"/>
              <w:jc w:val="left"/>
              <w:rPr>
                <w:rFonts w:ascii="Times New Roman" w:hAnsi="Times New Roman"/>
                <w:sz w:val="24"/>
              </w:rPr>
            </w:pPr>
            <w:r>
              <w:rPr>
                <w:rFonts w:ascii="Times New Roman" w:hAnsi="Times New Roman"/>
                <w:sz w:val="24"/>
              </w:rPr>
              <w:t>9 - Obligations garanties;</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10 - Autres passifs.</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Lorsque le panier d’expositions titrisées est un mélange de ces différents types, l’établissement indiquera le type le plus important. Dans le cas des retitris</w:t>
            </w:r>
            <w:r>
              <w:rPr>
                <w:rFonts w:ascii="Times New Roman" w:hAnsi="Times New Roman"/>
                <w:sz w:val="24"/>
              </w:rPr>
              <w:t>a</w:t>
            </w:r>
            <w:r>
              <w:rPr>
                <w:rFonts w:ascii="Times New Roman" w:hAnsi="Times New Roman"/>
                <w:sz w:val="24"/>
              </w:rPr>
              <w:t>tions, l’établissement se rapportera au panier sous-jacent d’actifs ultime. Le type «10» (Autres passifs) comprend les obligations du trésor et les titres liés à des crédits.</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En ce qui concerne les dispositifs de titrisation adossés à des paniers fermés, leur type ne pourra pas changer entre deux dates de déclaration.</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lastRenderedPageBreak/>
              <w:t>170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APPROCHE APPLIQUÉE (SA/NI/MIX)</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Cette colonne rassemble des informations sur l’approche que l’établissement appliquerait aux expositions titrisées à la date de déclaration.</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Les abréviations suivantes seront utilisées:</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xml:space="preserve">- «S» pour approche standard; </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«I» pour approche fondée sur les notations internes (NI);</w:t>
            </w: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 «M» pour une combinaison des deux approches (standard/NI).</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Si, dans le cadre de l’approche standard, «P» figure à la colonne 050, le calcul des exigences de fonds propres sera déclaré dans le modèle CR SEC SA.</w:t>
            </w: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Si, dans le cadre de l’approche NI, «P» figure à la colonne 050, le calcul des exigences de fonds propres sera déclaré dans le modèle CR SEC IRB.</w:t>
            </w: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Si, dans le cadre d’une combinaison des approches standard/NI, «P» figure à la colonne 050, le calcul des exigences de fonds propres sera déclaré dans le m</w:t>
            </w:r>
            <w:r>
              <w:rPr>
                <w:rFonts w:ascii="Times New Roman" w:hAnsi="Times New Roman"/>
                <w:sz w:val="24"/>
              </w:rPr>
              <w:t>o</w:t>
            </w:r>
            <w:r>
              <w:rPr>
                <w:rFonts w:ascii="Times New Roman" w:hAnsi="Times New Roman"/>
                <w:sz w:val="24"/>
              </w:rPr>
              <w:t>dèle CR SEC SA ainsi que dans le modèle CR SEC IRB.</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Ces données seront déclarées même lorsque l’entité déclarante ne détient a</w:t>
            </w:r>
            <w:r>
              <w:rPr>
                <w:rFonts w:ascii="Times New Roman" w:hAnsi="Times New Roman"/>
                <w:sz w:val="24"/>
              </w:rPr>
              <w:t>u</w:t>
            </w:r>
            <w:r>
              <w:rPr>
                <w:rFonts w:ascii="Times New Roman" w:hAnsi="Times New Roman"/>
                <w:sz w:val="24"/>
              </w:rPr>
              <w:t>cune position dans la titrisation. Cette colonne n’est toutefois pas utilisée pour la titrisation de passifs. Les sponsors ne rempliront pas cette colonne.</w:t>
            </w:r>
          </w:p>
          <w:p w:rsidR="00612780" w:rsidRPr="00392FFD" w:rsidRDefault="00612780" w:rsidP="00612780">
            <w:pPr>
              <w:autoSpaceDE w:val="0"/>
              <w:autoSpaceDN w:val="0"/>
              <w:adjustRightInd w:val="0"/>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180</w:t>
            </w:r>
          </w:p>
        </w:tc>
        <w:tc>
          <w:tcPr>
            <w:tcW w:w="7903" w:type="dxa"/>
            <w:shd w:val="clear" w:color="auto" w:fill="auto"/>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NOMBRE D’EXPOSITIONS</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Article 261, paragraphe 1, du CRR.</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lastRenderedPageBreak/>
              <w:t>Cette colonne n’est obligatoire que pour les établissements qui appliquent l’approche NI aux positions de titrisation (et déclarent dès lors «I» dans la c</w:t>
            </w:r>
            <w:r>
              <w:rPr>
                <w:rFonts w:ascii="Times New Roman" w:hAnsi="Times New Roman"/>
                <w:sz w:val="24"/>
              </w:rPr>
              <w:t>o</w:t>
            </w:r>
            <w:r>
              <w:rPr>
                <w:rFonts w:ascii="Times New Roman" w:hAnsi="Times New Roman"/>
                <w:sz w:val="24"/>
              </w:rPr>
              <w:t xml:space="preserve">lonne 170). L’établissement indique le nombre effectif d’expositions. </w:t>
            </w: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Cette colonne ne sera pas remplie en cas de titrisation de passifs ou lorsque les exigences de fonds propres sont basées sur les expositions titrisées (en cas de t</w:t>
            </w:r>
            <w:r>
              <w:rPr>
                <w:rFonts w:ascii="Times New Roman" w:hAnsi="Times New Roman"/>
                <w:sz w:val="24"/>
              </w:rPr>
              <w:t>i</w:t>
            </w:r>
            <w:r>
              <w:rPr>
                <w:rFonts w:ascii="Times New Roman" w:hAnsi="Times New Roman"/>
                <w:sz w:val="24"/>
              </w:rPr>
              <w:t>trisation d’actifs). Cette colonne ne sera pas remplie si l’entité déclarante ne d</w:t>
            </w:r>
            <w:r>
              <w:rPr>
                <w:rFonts w:ascii="Times New Roman" w:hAnsi="Times New Roman"/>
                <w:sz w:val="24"/>
              </w:rPr>
              <w:t>é</w:t>
            </w:r>
            <w:r>
              <w:rPr>
                <w:rFonts w:ascii="Times New Roman" w:hAnsi="Times New Roman"/>
                <w:sz w:val="24"/>
              </w:rPr>
              <w:t>tient aucune position dans la titrisation. Cette colonne ne sera pas remplie par les investisseurs.</w:t>
            </w:r>
          </w:p>
          <w:p w:rsidR="00612780" w:rsidRPr="00392FFD" w:rsidRDefault="00612780" w:rsidP="00612780">
            <w:pPr>
              <w:autoSpaceDE w:val="0"/>
              <w:autoSpaceDN w:val="0"/>
              <w:adjustRightInd w:val="0"/>
              <w:spacing w:before="0" w:after="0"/>
              <w:jc w:val="left"/>
              <w:rPr>
                <w:rFonts w:ascii="Times New Roman" w:hAnsi="Times New Roman"/>
                <w:sz w:val="24"/>
              </w:rPr>
            </w:pPr>
          </w:p>
        </w:tc>
      </w:tr>
      <w:tr w:rsidR="00612780" w:rsidRPr="00392FFD" w:rsidTr="00612780">
        <w:tc>
          <w:tcPr>
            <w:tcW w:w="1101" w:type="dxa"/>
            <w:shd w:val="clear" w:color="auto" w:fill="auto"/>
          </w:tcPr>
          <w:p w:rsidR="00612780" w:rsidRPr="00392FFD" w:rsidDel="00A749EA"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lastRenderedPageBreak/>
              <w:t>190</w:t>
            </w:r>
          </w:p>
        </w:tc>
        <w:tc>
          <w:tcPr>
            <w:tcW w:w="7903" w:type="dxa"/>
            <w:shd w:val="clear" w:color="auto" w:fill="auto"/>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PAYS</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Indiquer le code (ISO 3166-1 alpha-2) du pays d’origine du sous-jacent ultime de l’opération, à savoir le pays du débiteur immédiat des expositions titrisées initiales (approche par transparence). Lorsque le panier de la titrisation se co</w:t>
            </w:r>
            <w:r>
              <w:rPr>
                <w:rFonts w:ascii="Times New Roman" w:hAnsi="Times New Roman"/>
                <w:sz w:val="24"/>
              </w:rPr>
              <w:t>m</w:t>
            </w:r>
            <w:r>
              <w:rPr>
                <w:rFonts w:ascii="Times New Roman" w:hAnsi="Times New Roman"/>
                <w:sz w:val="24"/>
              </w:rPr>
              <w:t>pose de plusieurs pays, l’établissement indique le pays le plus important. Si a</w:t>
            </w:r>
            <w:r>
              <w:rPr>
                <w:rFonts w:ascii="Times New Roman" w:hAnsi="Times New Roman"/>
                <w:sz w:val="24"/>
              </w:rPr>
              <w:t>u</w:t>
            </w:r>
            <w:r>
              <w:rPr>
                <w:rFonts w:ascii="Times New Roman" w:hAnsi="Times New Roman"/>
                <w:sz w:val="24"/>
              </w:rPr>
              <w:t>cun pays n'excède le seuil de 20 % du montant des actifs/passifs, le code «OT» (Autres) sera indiqué.</w:t>
            </w:r>
          </w:p>
          <w:p w:rsidR="00612780" w:rsidRPr="00392FFD" w:rsidRDefault="00612780" w:rsidP="00612780">
            <w:pPr>
              <w:spacing w:before="0" w:after="0"/>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highlight w:val="yellow"/>
              </w:rPr>
            </w:pPr>
            <w:r>
              <w:rPr>
                <w:rFonts w:ascii="Times New Roman" w:hAnsi="Times New Roman"/>
                <w:sz w:val="24"/>
              </w:rPr>
              <w:t>200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 xml:space="preserve">ELGD (%) </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La valeur moyenne, pondérée en fonction de l’exposition, des pertes en cas de défaut (ELGD) ne sera déclarée que par les établissements qui appliquent la méthode de la formule prudentielle (et indiquent par conséquent «I» dans la c</w:t>
            </w:r>
            <w:r>
              <w:rPr>
                <w:rFonts w:ascii="Times New Roman" w:hAnsi="Times New Roman"/>
                <w:sz w:val="24"/>
              </w:rPr>
              <w:t>o</w:t>
            </w:r>
            <w:r>
              <w:rPr>
                <w:rFonts w:ascii="Times New Roman" w:hAnsi="Times New Roman"/>
                <w:sz w:val="24"/>
              </w:rPr>
              <w:t xml:space="preserve">lonne 170). ELGD doit être calculé conformément aux dispositions de l’article 262, paragraphe 1, du CRR. </w:t>
            </w: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Cette colonne ne sera pas remplie en cas de titrisation de passifs ou lorsque les exigences de fonds propres sont basées sur les expositions titrisées (en cas de t</w:t>
            </w:r>
            <w:r>
              <w:rPr>
                <w:rFonts w:ascii="Times New Roman" w:hAnsi="Times New Roman"/>
                <w:sz w:val="24"/>
              </w:rPr>
              <w:t>i</w:t>
            </w:r>
            <w:r>
              <w:rPr>
                <w:rFonts w:ascii="Times New Roman" w:hAnsi="Times New Roman"/>
                <w:sz w:val="24"/>
              </w:rPr>
              <w:t>trisation d’actifs). Cette colonne ne sera pas remplie non plus si l’entité décl</w:t>
            </w:r>
            <w:r>
              <w:rPr>
                <w:rFonts w:ascii="Times New Roman" w:hAnsi="Times New Roman"/>
                <w:sz w:val="24"/>
              </w:rPr>
              <w:t>a</w:t>
            </w:r>
            <w:r>
              <w:rPr>
                <w:rFonts w:ascii="Times New Roman" w:hAnsi="Times New Roman"/>
                <w:sz w:val="24"/>
              </w:rPr>
              <w:t>rante ne détient aucune position dans la titrisation. Les sponsors ne rempliront pas cette colonne.</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highlight w:val="yellow"/>
              </w:rPr>
            </w:pPr>
            <w:r>
              <w:rPr>
                <w:rFonts w:ascii="Times New Roman" w:hAnsi="Times New Roman"/>
                <w:sz w:val="24"/>
              </w:rPr>
              <w:t>210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 CORRECTIONS DE VALEUR ET PROVISIONS</w:t>
            </w:r>
          </w:p>
          <w:p w:rsidR="00612780" w:rsidRPr="00392FFD" w:rsidRDefault="00612780" w:rsidP="00612780">
            <w:pPr>
              <w:spacing w:before="0" w:after="0"/>
              <w:jc w:val="left"/>
              <w:rPr>
                <w:rFonts w:ascii="Times New Roman" w:hAnsi="Times New Roman"/>
                <w:sz w:val="24"/>
              </w:rPr>
            </w:pPr>
          </w:p>
          <w:p w:rsidR="00706D25" w:rsidRPr="00392FFD" w:rsidRDefault="00706D25" w:rsidP="00706D25">
            <w:pPr>
              <w:autoSpaceDE w:val="0"/>
              <w:autoSpaceDN w:val="0"/>
              <w:adjustRightInd w:val="0"/>
              <w:spacing w:before="0" w:after="0"/>
              <w:jc w:val="left"/>
              <w:rPr>
                <w:rFonts w:ascii="Times New Roman" w:hAnsi="Times New Roman"/>
                <w:sz w:val="24"/>
              </w:rPr>
            </w:pPr>
            <w:r>
              <w:rPr>
                <w:rFonts w:ascii="Times New Roman" w:hAnsi="Times New Roman"/>
                <w:sz w:val="24"/>
              </w:rPr>
              <w:t>Corrections de valeur et provisions (article 159 du CRR) pour pertes de crédit, effectuées conformément au référentiel comptable appliqué par l’établissement déclarant. Les corrections de valeur comprennent tout montant comptabilisé dans le compte de correction au titre de pertes de crédit sur des actifs financiers depuis leur première comptabilisation au bilan (y compris les pertes dues au risque de crédit d’actifs financiers mesurés à leur juste valeur, et qui ne seront pas déduites de la valeur exposée au risque), plus les décotes sur les expositions acquises alors qu’elles étaient en défaut, conformément à l’article 166, par</w:t>
            </w:r>
            <w:r>
              <w:rPr>
                <w:rFonts w:ascii="Times New Roman" w:hAnsi="Times New Roman"/>
                <w:sz w:val="24"/>
              </w:rPr>
              <w:t>a</w:t>
            </w:r>
            <w:r>
              <w:rPr>
                <w:rFonts w:ascii="Times New Roman" w:hAnsi="Times New Roman"/>
                <w:sz w:val="24"/>
              </w:rPr>
              <w:t>graphe 1, du CRR. Les provisions comprennent les montants accumulés de pertes de crédit sur des éléments hors bilan.</w:t>
            </w:r>
          </w:p>
          <w:p w:rsidR="00612780" w:rsidRPr="00392FFD" w:rsidRDefault="00612780" w:rsidP="00612780">
            <w:pPr>
              <w:autoSpaceDE w:val="0"/>
              <w:autoSpaceDN w:val="0"/>
              <w:adjustRightInd w:val="0"/>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Cette colonne rassemble des informations sur les corrections de valeur et les provisions appliquées aux expositions titrisées. Cette colonne ne sera pas re</w:t>
            </w:r>
            <w:r>
              <w:rPr>
                <w:rFonts w:ascii="Times New Roman" w:hAnsi="Times New Roman"/>
                <w:sz w:val="24"/>
              </w:rPr>
              <w:t>m</w:t>
            </w:r>
            <w:r>
              <w:rPr>
                <w:rFonts w:ascii="Times New Roman" w:hAnsi="Times New Roman"/>
                <w:sz w:val="24"/>
              </w:rPr>
              <w:t>plie en cas de titrisation de passifs.</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Ces données seront déclarées même lorsque l’entité déclarante ne détient a</w:t>
            </w:r>
            <w:r>
              <w:rPr>
                <w:rFonts w:ascii="Times New Roman" w:hAnsi="Times New Roman"/>
                <w:sz w:val="24"/>
              </w:rPr>
              <w:t>u</w:t>
            </w:r>
            <w:r>
              <w:rPr>
                <w:rFonts w:ascii="Times New Roman" w:hAnsi="Times New Roman"/>
                <w:sz w:val="24"/>
              </w:rPr>
              <w:t xml:space="preserve">cune position dans la titrisation. </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Les sponsors ne rempliront pas cette colonne.</w:t>
            </w:r>
          </w:p>
          <w:p w:rsidR="00612780" w:rsidRPr="00392FFD" w:rsidRDefault="00612780" w:rsidP="00612780">
            <w:pPr>
              <w:autoSpaceDE w:val="0"/>
              <w:autoSpaceDN w:val="0"/>
              <w:adjustRightInd w:val="0"/>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highlight w:val="yellow"/>
              </w:rPr>
            </w:pPr>
            <w:r>
              <w:rPr>
                <w:rFonts w:ascii="Times New Roman" w:hAnsi="Times New Roman"/>
                <w:sz w:val="24"/>
              </w:rPr>
              <w:lastRenderedPageBreak/>
              <w:t>220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EXIGENCES DE FONDS PROPRES AVANT TITRISATION (%)</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Cette colonne contient des données sur les exigences de fonds propres du port</w:t>
            </w:r>
            <w:r>
              <w:rPr>
                <w:rFonts w:ascii="Times New Roman" w:hAnsi="Times New Roman"/>
                <w:sz w:val="24"/>
              </w:rPr>
              <w:t>e</w:t>
            </w:r>
            <w:r>
              <w:rPr>
                <w:rFonts w:ascii="Times New Roman" w:hAnsi="Times New Roman"/>
                <w:sz w:val="24"/>
              </w:rPr>
              <w:t>feuille titrisé, en l’absence de titrisation, et les pertes anticipées associées à ces risques (K</w:t>
            </w:r>
            <w:r>
              <w:rPr>
                <w:rFonts w:ascii="Times New Roman" w:hAnsi="Times New Roman"/>
                <w:sz w:val="24"/>
                <w:vertAlign w:val="subscript"/>
              </w:rPr>
              <w:t>irb</w:t>
            </w:r>
            <w:r>
              <w:rPr>
                <w:rFonts w:ascii="Times New Roman" w:hAnsi="Times New Roman"/>
                <w:sz w:val="24"/>
              </w:rPr>
              <w:t>), sous la forme d’un pourcentage (à deux décimales) du total des expositions titrisées à la date d’initiation. K</w:t>
            </w:r>
            <w:r>
              <w:rPr>
                <w:rFonts w:ascii="Times New Roman" w:hAnsi="Times New Roman"/>
                <w:sz w:val="24"/>
                <w:vertAlign w:val="subscript"/>
              </w:rPr>
              <w:t>irb</w:t>
            </w:r>
            <w:r>
              <w:rPr>
                <w:rFonts w:ascii="Times New Roman" w:hAnsi="Times New Roman"/>
                <w:sz w:val="24"/>
              </w:rPr>
              <w:t xml:space="preserve"> est défini à l’article 242, point 4, du CRR. </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Cette colonne ne sera pas remplie en cas de titrisation de passifs. En cas de t</w:t>
            </w:r>
            <w:r>
              <w:rPr>
                <w:rFonts w:ascii="Times New Roman" w:hAnsi="Times New Roman"/>
                <w:sz w:val="24"/>
              </w:rPr>
              <w:t>i</w:t>
            </w:r>
            <w:r>
              <w:rPr>
                <w:rFonts w:ascii="Times New Roman" w:hAnsi="Times New Roman"/>
                <w:sz w:val="24"/>
              </w:rPr>
              <w:t xml:space="preserve">trisation d’actifs, ces données seront déclarées même lorsque l’entité déclarante ne détient aucune position dans la titrisation. </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Les sponsors ne rempliront pas cette colonne.</w:t>
            </w:r>
          </w:p>
          <w:p w:rsidR="00612780" w:rsidRPr="00392FFD" w:rsidRDefault="00612780" w:rsidP="00612780">
            <w:pPr>
              <w:autoSpaceDE w:val="0"/>
              <w:autoSpaceDN w:val="0"/>
              <w:adjustRightInd w:val="0"/>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highlight w:val="yellow"/>
              </w:rPr>
            </w:pPr>
            <w:r>
              <w:rPr>
                <w:rFonts w:ascii="Times New Roman" w:hAnsi="Times New Roman"/>
                <w:sz w:val="24"/>
              </w:rPr>
              <w:t>230-300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STRUCTURE DE TITRISATION</w:t>
            </w:r>
          </w:p>
          <w:p w:rsidR="00612780" w:rsidRPr="00392FFD" w:rsidRDefault="00612780" w:rsidP="00612780">
            <w:pPr>
              <w:autoSpaceDE w:val="0"/>
              <w:autoSpaceDN w:val="0"/>
              <w:adjustRightInd w:val="0"/>
              <w:spacing w:before="0" w:after="0"/>
              <w:jc w:val="left"/>
              <w:rPr>
                <w:rFonts w:ascii="Times New Roman" w:hAnsi="Times New Roman"/>
                <w:sz w:val="24"/>
                <w:u w:val="single"/>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Ce bloc de six colonnes rassemble des informations sur la structure de la titris</w:t>
            </w:r>
            <w:r>
              <w:rPr>
                <w:rFonts w:ascii="Times New Roman" w:hAnsi="Times New Roman"/>
                <w:sz w:val="24"/>
              </w:rPr>
              <w:t>a</w:t>
            </w:r>
            <w:r>
              <w:rPr>
                <w:rFonts w:ascii="Times New Roman" w:hAnsi="Times New Roman"/>
                <w:sz w:val="24"/>
              </w:rPr>
              <w:t>tion en fonction des positions au bilan/hors bilan, des tranches (s</w:t>
            </w:r>
            <w:r>
              <w:rPr>
                <w:rFonts w:ascii="Times New Roman" w:hAnsi="Times New Roman"/>
                <w:sz w:val="24"/>
              </w:rPr>
              <w:t>e</w:t>
            </w:r>
            <w:r>
              <w:rPr>
                <w:rFonts w:ascii="Times New Roman" w:hAnsi="Times New Roman"/>
                <w:sz w:val="24"/>
              </w:rPr>
              <w:t xml:space="preserve">nior/mezzanine/première perte) et de l’échéance. </w:t>
            </w:r>
          </w:p>
          <w:p w:rsidR="00612780" w:rsidRPr="00392FFD" w:rsidRDefault="00612780" w:rsidP="00612780">
            <w:pPr>
              <w:autoSpaceDE w:val="0"/>
              <w:autoSpaceDN w:val="0"/>
              <w:adjustRightInd w:val="0"/>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Dans le cas des titrisations avec plusieurs vendeurs, pour la tranche de première perte, seul le montant correspondant ou attribué à l’établissement déclarant sera déclaré.</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sz w:val="24"/>
                <w:highlight w:val="yellow"/>
              </w:rPr>
            </w:pPr>
            <w:r>
              <w:rPr>
                <w:rFonts w:ascii="Times New Roman" w:hAnsi="Times New Roman"/>
                <w:sz w:val="24"/>
              </w:rPr>
              <w:t>230-250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ÉLÉMENTS DE BILAN</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Ce bloc de colonnes contient des informations sur les éléments au bilan ventilés par tranches (senior/mezzanine/première perte).</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230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SENIOR</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Toutes les tranches qui ne sont pas éligibles en tant que mezzanine ou première perte seront incluses dans cette catégorie.</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240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MEZZANINE</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Voir l’article 243, paragraphe 3 (titrisations classiques), et l’article 244, par</w:t>
            </w:r>
            <w:r>
              <w:rPr>
                <w:rFonts w:ascii="Times New Roman" w:hAnsi="Times New Roman"/>
                <w:sz w:val="24"/>
              </w:rPr>
              <w:t>a</w:t>
            </w:r>
            <w:r>
              <w:rPr>
                <w:rFonts w:ascii="Times New Roman" w:hAnsi="Times New Roman"/>
                <w:sz w:val="24"/>
              </w:rPr>
              <w:t>graphe 3 (titrisations synthétiques), du CRR.</w:t>
            </w:r>
          </w:p>
          <w:p w:rsidR="00612780" w:rsidRPr="00392FFD" w:rsidRDefault="00612780" w:rsidP="00612780">
            <w:pPr>
              <w:autoSpaceDE w:val="0"/>
              <w:autoSpaceDN w:val="0"/>
              <w:adjustRightInd w:val="0"/>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250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PREMIÈRE PERTE</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La tranche de première perte est définie à l’article 242, point 15, du CRR.</w:t>
            </w:r>
          </w:p>
          <w:p w:rsidR="00612780" w:rsidRPr="00392FFD" w:rsidRDefault="00612780" w:rsidP="00612780">
            <w:pPr>
              <w:autoSpaceDE w:val="0"/>
              <w:autoSpaceDN w:val="0"/>
              <w:adjustRightInd w:val="0"/>
              <w:spacing w:before="0" w:after="0"/>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260-280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ÉLÉMENTS DE HORS BILAN ET DÉRIVÉS</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p w:rsidR="00612780" w:rsidRPr="00392FFD" w:rsidRDefault="00612780" w:rsidP="00612780">
            <w:pPr>
              <w:autoSpaceDE w:val="0"/>
              <w:autoSpaceDN w:val="0"/>
              <w:adjustRightInd w:val="0"/>
              <w:spacing w:before="0" w:after="0"/>
              <w:jc w:val="left"/>
              <w:rPr>
                <w:rFonts w:ascii="Times New Roman" w:hAnsi="Times New Roman"/>
                <w:sz w:val="24"/>
              </w:rPr>
            </w:pPr>
            <w:r>
              <w:rPr>
                <w:rFonts w:ascii="Times New Roman" w:hAnsi="Times New Roman"/>
                <w:sz w:val="24"/>
              </w:rPr>
              <w:t>Ce bloc de colonnes contient des informations sur les éléments hors bilan et les dérivés ventilés par tranches (senior/mezzanine/première perte).</w:t>
            </w: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lastRenderedPageBreak/>
              <w:t>On appliquera ici les mêmes critères de classement entre les tranches que ceux utilisés pour les éléments au bilan.</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tc>
      </w:tr>
      <w:tr w:rsidR="00612780" w:rsidRPr="00392FFD" w:rsidTr="00612780">
        <w:tc>
          <w:tcPr>
            <w:tcW w:w="1101" w:type="dxa"/>
            <w:shd w:val="clear" w:color="auto" w:fill="auto"/>
          </w:tcPr>
          <w:p w:rsidR="00612780" w:rsidRPr="00392FFD" w:rsidDel="00304CB1"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lastRenderedPageBreak/>
              <w:t>290</w:t>
            </w:r>
          </w:p>
        </w:tc>
        <w:tc>
          <w:tcPr>
            <w:tcW w:w="7903" w:type="dxa"/>
            <w:shd w:val="clear" w:color="auto" w:fill="auto"/>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PREMIÈRE DATE DE FIN PRÉVISIBLE</w:t>
            </w:r>
          </w:p>
          <w:p w:rsidR="00612780" w:rsidRPr="00392FFD" w:rsidRDefault="00612780" w:rsidP="00612780">
            <w:pPr>
              <w:spacing w:before="0" w:after="0"/>
              <w:jc w:val="left"/>
              <w:rPr>
                <w:rFonts w:ascii="Times New Roman" w:hAnsi="Times New Roman"/>
                <w:b/>
                <w:sz w:val="24"/>
                <w:u w:val="single"/>
              </w:rPr>
            </w:pPr>
          </w:p>
          <w:p w:rsidR="00612780" w:rsidRPr="00392FFD" w:rsidRDefault="00612780" w:rsidP="00612780">
            <w:pPr>
              <w:spacing w:before="0" w:after="0"/>
              <w:jc w:val="left"/>
              <w:rPr>
                <w:rFonts w:ascii="Times New Roman" w:hAnsi="Times New Roman"/>
                <w:sz w:val="24"/>
              </w:rPr>
            </w:pPr>
            <w:r>
              <w:rPr>
                <w:rFonts w:ascii="Times New Roman" w:hAnsi="Times New Roman"/>
                <w:sz w:val="24"/>
              </w:rPr>
              <w:t xml:space="preserve">Date de fin potentielle de l’ensemble de la titrisation en vertu des clauses du contrat et conditions financières actuellement attendues. En règle générale, il s’agit de la plus proche de ces deux dates: </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jc w:val="left"/>
              <w:rPr>
                <w:rFonts w:ascii="Times New Roman" w:hAnsi="Times New Roman"/>
                <w:sz w:val="24"/>
              </w:rPr>
            </w:pPr>
            <w:r>
              <w:rPr>
                <w:rFonts w:ascii="Times New Roman" w:hAnsi="Times New Roman"/>
                <w:sz w:val="24"/>
              </w:rPr>
              <w:t>i)</w:t>
            </w:r>
            <w:r>
              <w:tab/>
            </w:r>
            <w:r>
              <w:rPr>
                <w:rFonts w:ascii="Times New Roman" w:hAnsi="Times New Roman"/>
                <w:sz w:val="24"/>
              </w:rPr>
              <w:t>la première date à laquelle il est possible d’exercer une option de retrait anticipé (définie à l’article 242, point 2, du CRR), compte tenu de l’échéance de la ou des expositions sous-jacentes, ainsi que de leur coefficient de rembou</w:t>
            </w:r>
            <w:r>
              <w:rPr>
                <w:rFonts w:ascii="Times New Roman" w:hAnsi="Times New Roman"/>
                <w:sz w:val="24"/>
              </w:rPr>
              <w:t>r</w:t>
            </w:r>
            <w:r>
              <w:rPr>
                <w:rFonts w:ascii="Times New Roman" w:hAnsi="Times New Roman"/>
                <w:sz w:val="24"/>
              </w:rPr>
              <w:t xml:space="preserve">sement anticipé ou leurs conditions éventuelles de renégociation; </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jc w:val="left"/>
              <w:rPr>
                <w:rFonts w:ascii="Times New Roman" w:hAnsi="Times New Roman"/>
                <w:sz w:val="24"/>
              </w:rPr>
            </w:pPr>
            <w:r>
              <w:rPr>
                <w:rFonts w:ascii="Times New Roman" w:hAnsi="Times New Roman"/>
                <w:sz w:val="24"/>
              </w:rPr>
              <w:t>ii)</w:t>
            </w:r>
            <w:r>
              <w:tab/>
            </w:r>
            <w:r>
              <w:rPr>
                <w:rFonts w:ascii="Times New Roman" w:hAnsi="Times New Roman"/>
                <w:sz w:val="24"/>
              </w:rPr>
              <w:t>la première date à laquelle l’initiateur peut exercer toute autre option de rachat prévue dans les clauses contractuelles de la titrisation, et qui provoqu</w:t>
            </w:r>
            <w:r>
              <w:rPr>
                <w:rFonts w:ascii="Times New Roman" w:hAnsi="Times New Roman"/>
                <w:sz w:val="24"/>
              </w:rPr>
              <w:t>e</w:t>
            </w:r>
            <w:r>
              <w:rPr>
                <w:rFonts w:ascii="Times New Roman" w:hAnsi="Times New Roman"/>
                <w:sz w:val="24"/>
              </w:rPr>
              <w:t>rait le remboursement total de la titrisation.</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 jour, le mois et l’année de la première date de fin prévisible seront déclarés.</w:t>
            </w:r>
            <w:r>
              <w:rPr>
                <w:rFonts w:ascii="Times New Roman" w:hAnsi="Times New Roman"/>
              </w:rPr>
              <w:t xml:space="preserve"> </w:t>
            </w:r>
            <w:r>
              <w:rPr>
                <w:rFonts w:ascii="Times New Roman" w:hAnsi="Times New Roman"/>
                <w:sz w:val="24"/>
              </w:rPr>
              <w:t>Le jour exact sera déclaré si cette information est disponible; autrement, le premier jour du mois sera déclaré.</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shd w:val="clear" w:color="auto" w:fill="auto"/>
          </w:tcPr>
          <w:p w:rsidR="00612780" w:rsidRPr="00392FFD" w:rsidDel="00304CB1"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300</w:t>
            </w:r>
          </w:p>
        </w:tc>
        <w:tc>
          <w:tcPr>
            <w:tcW w:w="7903" w:type="dxa"/>
            <w:shd w:val="clear" w:color="auto" w:fill="auto"/>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DATE D’ÉCHÉANCE FINALE LÉGALE</w:t>
            </w:r>
          </w:p>
          <w:p w:rsidR="00612780" w:rsidRPr="00392FFD" w:rsidRDefault="00612780" w:rsidP="00612780">
            <w:pPr>
              <w:spacing w:before="0" w:after="0"/>
              <w:jc w:val="left"/>
              <w:rPr>
                <w:rFonts w:ascii="Times New Roman" w:hAnsi="Times New Roman"/>
                <w:b/>
                <w:sz w:val="24"/>
                <w:u w:val="single"/>
              </w:rPr>
            </w:pPr>
          </w:p>
          <w:p w:rsidR="00612780" w:rsidRPr="00392FFD" w:rsidRDefault="00612780" w:rsidP="00612780">
            <w:pPr>
              <w:spacing w:before="0" w:after="0"/>
              <w:jc w:val="left"/>
              <w:rPr>
                <w:rFonts w:ascii="Times New Roman" w:hAnsi="Times New Roman"/>
                <w:sz w:val="24"/>
              </w:rPr>
            </w:pPr>
            <w:r>
              <w:rPr>
                <w:rFonts w:ascii="Times New Roman" w:hAnsi="Times New Roman"/>
                <w:sz w:val="24"/>
              </w:rPr>
              <w:t>Date légale à laquelle la totalité du principal et des intérêts de la titrisation doit avoir été remboursée (sur la base des documents de l’opération).</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Le jour, le mois et l’année de la date d’échéance finale légale seront déclarés.</w:t>
            </w:r>
            <w:r>
              <w:rPr>
                <w:rFonts w:ascii="Times New Roman" w:hAnsi="Times New Roman"/>
              </w:rPr>
              <w:t xml:space="preserve"> </w:t>
            </w:r>
            <w:r>
              <w:rPr>
                <w:rFonts w:ascii="Times New Roman" w:hAnsi="Times New Roman"/>
                <w:sz w:val="24"/>
              </w:rPr>
              <w:t>Le jour exact sera déclaré si cette information est disponible; autrement, le premier jour du mois sera déclaré.</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310-400</w:t>
            </w:r>
          </w:p>
        </w:tc>
        <w:tc>
          <w:tcPr>
            <w:tcW w:w="7903" w:type="dxa"/>
          </w:tcPr>
          <w:p w:rsidR="00612780" w:rsidRPr="0023700C" w:rsidRDefault="00612780" w:rsidP="00612780">
            <w:pPr>
              <w:spacing w:before="0" w:after="0"/>
              <w:jc w:val="left"/>
              <w:rPr>
                <w:rFonts w:ascii="Times New Roman" w:hAnsi="Times New Roman"/>
                <w:b/>
                <w:sz w:val="24"/>
                <w:u w:val="single"/>
              </w:rPr>
            </w:pPr>
            <w:r>
              <w:rPr>
                <w:rFonts w:ascii="Times New Roman" w:hAnsi="Times New Roman"/>
                <w:b/>
                <w:sz w:val="24"/>
                <w:u w:val="single"/>
              </w:rPr>
              <w:t>POSITIONS DE TITRISATION: EXPOSITION INITIALE AVANT A</w:t>
            </w:r>
            <w:r>
              <w:rPr>
                <w:rFonts w:ascii="Times New Roman" w:hAnsi="Times New Roman"/>
                <w:b/>
                <w:sz w:val="24"/>
                <w:u w:val="single"/>
              </w:rPr>
              <w:t>P</w:t>
            </w:r>
            <w:r>
              <w:rPr>
                <w:rFonts w:ascii="Times New Roman" w:hAnsi="Times New Roman"/>
                <w:b/>
                <w:sz w:val="24"/>
                <w:u w:val="single"/>
              </w:rPr>
              <w:t>PLICATION DES FACTEURS DE CONVERSION</w:t>
            </w:r>
          </w:p>
          <w:p w:rsidR="00612780" w:rsidRPr="0023700C"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 xml:space="preserve">Ce bloc de colonnes rassemble des informations, à la date de la déclaration, sur les positions de titrisation en fonction des positions au bilan/hors bilan et des tranches (senior/mezzanine/première perte). </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310-330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 xml:space="preserve">ÉLÉMENTS DE BILAN </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jc w:val="left"/>
              <w:rPr>
                <w:rFonts w:ascii="Times New Roman" w:hAnsi="Times New Roman"/>
                <w:sz w:val="24"/>
              </w:rPr>
            </w:pPr>
            <w:r>
              <w:rPr>
                <w:rFonts w:ascii="Times New Roman" w:hAnsi="Times New Roman"/>
                <w:sz w:val="24"/>
              </w:rPr>
              <w:t>On appliquera ici les mêmes critères de classement entre les tranches que ceux utilisés pour les éléments au bilan.</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340-360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ÉLÉMENTS DE HORS BILAN ET DÉRIVÉS</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jc w:val="left"/>
              <w:rPr>
                <w:rFonts w:ascii="Times New Roman" w:hAnsi="Times New Roman"/>
                <w:sz w:val="24"/>
              </w:rPr>
            </w:pPr>
            <w:r>
              <w:rPr>
                <w:rFonts w:ascii="Times New Roman" w:hAnsi="Times New Roman"/>
                <w:sz w:val="24"/>
              </w:rPr>
              <w:t>On appliquera ici les mêmes critères de classement entre les tranches que ceux utilisés pour les éléments hors bilan.</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sz w:val="24"/>
                <w:highlight w:val="yellow"/>
              </w:rPr>
            </w:pPr>
            <w:r>
              <w:rPr>
                <w:rFonts w:ascii="Times New Roman" w:hAnsi="Times New Roman"/>
                <w:sz w:val="24"/>
              </w:rPr>
              <w:t>370-400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POUR MÉMOIRE: ÉLÉMENTS DE HORS BILAN ET DÉRIVÉS</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lastRenderedPageBreak/>
              <w:t>Ce bloc de colonnes rassemble des informations complémentaires sur le total des éléments hors bilan et des dérivés (qui ont déjà été déclarés selon une autre ventilation dans les colonnes 340-360).</w:t>
            </w:r>
          </w:p>
          <w:p w:rsidR="00612780" w:rsidRPr="00392FFD" w:rsidRDefault="00612780" w:rsidP="00612780">
            <w:pPr>
              <w:autoSpaceDE w:val="0"/>
              <w:autoSpaceDN w:val="0"/>
              <w:adjustRightInd w:val="0"/>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lastRenderedPageBreak/>
              <w:t>370</w:t>
            </w:r>
          </w:p>
        </w:tc>
        <w:tc>
          <w:tcPr>
            <w:tcW w:w="7903" w:type="dxa"/>
          </w:tcPr>
          <w:p w:rsidR="00612780" w:rsidRPr="00392FFD" w:rsidRDefault="00612780" w:rsidP="00612780">
            <w:pPr>
              <w:autoSpaceDE w:val="0"/>
              <w:autoSpaceDN w:val="0"/>
              <w:adjustRightInd w:val="0"/>
              <w:spacing w:before="0" w:after="0"/>
              <w:jc w:val="left"/>
              <w:rPr>
                <w:rFonts w:ascii="Times New Roman" w:hAnsi="Times New Roman"/>
                <w:b/>
                <w:sz w:val="24"/>
                <w:u w:val="single"/>
              </w:rPr>
            </w:pPr>
            <w:r>
              <w:rPr>
                <w:rFonts w:ascii="Times New Roman" w:hAnsi="Times New Roman"/>
                <w:b/>
                <w:sz w:val="24"/>
                <w:u w:val="single"/>
              </w:rPr>
              <w:t>SUBSTITUTS DE CRÉDIT DIRECTS</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p w:rsidR="00612780" w:rsidRPr="00392FFD" w:rsidRDefault="00612780" w:rsidP="00612780">
            <w:pPr>
              <w:spacing w:before="0" w:after="0"/>
              <w:rPr>
                <w:rFonts w:ascii="Times New Roman" w:hAnsi="Times New Roman"/>
                <w:sz w:val="24"/>
              </w:rPr>
            </w:pPr>
            <w:r>
              <w:rPr>
                <w:rFonts w:ascii="Times New Roman" w:hAnsi="Times New Roman"/>
                <w:sz w:val="24"/>
              </w:rPr>
              <w:t>Cette colonne est utilisée pour les positions de titrisation détenues par l’initiateur et garanties par des substituts de crédit direct.</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Conformément à l’annexe I du CRR, les éléments hors bilan suivants, prése</w:t>
            </w:r>
            <w:r>
              <w:rPr>
                <w:rFonts w:ascii="Times New Roman" w:hAnsi="Times New Roman"/>
                <w:sz w:val="24"/>
              </w:rPr>
              <w:t>n</w:t>
            </w:r>
            <w:r>
              <w:rPr>
                <w:rFonts w:ascii="Times New Roman" w:hAnsi="Times New Roman"/>
                <w:sz w:val="24"/>
              </w:rPr>
              <w:t>tant un risque élevé, sont considérés comme des substituts de crédit direct:</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i/>
                <w:sz w:val="24"/>
              </w:rPr>
            </w:pPr>
            <w:r>
              <w:rPr>
                <w:rFonts w:ascii="Times New Roman" w:hAnsi="Times New Roman"/>
                <w:i/>
                <w:sz w:val="24"/>
              </w:rPr>
              <w:t>- cautionnements constituant des substituts de crédits;</w:t>
            </w:r>
          </w:p>
          <w:p w:rsidR="00612780" w:rsidRPr="00392FFD" w:rsidRDefault="00612780" w:rsidP="00612780">
            <w:pPr>
              <w:spacing w:before="0" w:after="0"/>
              <w:rPr>
                <w:rFonts w:ascii="Times New Roman" w:hAnsi="Times New Roman"/>
                <w:i/>
                <w:sz w:val="24"/>
              </w:rPr>
            </w:pPr>
            <w:r>
              <w:rPr>
                <w:rFonts w:ascii="Times New Roman" w:hAnsi="Times New Roman"/>
                <w:i/>
                <w:sz w:val="24"/>
              </w:rPr>
              <w:t>- lettres de crédit stand-by irrévocables constituant des substituts de crédit.</w:t>
            </w:r>
          </w:p>
          <w:p w:rsidR="00612780" w:rsidRPr="00392FFD" w:rsidRDefault="00612780" w:rsidP="00612780">
            <w:pPr>
              <w:autoSpaceDE w:val="0"/>
              <w:autoSpaceDN w:val="0"/>
              <w:adjustRightInd w:val="0"/>
              <w:spacing w:before="0" w:after="0"/>
              <w:jc w:val="left"/>
              <w:rPr>
                <w:rFonts w:ascii="Times New Roman" w:hAnsi="Times New Roman"/>
                <w:b/>
                <w:sz w:val="24"/>
                <w:u w:val="single"/>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380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IRS/CRS</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IRS est l’abréviation de Interest Rate Swaps (contrats d’échange de taux d’intérêt) et CRS de Currency Rate Swaps (contrats d’échange de devises). Ces dérivés figurent sur la liste de l’annexe II du CRR.</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390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FACILITÉS DE TRÉSORERIE (FT) ÉLIGIBLES</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Les facilités de trésorerie (FT) définies à l’article 242, point 3, du CRR doivent satisfaire à 6 conditions énoncées à l’article 255, paragraphe 1, du CRR pour être considérées comme éligibles (quelle que soit la méthode appliquée par l’établissement, standard ou NI).</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400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AUTRES (Y COMPRIS FT NON ÉLIGIBLES)</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Cette colonne est réservée au reste des éléments hors bilan, notamment les fac</w:t>
            </w:r>
            <w:r>
              <w:rPr>
                <w:rFonts w:ascii="Times New Roman" w:hAnsi="Times New Roman"/>
                <w:sz w:val="24"/>
              </w:rPr>
              <w:t>i</w:t>
            </w:r>
            <w:r>
              <w:rPr>
                <w:rFonts w:ascii="Times New Roman" w:hAnsi="Times New Roman"/>
                <w:sz w:val="24"/>
              </w:rPr>
              <w:t>lités de trésorerie non éligibles (c’est-à-dire celles qui ne remplissent pas les conditions énoncées à l’article 255, paragraphe 1, du CRR).</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shd w:val="clear" w:color="auto" w:fill="auto"/>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410</w:t>
            </w:r>
          </w:p>
        </w:tc>
        <w:tc>
          <w:tcPr>
            <w:tcW w:w="7903" w:type="dxa"/>
            <w:shd w:val="clear" w:color="auto" w:fill="auto"/>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REMBOURSEMENT ANTICIPÉ: FACTEUR DE CONVERSION A</w:t>
            </w:r>
            <w:r>
              <w:rPr>
                <w:rFonts w:ascii="Times New Roman" w:hAnsi="Times New Roman"/>
                <w:b/>
                <w:sz w:val="24"/>
                <w:u w:val="single"/>
              </w:rPr>
              <w:t>P</w:t>
            </w:r>
            <w:r>
              <w:rPr>
                <w:rFonts w:ascii="Times New Roman" w:hAnsi="Times New Roman"/>
                <w:b/>
                <w:sz w:val="24"/>
                <w:u w:val="single"/>
              </w:rPr>
              <w:t>PLIQUÉ</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tabs>
                <w:tab w:val="left" w:pos="5828"/>
              </w:tabs>
              <w:spacing w:before="0" w:after="0"/>
              <w:rPr>
                <w:rFonts w:ascii="Times New Roman" w:hAnsi="Times New Roman"/>
                <w:sz w:val="24"/>
              </w:rPr>
            </w:pPr>
            <w:r>
              <w:rPr>
                <w:rFonts w:ascii="Times New Roman" w:hAnsi="Times New Roman"/>
                <w:sz w:val="24"/>
              </w:rPr>
              <w:t>L’article 242, point 12, l’article 256, paragraphe 5 (approche standard), et l’article 265, paragraphe 1 (approche NI), du CRR prévoient un ensemble de facteurs de conversion à appliquer au montant des intérêts des investisseurs (afin de calculer les montants d’exposition pondérés).</w:t>
            </w:r>
          </w:p>
          <w:p w:rsidR="00612780" w:rsidRPr="00392FFD" w:rsidRDefault="00612780" w:rsidP="00612780">
            <w:pPr>
              <w:tabs>
                <w:tab w:val="left" w:pos="5828"/>
              </w:tabs>
              <w:spacing w:before="0" w:after="0"/>
              <w:rPr>
                <w:rFonts w:ascii="Times New Roman" w:hAnsi="Times New Roman"/>
                <w:sz w:val="24"/>
              </w:rPr>
            </w:pPr>
          </w:p>
          <w:p w:rsidR="00612780" w:rsidRPr="00392FFD" w:rsidRDefault="00612780" w:rsidP="00612780">
            <w:pPr>
              <w:tabs>
                <w:tab w:val="left" w:pos="5828"/>
              </w:tabs>
              <w:spacing w:before="0" w:after="0"/>
              <w:rPr>
                <w:rFonts w:ascii="Times New Roman" w:hAnsi="Times New Roman"/>
                <w:sz w:val="24"/>
              </w:rPr>
            </w:pPr>
            <w:r>
              <w:rPr>
                <w:rFonts w:ascii="Times New Roman" w:hAnsi="Times New Roman"/>
                <w:sz w:val="24"/>
              </w:rPr>
              <w:t>Cette colonne est utilisée pour les dispositifs de titrisation comportant une clause de remboursement anticipé (à savoir les titrisations renouvelables).</w:t>
            </w:r>
          </w:p>
          <w:p w:rsidR="00612780" w:rsidRPr="00392FFD" w:rsidRDefault="00612780" w:rsidP="00612780">
            <w:pPr>
              <w:tabs>
                <w:tab w:val="left" w:pos="5828"/>
              </w:tabs>
              <w:spacing w:before="0" w:after="0"/>
              <w:rPr>
                <w:rFonts w:ascii="Times New Roman" w:hAnsi="Times New Roman"/>
                <w:sz w:val="24"/>
              </w:rPr>
            </w:pPr>
          </w:p>
          <w:p w:rsidR="00612780" w:rsidRPr="00392FFD" w:rsidRDefault="00612780" w:rsidP="00612780">
            <w:pPr>
              <w:tabs>
                <w:tab w:val="left" w:pos="5828"/>
              </w:tabs>
              <w:spacing w:before="0" w:after="0"/>
              <w:rPr>
                <w:rFonts w:ascii="Times New Roman" w:hAnsi="Times New Roman"/>
                <w:sz w:val="24"/>
              </w:rPr>
            </w:pPr>
            <w:r>
              <w:rPr>
                <w:rFonts w:ascii="Times New Roman" w:hAnsi="Times New Roman"/>
                <w:sz w:val="24"/>
              </w:rPr>
              <w:t>Conformément à l’article 256, paragraphe 6, du CRR, le facteur de conversion à appliquer sera déterminé par le niveau de la marge nette moyenne sur trois mois.</w:t>
            </w:r>
          </w:p>
          <w:p w:rsidR="00612780" w:rsidRPr="00392FFD" w:rsidRDefault="00612780" w:rsidP="00612780">
            <w:pPr>
              <w:tabs>
                <w:tab w:val="left" w:pos="5828"/>
              </w:tabs>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 xml:space="preserve">Dans le cas des titrisations de passifs, cette colonne ne sera pas remplie. Ces </w:t>
            </w:r>
            <w:r>
              <w:rPr>
                <w:rFonts w:ascii="Times New Roman" w:hAnsi="Times New Roman"/>
                <w:sz w:val="24"/>
              </w:rPr>
              <w:lastRenderedPageBreak/>
              <w:t>données sont liées à la ligne 100 du modèle CR SEC SA et à la ligne 160 du modèle CR SEC IRB.</w:t>
            </w:r>
          </w:p>
          <w:p w:rsidR="00612780" w:rsidRPr="00392FFD" w:rsidRDefault="00612780" w:rsidP="00612780">
            <w:pPr>
              <w:spacing w:before="0" w:after="0"/>
              <w:jc w:val="left"/>
              <w:rPr>
                <w:rFonts w:ascii="Times New Roman" w:hAnsi="Times New Roman"/>
                <w:b/>
                <w:sz w:val="24"/>
                <w:u w:val="single"/>
              </w:rPr>
            </w:pP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lastRenderedPageBreak/>
              <w:t>420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 VALEUR EXPOSÉE DÉDUITE DES FONDS PROPRES</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Ces données sont étroitement liées à la colonne 200 du modèle CR SEC SA et à la colonne 180 du modèle CR SEC IRB.</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Cette colonne contiendra une valeur négative.</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tcPr>
          <w:p w:rsidR="00612780" w:rsidRPr="00392FFD" w:rsidDel="00304CB1"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430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MONTANT TOTAL D’EXPOSITION PONDÉRÉ AVANT APPLIC</w:t>
            </w:r>
            <w:r>
              <w:rPr>
                <w:rFonts w:ascii="Times New Roman" w:hAnsi="Times New Roman"/>
                <w:b/>
                <w:sz w:val="24"/>
                <w:u w:val="single"/>
              </w:rPr>
              <w:t>A</w:t>
            </w:r>
            <w:r>
              <w:rPr>
                <w:rFonts w:ascii="Times New Roman" w:hAnsi="Times New Roman"/>
                <w:b/>
                <w:sz w:val="24"/>
                <w:u w:val="single"/>
              </w:rPr>
              <w:t>TION DU PLAFOND</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Cette colonne contient des informations sur le montant d’exposition pondéré avant plafonnement applicable aux positions de titrisation (soit dans le cas de dispositifs de titrisation avec transfert de risque significatif). Dans le cas de di</w:t>
            </w:r>
            <w:r>
              <w:rPr>
                <w:rFonts w:ascii="Times New Roman" w:hAnsi="Times New Roman"/>
                <w:sz w:val="24"/>
              </w:rPr>
              <w:t>s</w:t>
            </w:r>
            <w:r>
              <w:rPr>
                <w:rFonts w:ascii="Times New Roman" w:hAnsi="Times New Roman"/>
                <w:sz w:val="24"/>
              </w:rPr>
              <w:t>positifs de titrisation sans transfert de risque significatif (à savoir le montant d’exposition pondéré calculé en fonction des expositions titrisées), aucune do</w:t>
            </w:r>
            <w:r>
              <w:rPr>
                <w:rFonts w:ascii="Times New Roman" w:hAnsi="Times New Roman"/>
                <w:sz w:val="24"/>
              </w:rPr>
              <w:t>n</w:t>
            </w:r>
            <w:r>
              <w:rPr>
                <w:rFonts w:ascii="Times New Roman" w:hAnsi="Times New Roman"/>
                <w:sz w:val="24"/>
              </w:rPr>
              <w:t>née ne sera déclarée dans cette colonne.</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jc w:val="left"/>
              <w:rPr>
                <w:rFonts w:ascii="Times New Roman" w:hAnsi="Times New Roman"/>
                <w:b/>
                <w:sz w:val="24"/>
                <w:u w:val="single"/>
              </w:rPr>
            </w:pPr>
            <w:r>
              <w:rPr>
                <w:rFonts w:ascii="Times New Roman" w:hAnsi="Times New Roman"/>
                <w:sz w:val="24"/>
              </w:rPr>
              <w:t xml:space="preserve">Dans le cas des titrisations de passifs, cette colonne ne sera pas remplie. </w:t>
            </w:r>
          </w:p>
        </w:tc>
      </w:tr>
      <w:tr w:rsidR="00612780" w:rsidRPr="00392FFD" w:rsidTr="00612780">
        <w:tc>
          <w:tcPr>
            <w:tcW w:w="1101" w:type="dxa"/>
          </w:tcPr>
          <w:p w:rsidR="00612780" w:rsidRPr="00392FFD" w:rsidRDefault="00612780" w:rsidP="00612780">
            <w:pPr>
              <w:autoSpaceDE w:val="0"/>
              <w:autoSpaceDN w:val="0"/>
              <w:adjustRightInd w:val="0"/>
              <w:spacing w:before="0" w:after="0"/>
              <w:rPr>
                <w:rFonts w:ascii="Times New Roman" w:hAnsi="Times New Roman"/>
                <w:bCs/>
                <w:sz w:val="24"/>
              </w:rPr>
            </w:pPr>
            <w:r>
              <w:rPr>
                <w:rFonts w:ascii="Times New Roman" w:hAnsi="Times New Roman"/>
                <w:sz w:val="24"/>
              </w:rPr>
              <w:t>440</w:t>
            </w:r>
          </w:p>
        </w:tc>
        <w:tc>
          <w:tcPr>
            <w:tcW w:w="7903" w:type="dxa"/>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MONTANT TOTAL D’EXPOSITION PONDÉRÉ APRÈS APPLIC</w:t>
            </w:r>
            <w:r>
              <w:rPr>
                <w:rFonts w:ascii="Times New Roman" w:hAnsi="Times New Roman"/>
                <w:b/>
                <w:sz w:val="24"/>
                <w:u w:val="single"/>
              </w:rPr>
              <w:t>A</w:t>
            </w:r>
            <w:r>
              <w:rPr>
                <w:rFonts w:ascii="Times New Roman" w:hAnsi="Times New Roman"/>
                <w:b/>
                <w:sz w:val="24"/>
                <w:u w:val="single"/>
              </w:rPr>
              <w:t>TION DU PLAFOND</w:t>
            </w:r>
          </w:p>
          <w:p w:rsidR="00612780" w:rsidRPr="00392FFD" w:rsidRDefault="00612780" w:rsidP="00612780">
            <w:pPr>
              <w:spacing w:before="0" w:after="0"/>
              <w:jc w:val="left"/>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Cette colonne contient des informations sur le montant d’exposition pondéré après plafonnement, applicable aux positions de titrisation (soit dans le cas de dispositifs de titrisation avec transfert de risque significatif). Dans le cas de di</w:t>
            </w:r>
            <w:r>
              <w:rPr>
                <w:rFonts w:ascii="Times New Roman" w:hAnsi="Times New Roman"/>
                <w:sz w:val="24"/>
              </w:rPr>
              <w:t>s</w:t>
            </w:r>
            <w:r>
              <w:rPr>
                <w:rFonts w:ascii="Times New Roman" w:hAnsi="Times New Roman"/>
                <w:sz w:val="24"/>
              </w:rPr>
              <w:t>positifs de titrisation sans transfert de risque significatif (à savoir les exigences de fonds propres calculées en fonction des expositions titrisées), aucune donnée ne sera déclarée dans cette colonne.</w:t>
            </w:r>
          </w:p>
          <w:p w:rsidR="00612780" w:rsidRPr="00392FFD" w:rsidRDefault="00612780" w:rsidP="00612780">
            <w:pPr>
              <w:spacing w:before="0" w:after="0"/>
              <w:rPr>
                <w:rFonts w:ascii="Times New Roman" w:hAnsi="Times New Roman"/>
                <w:sz w:val="24"/>
              </w:rPr>
            </w:pPr>
          </w:p>
          <w:p w:rsidR="00612780" w:rsidRPr="00392FFD" w:rsidRDefault="00612780" w:rsidP="00612780">
            <w:pPr>
              <w:spacing w:before="0" w:after="0"/>
              <w:rPr>
                <w:rFonts w:ascii="Times New Roman" w:hAnsi="Times New Roman"/>
                <w:sz w:val="24"/>
              </w:rPr>
            </w:pPr>
            <w:r>
              <w:rPr>
                <w:rFonts w:ascii="Times New Roman" w:hAnsi="Times New Roman"/>
                <w:sz w:val="24"/>
              </w:rPr>
              <w:t xml:space="preserve">Dans le cas des titrisations de passifs, cette colonne ne sera pas remplie. </w:t>
            </w:r>
          </w:p>
          <w:p w:rsidR="00612780" w:rsidRPr="00392FFD" w:rsidRDefault="00612780" w:rsidP="00612780">
            <w:pPr>
              <w:spacing w:before="0" w:after="0"/>
              <w:jc w:val="left"/>
              <w:rPr>
                <w:rFonts w:ascii="Times New Roman" w:hAnsi="Times New Roman"/>
                <w:sz w:val="24"/>
              </w:rPr>
            </w:pPr>
          </w:p>
        </w:tc>
      </w:tr>
      <w:tr w:rsidR="00612780" w:rsidRPr="00392FFD" w:rsidTr="00612780">
        <w:tc>
          <w:tcPr>
            <w:tcW w:w="1101" w:type="dxa"/>
            <w:shd w:val="clear" w:color="auto" w:fill="auto"/>
          </w:tcPr>
          <w:p w:rsidR="00612780" w:rsidRPr="00392FFD"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450-510</w:t>
            </w:r>
          </w:p>
        </w:tc>
        <w:tc>
          <w:tcPr>
            <w:tcW w:w="7903" w:type="dxa"/>
            <w:shd w:val="clear" w:color="auto" w:fill="auto"/>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POSITIONS DE TITRISATION - PORTEFEUILLE DE NÉGOCIATION</w:t>
            </w:r>
          </w:p>
          <w:p w:rsidR="00612780" w:rsidRPr="00392FFD" w:rsidRDefault="00612780" w:rsidP="00612780">
            <w:pPr>
              <w:spacing w:before="0" w:after="0"/>
              <w:jc w:val="left"/>
              <w:rPr>
                <w:rFonts w:ascii="Times New Roman" w:hAnsi="Times New Roman"/>
                <w:b/>
                <w:sz w:val="24"/>
                <w:u w:val="single"/>
              </w:rPr>
            </w:pPr>
          </w:p>
        </w:tc>
      </w:tr>
      <w:tr w:rsidR="00612780" w:rsidRPr="00392FFD" w:rsidTr="00612780">
        <w:tc>
          <w:tcPr>
            <w:tcW w:w="1101" w:type="dxa"/>
            <w:tcBorders>
              <w:top w:val="single" w:sz="4" w:space="0" w:color="auto"/>
              <w:left w:val="single" w:sz="4" w:space="0" w:color="auto"/>
              <w:bottom w:val="single" w:sz="4" w:space="0" w:color="auto"/>
              <w:right w:val="single" w:sz="4" w:space="0" w:color="auto"/>
            </w:tcBorders>
            <w:shd w:val="clear" w:color="auto" w:fill="auto"/>
          </w:tcPr>
          <w:p w:rsidR="00612780" w:rsidRPr="00392FFD" w:rsidDel="00304CB1"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450</w:t>
            </w:r>
          </w:p>
        </w:tc>
        <w:tc>
          <w:tcPr>
            <w:tcW w:w="7903" w:type="dxa"/>
            <w:tcBorders>
              <w:top w:val="single" w:sz="4" w:space="0" w:color="auto"/>
              <w:left w:val="single" w:sz="4" w:space="0" w:color="auto"/>
              <w:bottom w:val="single" w:sz="4" w:space="0" w:color="auto"/>
              <w:right w:val="single" w:sz="4" w:space="0" w:color="auto"/>
            </w:tcBorders>
            <w:shd w:val="clear" w:color="auto" w:fill="auto"/>
          </w:tcPr>
          <w:p w:rsidR="00612780" w:rsidRPr="00392FFD" w:rsidRDefault="00612780" w:rsidP="00612780">
            <w:pPr>
              <w:spacing w:before="0" w:after="0"/>
              <w:jc w:val="left"/>
              <w:rPr>
                <w:rFonts w:ascii="Times New Roman" w:hAnsi="Times New Roman"/>
                <w:b/>
                <w:sz w:val="24"/>
                <w:u w:val="single"/>
              </w:rPr>
            </w:pPr>
            <w:r>
              <w:rPr>
                <w:rFonts w:ascii="Times New Roman" w:hAnsi="Times New Roman"/>
                <w:b/>
                <w:sz w:val="24"/>
                <w:u w:val="single"/>
              </w:rPr>
              <w:t>PORTEFEUILLE DE NÉGOCIATION EN CORRÉLATION OU NON?</w:t>
            </w:r>
          </w:p>
          <w:p w:rsidR="00612780" w:rsidRPr="00392FFD" w:rsidRDefault="00612780" w:rsidP="00612780">
            <w:pPr>
              <w:spacing w:before="0" w:after="0"/>
              <w:jc w:val="left"/>
              <w:rPr>
                <w:rStyle w:val="InstructionsTabelleText"/>
                <w:rFonts w:ascii="Times New Roman" w:hAnsi="Times New Roman"/>
                <w:sz w:val="24"/>
              </w:rPr>
            </w:pPr>
          </w:p>
          <w:p w:rsidR="00612780" w:rsidRPr="00392FFD" w:rsidRDefault="00612780" w:rsidP="00612780">
            <w:pPr>
              <w:spacing w:before="0" w:after="0"/>
              <w:jc w:val="left"/>
              <w:rPr>
                <w:rStyle w:val="InstructionsTabelleText"/>
                <w:rFonts w:ascii="Times New Roman" w:hAnsi="Times New Roman"/>
                <w:sz w:val="24"/>
              </w:rPr>
            </w:pPr>
            <w:r>
              <w:rPr>
                <w:rStyle w:val="InstructionsTabelleText"/>
                <w:rFonts w:ascii="Times New Roman" w:hAnsi="Times New Roman"/>
                <w:sz w:val="24"/>
              </w:rPr>
              <w:t>Les abréviations suivantes seront utilisées:</w:t>
            </w:r>
          </w:p>
          <w:p w:rsidR="00612780" w:rsidRPr="00392FFD" w:rsidRDefault="00612780" w:rsidP="00612780">
            <w:pPr>
              <w:spacing w:before="0" w:after="0"/>
              <w:jc w:val="left"/>
              <w:rPr>
                <w:rStyle w:val="InstructionsTabelleText"/>
                <w:rFonts w:ascii="Times New Roman" w:hAnsi="Times New Roman"/>
                <w:sz w:val="24"/>
              </w:rPr>
            </w:pPr>
            <w:r>
              <w:rPr>
                <w:rStyle w:val="InstructionsTabelleText"/>
                <w:rFonts w:ascii="Times New Roman" w:hAnsi="Times New Roman"/>
                <w:sz w:val="24"/>
              </w:rPr>
              <w:t>C - Portefeuille de négociation en corrélation (CTP);</w:t>
            </w:r>
          </w:p>
          <w:p w:rsidR="00612780" w:rsidRPr="00392FFD" w:rsidRDefault="00612780" w:rsidP="00612780">
            <w:pPr>
              <w:spacing w:before="0" w:after="0"/>
              <w:jc w:val="left"/>
              <w:rPr>
                <w:rStyle w:val="InstructionsTabelleText"/>
                <w:rFonts w:ascii="Times New Roman" w:hAnsi="Times New Roman"/>
                <w:sz w:val="24"/>
              </w:rPr>
            </w:pPr>
            <w:r>
              <w:rPr>
                <w:rStyle w:val="InstructionsTabelleText"/>
                <w:rFonts w:ascii="Times New Roman" w:hAnsi="Times New Roman"/>
                <w:sz w:val="24"/>
              </w:rPr>
              <w:t>N - Non-CTP</w:t>
            </w:r>
          </w:p>
          <w:p w:rsidR="00612780" w:rsidRPr="00392FFD" w:rsidRDefault="00612780" w:rsidP="00612780">
            <w:pPr>
              <w:spacing w:before="0" w:after="0"/>
              <w:jc w:val="left"/>
              <w:rPr>
                <w:rFonts w:ascii="Times New Roman" w:hAnsi="Times New Roman"/>
                <w:b/>
                <w:sz w:val="24"/>
                <w:u w:val="single"/>
              </w:rPr>
            </w:pPr>
          </w:p>
        </w:tc>
      </w:tr>
      <w:tr w:rsidR="00612780" w:rsidRPr="00392FFD" w:rsidTr="00612780">
        <w:tc>
          <w:tcPr>
            <w:tcW w:w="1101" w:type="dxa"/>
            <w:tcBorders>
              <w:top w:val="single" w:sz="4" w:space="0" w:color="auto"/>
              <w:left w:val="single" w:sz="4" w:space="0" w:color="auto"/>
              <w:bottom w:val="single" w:sz="4" w:space="0" w:color="auto"/>
              <w:right w:val="single" w:sz="4" w:space="0" w:color="auto"/>
            </w:tcBorders>
            <w:shd w:val="clear" w:color="auto" w:fill="auto"/>
          </w:tcPr>
          <w:p w:rsidR="00612780" w:rsidRPr="00392FFD" w:rsidDel="00304CB1"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460-470</w:t>
            </w:r>
          </w:p>
        </w:tc>
        <w:tc>
          <w:tcPr>
            <w:tcW w:w="7903" w:type="dxa"/>
            <w:tcBorders>
              <w:top w:val="single" w:sz="4" w:space="0" w:color="auto"/>
              <w:left w:val="single" w:sz="4" w:space="0" w:color="auto"/>
              <w:bottom w:val="single" w:sz="4" w:space="0" w:color="auto"/>
              <w:right w:val="single" w:sz="4" w:space="0" w:color="auto"/>
            </w:tcBorders>
            <w:shd w:val="clear" w:color="auto" w:fill="auto"/>
          </w:tcPr>
          <w:p w:rsidR="00612780" w:rsidRPr="00392FFD" w:rsidRDefault="00612780" w:rsidP="00612780">
            <w:pPr>
              <w:spacing w:before="0" w:after="0"/>
              <w:jc w:val="left"/>
              <w:rPr>
                <w:rStyle w:val="InstructionsTabelleberschrift"/>
                <w:rFonts w:ascii="Times New Roman" w:hAnsi="Times New Roman"/>
                <w:sz w:val="24"/>
              </w:rPr>
            </w:pPr>
            <w:r>
              <w:rPr>
                <w:rStyle w:val="InstructionsTabelleberschrift"/>
                <w:rFonts w:ascii="Times New Roman" w:hAnsi="Times New Roman"/>
                <w:sz w:val="24"/>
              </w:rPr>
              <w:t>POSITIONS NETTES - LONGUES/COURTES</w:t>
            </w:r>
          </w:p>
          <w:p w:rsidR="00612780" w:rsidRPr="00392FFD" w:rsidRDefault="00612780" w:rsidP="00612780">
            <w:pPr>
              <w:spacing w:before="0" w:after="0"/>
              <w:jc w:val="left"/>
              <w:rPr>
                <w:rFonts w:ascii="Times New Roman" w:hAnsi="Times New Roman"/>
                <w:b/>
                <w:sz w:val="24"/>
                <w:u w:val="single"/>
              </w:rPr>
            </w:pPr>
          </w:p>
          <w:p w:rsidR="00612780" w:rsidRPr="00392FFD" w:rsidRDefault="00612780" w:rsidP="00612780">
            <w:pPr>
              <w:spacing w:before="0" w:after="0"/>
              <w:jc w:val="left"/>
              <w:rPr>
                <w:rFonts w:ascii="Times New Roman" w:hAnsi="Times New Roman"/>
                <w:b/>
                <w:sz w:val="24"/>
                <w:u w:val="single"/>
              </w:rPr>
            </w:pPr>
            <w:r>
              <w:rPr>
                <w:rStyle w:val="InstructionsTabelleText"/>
                <w:rFonts w:ascii="Times New Roman" w:hAnsi="Times New Roman"/>
                <w:sz w:val="24"/>
              </w:rPr>
              <w:t>Voir les colonnes 050 / 060 des modèles MKR SA SEC ou MKR SA CTP, re</w:t>
            </w:r>
            <w:r>
              <w:rPr>
                <w:rStyle w:val="InstructionsTabelleText"/>
                <w:rFonts w:ascii="Times New Roman" w:hAnsi="Times New Roman"/>
                <w:sz w:val="24"/>
              </w:rPr>
              <w:t>s</w:t>
            </w:r>
            <w:r>
              <w:rPr>
                <w:rStyle w:val="InstructionsTabelleText"/>
                <w:rFonts w:ascii="Times New Roman" w:hAnsi="Times New Roman"/>
                <w:sz w:val="24"/>
              </w:rPr>
              <w:t xml:space="preserve">pectivement. </w:t>
            </w:r>
          </w:p>
        </w:tc>
      </w:tr>
      <w:tr w:rsidR="00612780" w:rsidRPr="00392FFD" w:rsidTr="00612780">
        <w:tc>
          <w:tcPr>
            <w:tcW w:w="1101" w:type="dxa"/>
            <w:tcBorders>
              <w:top w:val="single" w:sz="4" w:space="0" w:color="auto"/>
              <w:left w:val="single" w:sz="4" w:space="0" w:color="auto"/>
              <w:bottom w:val="single" w:sz="4" w:space="0" w:color="auto"/>
              <w:right w:val="single" w:sz="4" w:space="0" w:color="auto"/>
            </w:tcBorders>
            <w:shd w:val="clear" w:color="auto" w:fill="auto"/>
          </w:tcPr>
          <w:p w:rsidR="00612780" w:rsidRPr="00392FFD" w:rsidDel="00304CB1" w:rsidRDefault="00612780" w:rsidP="00612780">
            <w:pPr>
              <w:autoSpaceDE w:val="0"/>
              <w:autoSpaceDN w:val="0"/>
              <w:adjustRightInd w:val="0"/>
              <w:spacing w:before="0" w:after="0"/>
              <w:rPr>
                <w:rFonts w:ascii="Times New Roman" w:hAnsi="Times New Roman"/>
                <w:sz w:val="24"/>
              </w:rPr>
            </w:pPr>
            <w:r>
              <w:rPr>
                <w:rFonts w:ascii="Times New Roman" w:hAnsi="Times New Roman"/>
                <w:sz w:val="24"/>
              </w:rPr>
              <w:t>480</w:t>
            </w:r>
          </w:p>
        </w:tc>
        <w:tc>
          <w:tcPr>
            <w:tcW w:w="7903" w:type="dxa"/>
            <w:tcBorders>
              <w:top w:val="single" w:sz="4" w:space="0" w:color="auto"/>
              <w:left w:val="single" w:sz="4" w:space="0" w:color="auto"/>
              <w:bottom w:val="single" w:sz="4" w:space="0" w:color="auto"/>
              <w:right w:val="single" w:sz="4" w:space="0" w:color="auto"/>
            </w:tcBorders>
            <w:shd w:val="clear" w:color="auto" w:fill="auto"/>
          </w:tcPr>
          <w:p w:rsidR="00612780" w:rsidRPr="00392FFD" w:rsidRDefault="00612780" w:rsidP="00612780">
            <w:pPr>
              <w:spacing w:before="0" w:after="0"/>
              <w:jc w:val="left"/>
              <w:rPr>
                <w:rStyle w:val="InstructionsTabelleberschrift"/>
                <w:rFonts w:ascii="Times New Roman" w:hAnsi="Times New Roman"/>
                <w:sz w:val="24"/>
              </w:rPr>
            </w:pPr>
            <w:r>
              <w:rPr>
                <w:rStyle w:val="InstructionsTabelleberschrift"/>
                <w:rFonts w:ascii="Times New Roman" w:hAnsi="Times New Roman"/>
                <w:sz w:val="24"/>
              </w:rPr>
              <w:t>TOTAL DES EXIGENCES DE FONDS PROPRES (SA) - RISQUE SP</w:t>
            </w:r>
            <w:r>
              <w:rPr>
                <w:rStyle w:val="InstructionsTabelleberschrift"/>
                <w:rFonts w:ascii="Times New Roman" w:hAnsi="Times New Roman"/>
                <w:sz w:val="24"/>
              </w:rPr>
              <w:t>É</w:t>
            </w:r>
            <w:r>
              <w:rPr>
                <w:rStyle w:val="InstructionsTabelleberschrift"/>
                <w:rFonts w:ascii="Times New Roman" w:hAnsi="Times New Roman"/>
                <w:sz w:val="24"/>
              </w:rPr>
              <w:t>CIFIQUE</w:t>
            </w:r>
          </w:p>
          <w:p w:rsidR="00612780" w:rsidRPr="00392FFD" w:rsidRDefault="00612780" w:rsidP="00612780">
            <w:pPr>
              <w:spacing w:before="0" w:after="0"/>
              <w:jc w:val="left"/>
              <w:rPr>
                <w:rFonts w:ascii="Times New Roman" w:hAnsi="Times New Roman"/>
                <w:b/>
                <w:sz w:val="24"/>
                <w:u w:val="single"/>
              </w:rPr>
            </w:pPr>
          </w:p>
          <w:p w:rsidR="00612780" w:rsidRPr="00392FFD" w:rsidRDefault="00612780" w:rsidP="00612780">
            <w:pPr>
              <w:spacing w:before="0" w:after="0"/>
              <w:jc w:val="left"/>
              <w:rPr>
                <w:rFonts w:ascii="Times New Roman" w:hAnsi="Times New Roman"/>
                <w:b/>
                <w:sz w:val="24"/>
                <w:u w:val="single"/>
              </w:rPr>
            </w:pPr>
            <w:r>
              <w:rPr>
                <w:rStyle w:val="InstructionsTabelleText"/>
                <w:rFonts w:ascii="Times New Roman" w:hAnsi="Times New Roman"/>
                <w:sz w:val="24"/>
              </w:rPr>
              <w:t xml:space="preserve">Voir respectivement la colonne 610 du modèle MKR SA SEC ou la colonne 450 du modèle MKR SA CTP. </w:t>
            </w:r>
          </w:p>
        </w:tc>
      </w:tr>
    </w:tbl>
    <w:p w:rsidR="00612780" w:rsidRPr="00392FFD" w:rsidRDefault="00612780">
      <w:pPr>
        <w:spacing w:before="0" w:after="0"/>
        <w:jc w:val="left"/>
        <w:rPr>
          <w:rStyle w:val="InstructionsTabelleText"/>
          <w:rFonts w:ascii="Times New Roman" w:hAnsi="Times New Roman"/>
          <w:sz w:val="24"/>
        </w:rPr>
      </w:pPr>
    </w:p>
    <w:p w:rsidR="00AC6255" w:rsidRPr="00321A3B" w:rsidRDefault="00AC6255" w:rsidP="0023700C">
      <w:pPr>
        <w:pStyle w:val="Instructionsberschrift2"/>
        <w:numPr>
          <w:ilvl w:val="0"/>
          <w:numId w:val="0"/>
        </w:numPr>
        <w:ind w:left="357" w:hanging="357"/>
        <w:rPr>
          <w:rFonts w:ascii="Times New Roman" w:hAnsi="Times New Roman" w:cs="Times New Roman"/>
          <w:sz w:val="24"/>
        </w:rPr>
      </w:pPr>
      <w:bookmarkStart w:id="421" w:name="_Toc260157222"/>
      <w:bookmarkStart w:id="422" w:name="_Toc262566416"/>
      <w:bookmarkStart w:id="423" w:name="_Toc295829987"/>
      <w:bookmarkStart w:id="424" w:name="_Toc310415049"/>
      <w:bookmarkStart w:id="425" w:name="_Toc360188384"/>
      <w:bookmarkStart w:id="426" w:name="_Toc473560935"/>
      <w:bookmarkStart w:id="427" w:name="_Toc260157223"/>
      <w:bookmarkStart w:id="428" w:name="_Toc262566417"/>
      <w:bookmarkStart w:id="429" w:name="_Toc264038462"/>
      <w:bookmarkStart w:id="430" w:name="_Toc295829988"/>
      <w:bookmarkStart w:id="431" w:name="_Toc310415050"/>
      <w:bookmarkStart w:id="432" w:name="_Toc496022330"/>
      <w:r>
        <w:rPr>
          <w:rFonts w:ascii="Times New Roman" w:hAnsi="Times New Roman"/>
          <w:sz w:val="24"/>
        </w:rPr>
        <w:t>Modèles consacrés au risque opérationnel</w:t>
      </w:r>
      <w:bookmarkEnd w:id="421"/>
      <w:bookmarkEnd w:id="422"/>
      <w:bookmarkEnd w:id="423"/>
      <w:bookmarkEnd w:id="424"/>
      <w:bookmarkEnd w:id="425"/>
      <w:bookmarkEnd w:id="426"/>
      <w:bookmarkEnd w:id="432"/>
    </w:p>
    <w:p w:rsidR="00AC6255" w:rsidRPr="00321A3B" w:rsidRDefault="008B73EE" w:rsidP="0023700C">
      <w:pPr>
        <w:pStyle w:val="Instructionsberschrift2"/>
        <w:numPr>
          <w:ilvl w:val="0"/>
          <w:numId w:val="0"/>
        </w:numPr>
        <w:ind w:left="357" w:hanging="357"/>
        <w:rPr>
          <w:rFonts w:ascii="Times New Roman" w:hAnsi="Times New Roman" w:cs="Times New Roman"/>
          <w:sz w:val="24"/>
        </w:rPr>
      </w:pPr>
      <w:bookmarkStart w:id="433" w:name="_Toc360188385"/>
      <w:bookmarkStart w:id="434" w:name="_Toc473560936"/>
      <w:bookmarkStart w:id="435" w:name="_Toc496022331"/>
      <w:r>
        <w:rPr>
          <w:rFonts w:ascii="Times New Roman" w:hAnsi="Times New Roman"/>
          <w:sz w:val="24"/>
        </w:rPr>
        <w:t>C 16.00 – Risque opérationnel</w:t>
      </w:r>
      <w:bookmarkEnd w:id="427"/>
      <w:bookmarkEnd w:id="428"/>
      <w:bookmarkEnd w:id="429"/>
      <w:bookmarkEnd w:id="430"/>
      <w:bookmarkEnd w:id="431"/>
      <w:bookmarkEnd w:id="433"/>
      <w:r>
        <w:rPr>
          <w:rFonts w:ascii="Times New Roman" w:hAnsi="Times New Roman"/>
          <w:sz w:val="24"/>
        </w:rPr>
        <w:t xml:space="preserve"> (OPR)</w:t>
      </w:r>
      <w:bookmarkEnd w:id="434"/>
      <w:bookmarkEnd w:id="435"/>
    </w:p>
    <w:p w:rsidR="00AC6255" w:rsidRPr="00321A3B" w:rsidRDefault="00AC6255" w:rsidP="0023700C">
      <w:pPr>
        <w:pStyle w:val="Instructionsberschrift2"/>
        <w:numPr>
          <w:ilvl w:val="0"/>
          <w:numId w:val="0"/>
        </w:numPr>
        <w:ind w:left="357" w:hanging="357"/>
        <w:rPr>
          <w:rFonts w:ascii="Times New Roman" w:hAnsi="Times New Roman" w:cs="Times New Roman"/>
          <w:sz w:val="24"/>
        </w:rPr>
      </w:pPr>
      <w:bookmarkStart w:id="436" w:name="_Toc260157224"/>
      <w:bookmarkStart w:id="437" w:name="_Toc262566418"/>
      <w:bookmarkStart w:id="438" w:name="_Toc264038463"/>
      <w:bookmarkStart w:id="439" w:name="_Toc295829989"/>
      <w:bookmarkStart w:id="440" w:name="_Toc310415051"/>
      <w:bookmarkStart w:id="441" w:name="_Toc360188386"/>
      <w:bookmarkStart w:id="442" w:name="_Toc473560937"/>
      <w:bookmarkStart w:id="443" w:name="_Toc496022332"/>
      <w:r>
        <w:rPr>
          <w:rFonts w:ascii="Times New Roman" w:hAnsi="Times New Roman"/>
          <w:sz w:val="24"/>
        </w:rPr>
        <w:t>Remarques</w:t>
      </w:r>
      <w:bookmarkEnd w:id="436"/>
      <w:r>
        <w:rPr>
          <w:rFonts w:ascii="Times New Roman" w:hAnsi="Times New Roman"/>
          <w:sz w:val="24"/>
        </w:rPr>
        <w:t xml:space="preserve"> générales</w:t>
      </w:r>
      <w:bookmarkEnd w:id="437"/>
      <w:bookmarkEnd w:id="438"/>
      <w:bookmarkEnd w:id="439"/>
      <w:bookmarkEnd w:id="440"/>
      <w:bookmarkEnd w:id="441"/>
      <w:bookmarkEnd w:id="442"/>
      <w:bookmarkEnd w:id="443"/>
      <w:r>
        <w:rPr>
          <w:rFonts w:ascii="Times New Roman" w:hAnsi="Times New Roman"/>
          <w:sz w:val="24"/>
        </w:rPr>
        <w:t xml:space="preserve"> </w:t>
      </w:r>
    </w:p>
    <w:p w:rsidR="00AC6255" w:rsidRPr="00392FFD" w:rsidRDefault="006660B9" w:rsidP="0023700C">
      <w:pPr>
        <w:pStyle w:val="InstructionsText2"/>
        <w:numPr>
          <w:ilvl w:val="0"/>
          <w:numId w:val="0"/>
        </w:numPr>
        <w:ind w:left="1353" w:hanging="360"/>
      </w:pPr>
      <w:r>
        <w:t>114.</w:t>
      </w:r>
      <w:r>
        <w:tab/>
        <w:t>Ce modèle fournit des informations sur le calcul des exigences de fonds propres conformément aux articles 312 à 324 du CRR pour le risque opératio</w:t>
      </w:r>
      <w:r>
        <w:t>n</w:t>
      </w:r>
      <w:r>
        <w:t>nel selon l’approche élémentaire (BIA), l’approche standard (TSA), l’approche standard de remplacement (ASA) et les approches par mesure avancée (AMA). Un établissement ne peut appliquer simultanément l’approche TSA et l’approche ASA pour les activités de banque de détail et de banque comme</w:t>
      </w:r>
      <w:r>
        <w:t>r</w:t>
      </w:r>
      <w:r>
        <w:t>ciale sur une base individuelle.</w:t>
      </w:r>
    </w:p>
    <w:p w:rsidR="00AC6255" w:rsidRPr="00392FFD" w:rsidRDefault="00125707" w:rsidP="0023700C">
      <w:pPr>
        <w:pStyle w:val="InstructionsText2"/>
        <w:numPr>
          <w:ilvl w:val="0"/>
          <w:numId w:val="0"/>
        </w:numPr>
        <w:ind w:left="1353" w:hanging="360"/>
      </w:pPr>
      <w:r>
        <w:t>115.</w:t>
      </w:r>
      <w:r>
        <w:tab/>
        <w:t xml:space="preserve">Les établissements qui recourent à l'approche BIA, TSA et/ou ASA calculent leurs exigences de fonds propres à partir des données de fin d'exercice. Lorsque les chiffres audités ne sont pas disponibles, les établissements peuvent utiliser des estimations. Les établissements déclarent les chiffres audités lorsque ceux-ci sont disponibles, sans les modifier. Il est possible de déroger à ce principe d'absence de modification, par exemple lorsqu'un cas exceptionnel, tel qu'une acquisition ou cession récente d'entités ou d'activités, se présente durant cette période. </w:t>
      </w:r>
    </w:p>
    <w:p w:rsidR="00AC6255" w:rsidRPr="00392FFD" w:rsidRDefault="00125707" w:rsidP="0023700C">
      <w:pPr>
        <w:pStyle w:val="InstructionsText2"/>
        <w:numPr>
          <w:ilvl w:val="0"/>
          <w:numId w:val="0"/>
        </w:numPr>
        <w:ind w:left="1353" w:hanging="360"/>
      </w:pPr>
      <w:r>
        <w:t>116.</w:t>
      </w:r>
      <w:r>
        <w:tab/>
        <w:t>Lorsqu'un établissement peut démontrer à son autorité compétente qu'en raison de circonstances exceptionnelles (fusion ou cession d'entités ou d'activités), r</w:t>
      </w:r>
      <w:r>
        <w:t>e</w:t>
      </w:r>
      <w:r>
        <w:t>courir à une moyenne sur trois ans pour le calcul de l'indicateur pertinent co</w:t>
      </w:r>
      <w:r>
        <w:t>n</w:t>
      </w:r>
      <w:r>
        <w:t>duirait à une estimation peu objective de l'exigence de fonds propres pour risque opérationnel, l'autorité compétente peut autoriser l'établissement à mod</w:t>
      </w:r>
      <w:r>
        <w:t>i</w:t>
      </w:r>
      <w:r>
        <w:t>fier le calcul de manière à tenir compte de ces événements. L’autorité comp</w:t>
      </w:r>
      <w:r>
        <w:t>é</w:t>
      </w:r>
      <w:r>
        <w:t>tente peut également, de sa propre initiative, imposer à un établissement de m</w:t>
      </w:r>
      <w:r>
        <w:t>o</w:t>
      </w:r>
      <w:r>
        <w:t>difier le calcul. Lorsqu’un établissement exerce ses activités depuis moins de trois ans, il peut utiliser des estimations prospectives pour calculer l’indicateur pertinent, pour autant qu’il commence à utiliser des données historiques dès que celles-ci sont disponibles.</w:t>
      </w:r>
    </w:p>
    <w:p w:rsidR="00AC6255" w:rsidRPr="00392FFD" w:rsidRDefault="00125707" w:rsidP="0023700C">
      <w:pPr>
        <w:pStyle w:val="InstructionsText2"/>
        <w:numPr>
          <w:ilvl w:val="0"/>
          <w:numId w:val="0"/>
        </w:numPr>
        <w:ind w:left="1353" w:hanging="360"/>
      </w:pPr>
      <w:r>
        <w:t>117.</w:t>
      </w:r>
      <w:r>
        <w:tab/>
        <w:t>Par colonne, ce modèle présente des informations, pour les trois derniers exe</w:t>
      </w:r>
      <w:r>
        <w:t>r</w:t>
      </w:r>
      <w:r>
        <w:t>cices, sur le montant de l’indicateur pertinent des activités bancaires soumises au risque opérationnel et sur le montant des prêts et des avances (ce dernier montant ne concernant que l’approche ASA). Ensuite, des informations sur le montant des exigences de fonds propres pour risque opérationnel y figurent. Le cas échéant, la part de ce montant qui est due à un mécanisme d’allocation doit être précisée. En ce qui concerne l’approche AMA, des postes pour mémoire ont été ajoutés afin de détailler l’effet de la perte anticipée, de la diversification et des techniques d’atténuation sur les exigences de fonds propres pour risque opérationnel.</w:t>
      </w:r>
    </w:p>
    <w:p w:rsidR="00AC6255" w:rsidRPr="00392FFD" w:rsidRDefault="00125707" w:rsidP="0023700C">
      <w:pPr>
        <w:pStyle w:val="InstructionsText2"/>
        <w:numPr>
          <w:ilvl w:val="0"/>
          <w:numId w:val="0"/>
        </w:numPr>
        <w:ind w:left="1353" w:hanging="360"/>
      </w:pPr>
      <w:r>
        <w:t>118.</w:t>
      </w:r>
      <w:r>
        <w:tab/>
        <w:t>Par ligne, les informations sont structurées par mode de calcul des exigences de fonds propres pour risque opérationnel, avec un détail des activités pour l’approche TSA et l’approche ASA.</w:t>
      </w:r>
    </w:p>
    <w:p w:rsidR="00AC6255" w:rsidRPr="00392FFD" w:rsidRDefault="00125707" w:rsidP="0023700C">
      <w:pPr>
        <w:pStyle w:val="InstructionsText2"/>
        <w:numPr>
          <w:ilvl w:val="0"/>
          <w:numId w:val="0"/>
        </w:numPr>
        <w:ind w:left="1353" w:hanging="360"/>
      </w:pPr>
      <w:r>
        <w:lastRenderedPageBreak/>
        <w:t>119.</w:t>
      </w:r>
      <w:r>
        <w:tab/>
        <w:t>Ce modèle devra être rempli par tous les établissements soumis aux exigences de fonds propres pour risque opérationnel.</w:t>
      </w:r>
    </w:p>
    <w:p w:rsidR="00AC6255" w:rsidRPr="00321A3B" w:rsidRDefault="00125707" w:rsidP="0023700C">
      <w:pPr>
        <w:pStyle w:val="Instructionsberschrift2"/>
        <w:numPr>
          <w:ilvl w:val="0"/>
          <w:numId w:val="0"/>
        </w:numPr>
        <w:ind w:left="357" w:hanging="357"/>
        <w:rPr>
          <w:rFonts w:ascii="Times New Roman" w:hAnsi="Times New Roman" w:cs="Times New Roman"/>
          <w:sz w:val="24"/>
        </w:rPr>
      </w:pPr>
      <w:bookmarkStart w:id="444" w:name="_Toc260157225"/>
      <w:bookmarkStart w:id="445" w:name="_Toc262566419"/>
      <w:bookmarkStart w:id="446" w:name="_Toc264038464"/>
      <w:bookmarkStart w:id="447" w:name="_Toc295829990"/>
      <w:bookmarkStart w:id="448" w:name="_Toc310415052"/>
      <w:bookmarkStart w:id="449" w:name="_Toc360188387"/>
      <w:bookmarkStart w:id="450" w:name="_Toc473560938"/>
      <w:bookmarkStart w:id="451" w:name="_Toc496022333"/>
      <w:r>
        <w:rPr>
          <w:rFonts w:ascii="Times New Roman" w:hAnsi="Times New Roman"/>
          <w:sz w:val="24"/>
          <w:u w:val="none"/>
        </w:rPr>
        <w:t>4.1.2.</w:t>
      </w:r>
      <w:r>
        <w:tab/>
      </w:r>
      <w:r>
        <w:rPr>
          <w:rFonts w:ascii="Times New Roman" w:hAnsi="Times New Roman"/>
          <w:sz w:val="24"/>
        </w:rPr>
        <w:t>Instructions concernant certaines positions</w:t>
      </w:r>
      <w:bookmarkEnd w:id="444"/>
      <w:bookmarkEnd w:id="445"/>
      <w:bookmarkEnd w:id="446"/>
      <w:bookmarkEnd w:id="447"/>
      <w:bookmarkEnd w:id="448"/>
      <w:bookmarkEnd w:id="449"/>
      <w:bookmarkEnd w:id="450"/>
      <w:bookmarkEnd w:id="451"/>
    </w:p>
    <w:p w:rsidR="00AC6255" w:rsidRPr="00392FFD" w:rsidRDefault="00AC6255" w:rsidP="00AC6255">
      <w:pPr>
        <w:autoSpaceDE w:val="0"/>
        <w:autoSpaceDN w:val="0"/>
        <w:adjustRightInd w:val="0"/>
        <w:spacing w:before="0" w:after="0"/>
        <w:rPr>
          <w:rFonts w:ascii="Times New Roman" w:hAnsi="Times New Roman"/>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7877"/>
      </w:tblGrid>
      <w:tr w:rsidR="00AC6255" w:rsidRPr="00392FFD" w:rsidTr="000B0B09">
        <w:trPr>
          <w:trHeight w:val="553"/>
        </w:trPr>
        <w:tc>
          <w:tcPr>
            <w:tcW w:w="8862" w:type="dxa"/>
            <w:gridSpan w:val="2"/>
            <w:shd w:val="clear" w:color="auto" w:fill="CCCCCC"/>
          </w:tcPr>
          <w:p w:rsidR="00AC6255" w:rsidRPr="00392FFD" w:rsidRDefault="00AC6255" w:rsidP="000B0B09">
            <w:pPr>
              <w:autoSpaceDE w:val="0"/>
              <w:autoSpaceDN w:val="0"/>
              <w:adjustRightInd w:val="0"/>
              <w:spacing w:after="0"/>
              <w:rPr>
                <w:rFonts w:ascii="Times New Roman" w:hAnsi="Times New Roman"/>
                <w:b/>
                <w:bCs/>
                <w:sz w:val="24"/>
              </w:rPr>
            </w:pPr>
            <w:r>
              <w:rPr>
                <w:rFonts w:ascii="Times New Roman" w:hAnsi="Times New Roman"/>
                <w:b/>
                <w:sz w:val="24"/>
              </w:rPr>
              <w:t>Colonnes</w:t>
            </w:r>
          </w:p>
        </w:tc>
      </w:tr>
      <w:tr w:rsidR="00AC6255" w:rsidRPr="00392FFD" w:rsidTr="000B0B09">
        <w:tc>
          <w:tcPr>
            <w:tcW w:w="985" w:type="dxa"/>
          </w:tcPr>
          <w:p w:rsidR="00AC6255" w:rsidRPr="00392FFD" w:rsidRDefault="00AC6255" w:rsidP="000F70EC">
            <w:pPr>
              <w:autoSpaceDE w:val="0"/>
              <w:autoSpaceDN w:val="0"/>
              <w:adjustRightInd w:val="0"/>
              <w:spacing w:before="0" w:after="0"/>
              <w:rPr>
                <w:rFonts w:ascii="Times New Roman" w:hAnsi="Times New Roman"/>
                <w:bCs/>
                <w:sz w:val="24"/>
              </w:rPr>
            </w:pPr>
            <w:r>
              <w:rPr>
                <w:rFonts w:ascii="Times New Roman" w:hAnsi="Times New Roman"/>
                <w:sz w:val="24"/>
              </w:rPr>
              <w:t>010-030</w:t>
            </w:r>
          </w:p>
        </w:tc>
        <w:tc>
          <w:tcPr>
            <w:tcW w:w="7877" w:type="dxa"/>
          </w:tcPr>
          <w:p w:rsidR="00AC6255" w:rsidRPr="00392FFD" w:rsidRDefault="00AC6255" w:rsidP="000B0B09">
            <w:pPr>
              <w:autoSpaceDE w:val="0"/>
              <w:autoSpaceDN w:val="0"/>
              <w:adjustRightInd w:val="0"/>
              <w:spacing w:before="0" w:after="0"/>
              <w:jc w:val="left"/>
              <w:rPr>
                <w:rStyle w:val="InstructionsTabelleberschrift"/>
                <w:rFonts w:ascii="Times New Roman" w:hAnsi="Times New Roman"/>
                <w:sz w:val="24"/>
              </w:rPr>
            </w:pPr>
            <w:r>
              <w:rPr>
                <w:rStyle w:val="InstructionsTabelleberschrift"/>
                <w:rFonts w:ascii="Times New Roman" w:hAnsi="Times New Roman"/>
                <w:sz w:val="24"/>
              </w:rPr>
              <w:t>INDICATEUR PERTINENT</w:t>
            </w:r>
          </w:p>
          <w:p w:rsidR="00AC6255" w:rsidRPr="00392FFD" w:rsidRDefault="00AC6255" w:rsidP="000B0B09">
            <w:pPr>
              <w:autoSpaceDE w:val="0"/>
              <w:autoSpaceDN w:val="0"/>
              <w:adjustRightInd w:val="0"/>
              <w:spacing w:before="0" w:after="0"/>
              <w:jc w:val="left"/>
              <w:rPr>
                <w:rFonts w:ascii="Times New Roman" w:hAnsi="Times New Roman"/>
                <w:bCs/>
                <w:sz w:val="24"/>
              </w:rPr>
            </w:pPr>
          </w:p>
          <w:p w:rsidR="00AC6255" w:rsidRPr="00392FFD" w:rsidRDefault="00AC6255" w:rsidP="000B0B09">
            <w:pPr>
              <w:autoSpaceDE w:val="0"/>
              <w:autoSpaceDN w:val="0"/>
              <w:adjustRightInd w:val="0"/>
              <w:spacing w:before="0" w:after="0"/>
              <w:rPr>
                <w:rFonts w:ascii="Times New Roman" w:hAnsi="Times New Roman"/>
                <w:sz w:val="24"/>
              </w:rPr>
            </w:pPr>
            <w:r>
              <w:rPr>
                <w:rFonts w:ascii="Times New Roman" w:hAnsi="Times New Roman"/>
                <w:sz w:val="24"/>
              </w:rPr>
              <w:t>Les établissements qui recourent à l’indicateur pertinent pour calculer les ex</w:t>
            </w:r>
            <w:r>
              <w:rPr>
                <w:rFonts w:ascii="Times New Roman" w:hAnsi="Times New Roman"/>
                <w:sz w:val="24"/>
              </w:rPr>
              <w:t>i</w:t>
            </w:r>
            <w:r>
              <w:rPr>
                <w:rFonts w:ascii="Times New Roman" w:hAnsi="Times New Roman"/>
                <w:sz w:val="24"/>
              </w:rPr>
              <w:t>gences de fonds propres pour risque opérationnel (BIA, TSA et ASA) d</w:t>
            </w:r>
            <w:r>
              <w:rPr>
                <w:rFonts w:ascii="Times New Roman" w:hAnsi="Times New Roman"/>
                <w:sz w:val="24"/>
              </w:rPr>
              <w:t>é</w:t>
            </w:r>
            <w:r>
              <w:rPr>
                <w:rFonts w:ascii="Times New Roman" w:hAnsi="Times New Roman"/>
                <w:sz w:val="24"/>
              </w:rPr>
              <w:t>clarent celui-ci dans les colonnes 010 à 030, pour les exercices respectifs. De plus, en cas d’application combinée de plusieurs approches, visée à l’article 314 du CRR, les établissements déclarent également, à des fins d’information, l’indicateur pertinent pour les activités soumises aux approches AMA. Il en va de même pour toutes les autres banques qui appliquent les approches AMA.</w:t>
            </w:r>
          </w:p>
          <w:p w:rsidR="00AC6255" w:rsidRPr="00392FFD" w:rsidRDefault="00AC6255" w:rsidP="000B0B09">
            <w:pPr>
              <w:autoSpaceDE w:val="0"/>
              <w:autoSpaceDN w:val="0"/>
              <w:adjustRightInd w:val="0"/>
              <w:spacing w:before="0" w:after="0"/>
              <w:rPr>
                <w:rFonts w:ascii="Times New Roman" w:hAnsi="Times New Roman"/>
                <w:bCs/>
                <w:strike/>
                <w:sz w:val="24"/>
              </w:rPr>
            </w:pPr>
          </w:p>
          <w:p w:rsidR="00AC6255" w:rsidRPr="00392FFD" w:rsidRDefault="00AC6255" w:rsidP="000B0B09">
            <w:pPr>
              <w:autoSpaceDE w:val="0"/>
              <w:autoSpaceDN w:val="0"/>
              <w:adjustRightInd w:val="0"/>
              <w:spacing w:before="0" w:after="0"/>
              <w:rPr>
                <w:rFonts w:ascii="Times New Roman" w:hAnsi="Times New Roman"/>
                <w:bCs/>
                <w:sz w:val="24"/>
              </w:rPr>
            </w:pPr>
            <w:r>
              <w:rPr>
                <w:rFonts w:ascii="Times New Roman" w:hAnsi="Times New Roman"/>
                <w:sz w:val="24"/>
              </w:rPr>
              <w:t xml:space="preserve">Ci-après, le terme «indicateur pertinent» désigne «la somme des éléments» à fin d'exercice visés au tableau 1 de l'article 316, paragraphe 1, du CRR. </w:t>
            </w:r>
          </w:p>
          <w:p w:rsidR="00AC6255" w:rsidRPr="00392FFD" w:rsidRDefault="00AC6255" w:rsidP="000B0B09">
            <w:pPr>
              <w:autoSpaceDE w:val="0"/>
              <w:autoSpaceDN w:val="0"/>
              <w:adjustRightInd w:val="0"/>
              <w:spacing w:before="0" w:after="0"/>
              <w:rPr>
                <w:rFonts w:ascii="Times New Roman" w:hAnsi="Times New Roman"/>
                <w:sz w:val="24"/>
              </w:rPr>
            </w:pPr>
          </w:p>
          <w:p w:rsidR="00AC6255" w:rsidRPr="00392FFD" w:rsidRDefault="00AC6255" w:rsidP="000B0B09">
            <w:pPr>
              <w:autoSpaceDE w:val="0"/>
              <w:autoSpaceDN w:val="0"/>
              <w:adjustRightInd w:val="0"/>
              <w:spacing w:before="0" w:after="0"/>
              <w:rPr>
                <w:rFonts w:ascii="Times New Roman" w:hAnsi="Times New Roman"/>
                <w:sz w:val="24"/>
              </w:rPr>
            </w:pPr>
            <w:r>
              <w:rPr>
                <w:rFonts w:ascii="Times New Roman" w:hAnsi="Times New Roman"/>
                <w:sz w:val="24"/>
              </w:rPr>
              <w:t>Lorsqu'un établissement ne possède pas de données relatives à «l'indicateur pertinent» pour couvrir trois exercices, les données historiques (auditées) di</w:t>
            </w:r>
            <w:r>
              <w:rPr>
                <w:rFonts w:ascii="Times New Roman" w:hAnsi="Times New Roman"/>
                <w:sz w:val="24"/>
              </w:rPr>
              <w:t>s</w:t>
            </w:r>
            <w:r>
              <w:rPr>
                <w:rFonts w:ascii="Times New Roman" w:hAnsi="Times New Roman"/>
                <w:sz w:val="24"/>
              </w:rPr>
              <w:t>ponibles seront affectées par priorité aux colonnes correspondantes du t</w:t>
            </w:r>
            <w:r>
              <w:rPr>
                <w:rFonts w:ascii="Times New Roman" w:hAnsi="Times New Roman"/>
                <w:sz w:val="24"/>
              </w:rPr>
              <w:t>a</w:t>
            </w:r>
            <w:r>
              <w:rPr>
                <w:rFonts w:ascii="Times New Roman" w:hAnsi="Times New Roman"/>
                <w:sz w:val="24"/>
              </w:rPr>
              <w:t>bleau. Par exemple, si l’établissement ne possède des données historiques que pour un seul exercice, celles-ci figureront dans la colonne 030. Si cela semble raiso</w:t>
            </w:r>
            <w:r>
              <w:rPr>
                <w:rFonts w:ascii="Times New Roman" w:hAnsi="Times New Roman"/>
                <w:sz w:val="24"/>
              </w:rPr>
              <w:t>n</w:t>
            </w:r>
            <w:r>
              <w:rPr>
                <w:rFonts w:ascii="Times New Roman" w:hAnsi="Times New Roman"/>
                <w:sz w:val="24"/>
              </w:rPr>
              <w:t>nable, les estimations prospectives seront alors intégrées à la colonne 020 (e</w:t>
            </w:r>
            <w:r>
              <w:rPr>
                <w:rFonts w:ascii="Times New Roman" w:hAnsi="Times New Roman"/>
                <w:sz w:val="24"/>
              </w:rPr>
              <w:t>s</w:t>
            </w:r>
            <w:r>
              <w:rPr>
                <w:rFonts w:ascii="Times New Roman" w:hAnsi="Times New Roman"/>
                <w:sz w:val="24"/>
              </w:rPr>
              <w:t>timations pour le prochain exercice) et à la colonne 010 (estimations pour l’exercice n+2).</w:t>
            </w:r>
          </w:p>
          <w:p w:rsidR="00AC6255" w:rsidRPr="00392FFD" w:rsidRDefault="00AC6255" w:rsidP="000B0B09">
            <w:pPr>
              <w:autoSpaceDE w:val="0"/>
              <w:autoSpaceDN w:val="0"/>
              <w:adjustRightInd w:val="0"/>
              <w:spacing w:before="0" w:after="0"/>
              <w:rPr>
                <w:rFonts w:ascii="Times New Roman" w:hAnsi="Times New Roman"/>
                <w:i/>
                <w:sz w:val="24"/>
              </w:rPr>
            </w:pPr>
          </w:p>
          <w:p w:rsidR="00AC6255" w:rsidRPr="00392FFD" w:rsidRDefault="00AC6255" w:rsidP="000B0B09">
            <w:pPr>
              <w:autoSpaceDE w:val="0"/>
              <w:autoSpaceDN w:val="0"/>
              <w:adjustRightInd w:val="0"/>
              <w:spacing w:before="0" w:after="0"/>
              <w:rPr>
                <w:rFonts w:ascii="Times New Roman" w:hAnsi="Times New Roman"/>
                <w:sz w:val="24"/>
              </w:rPr>
            </w:pPr>
            <w:r>
              <w:rPr>
                <w:rFonts w:ascii="Times New Roman" w:hAnsi="Times New Roman"/>
                <w:sz w:val="24"/>
              </w:rPr>
              <w:t>En outre, s'il n'existe aucune donnée historique disponible sur «l'indicateur pe</w:t>
            </w:r>
            <w:r>
              <w:rPr>
                <w:rFonts w:ascii="Times New Roman" w:hAnsi="Times New Roman"/>
                <w:sz w:val="24"/>
              </w:rPr>
              <w:t>r</w:t>
            </w:r>
            <w:r>
              <w:rPr>
                <w:rFonts w:ascii="Times New Roman" w:hAnsi="Times New Roman"/>
                <w:sz w:val="24"/>
              </w:rPr>
              <w:t>tinent», l'établissement peut utiliser des estimations prospectives.</w:t>
            </w:r>
          </w:p>
          <w:p w:rsidR="00AC6255" w:rsidRPr="00392FFD" w:rsidRDefault="00AC6255" w:rsidP="000B0B09">
            <w:pPr>
              <w:autoSpaceDE w:val="0"/>
              <w:autoSpaceDN w:val="0"/>
              <w:adjustRightInd w:val="0"/>
              <w:spacing w:before="0" w:after="0"/>
              <w:jc w:val="left"/>
              <w:rPr>
                <w:rFonts w:ascii="Times New Roman" w:hAnsi="Times New Roman"/>
                <w:bCs/>
                <w:sz w:val="24"/>
              </w:rPr>
            </w:pPr>
          </w:p>
        </w:tc>
      </w:tr>
      <w:tr w:rsidR="00AC6255" w:rsidRPr="00392FFD" w:rsidTr="000B0B09">
        <w:tc>
          <w:tcPr>
            <w:tcW w:w="985" w:type="dxa"/>
          </w:tcPr>
          <w:p w:rsidR="00AC6255" w:rsidRPr="00392FFD" w:rsidRDefault="00AC6255" w:rsidP="000F70EC">
            <w:pPr>
              <w:autoSpaceDE w:val="0"/>
              <w:autoSpaceDN w:val="0"/>
              <w:adjustRightInd w:val="0"/>
              <w:spacing w:before="0" w:after="0"/>
              <w:rPr>
                <w:rFonts w:ascii="Times New Roman" w:hAnsi="Times New Roman"/>
                <w:bCs/>
                <w:sz w:val="24"/>
              </w:rPr>
            </w:pPr>
            <w:r>
              <w:rPr>
                <w:rFonts w:ascii="Times New Roman" w:hAnsi="Times New Roman"/>
                <w:sz w:val="24"/>
              </w:rPr>
              <w:t>040-060</w:t>
            </w:r>
          </w:p>
        </w:tc>
        <w:tc>
          <w:tcPr>
            <w:tcW w:w="7877" w:type="dxa"/>
          </w:tcPr>
          <w:p w:rsidR="00AC6255" w:rsidRPr="00392FFD" w:rsidRDefault="00AC6255" w:rsidP="000B0B09">
            <w:pPr>
              <w:autoSpaceDE w:val="0"/>
              <w:autoSpaceDN w:val="0"/>
              <w:adjustRightInd w:val="0"/>
              <w:spacing w:before="0" w:after="0"/>
              <w:jc w:val="left"/>
              <w:rPr>
                <w:rStyle w:val="InstructionsTabelleberschrift"/>
                <w:rFonts w:ascii="Times New Roman" w:hAnsi="Times New Roman"/>
                <w:sz w:val="24"/>
              </w:rPr>
            </w:pPr>
            <w:r>
              <w:rPr>
                <w:rStyle w:val="InstructionsTabelleberschrift"/>
                <w:rFonts w:ascii="Times New Roman" w:hAnsi="Times New Roman"/>
                <w:sz w:val="24"/>
              </w:rPr>
              <w:t>PRÊTS ET AVANCES (EN CAS D’APPLICATION DE L’APPROCHE ASA)</w:t>
            </w:r>
          </w:p>
          <w:p w:rsidR="00AC6255" w:rsidRPr="00392FFD" w:rsidRDefault="00AC6255" w:rsidP="000B0B09">
            <w:pPr>
              <w:autoSpaceDE w:val="0"/>
              <w:autoSpaceDN w:val="0"/>
              <w:adjustRightInd w:val="0"/>
              <w:spacing w:before="0" w:after="0"/>
              <w:jc w:val="left"/>
              <w:rPr>
                <w:rFonts w:ascii="Times New Roman" w:hAnsi="Times New Roman"/>
                <w:bCs/>
                <w:sz w:val="24"/>
              </w:rPr>
            </w:pPr>
          </w:p>
          <w:p w:rsidR="00AC6255" w:rsidRPr="00392FFD" w:rsidRDefault="00AC6255" w:rsidP="000B0B09">
            <w:pPr>
              <w:autoSpaceDE w:val="0"/>
              <w:autoSpaceDN w:val="0"/>
              <w:adjustRightInd w:val="0"/>
              <w:spacing w:before="0" w:after="0"/>
              <w:rPr>
                <w:rFonts w:ascii="Times New Roman" w:hAnsi="Times New Roman"/>
                <w:sz w:val="24"/>
              </w:rPr>
            </w:pPr>
            <w:r>
              <w:rPr>
                <w:rFonts w:ascii="Times New Roman" w:hAnsi="Times New Roman"/>
                <w:sz w:val="24"/>
              </w:rPr>
              <w:t>Ces colonnes seront utilisées pour déclarer les montants des prêts et des avances des lignes d'activité «banque commerciale» et «banque de détail», v</w:t>
            </w:r>
            <w:r>
              <w:rPr>
                <w:rFonts w:ascii="Times New Roman" w:hAnsi="Times New Roman"/>
                <w:sz w:val="24"/>
              </w:rPr>
              <w:t>i</w:t>
            </w:r>
            <w:r>
              <w:rPr>
                <w:rFonts w:ascii="Times New Roman" w:hAnsi="Times New Roman"/>
                <w:sz w:val="24"/>
              </w:rPr>
              <w:t xml:space="preserve">sés à l'article 319, paragraphe 1, point b), du CRR. Ces montants serviront à calculer l’indicateur pertinent de remplacement qui permet de déterminer les exigences de fonds propres correspondant aux activités soumises à l’approche ASA (article 319, paragraphe 1, point a), du CRR). </w:t>
            </w:r>
          </w:p>
          <w:p w:rsidR="00AC6255" w:rsidRPr="00392FFD" w:rsidRDefault="00AC6255" w:rsidP="000B0B09">
            <w:pPr>
              <w:autoSpaceDE w:val="0"/>
              <w:autoSpaceDN w:val="0"/>
              <w:adjustRightInd w:val="0"/>
              <w:spacing w:before="0" w:after="0"/>
              <w:rPr>
                <w:rFonts w:ascii="Times New Roman" w:hAnsi="Times New Roman"/>
                <w:sz w:val="24"/>
              </w:rPr>
            </w:pPr>
          </w:p>
          <w:p w:rsidR="00AC6255" w:rsidRPr="00392FFD" w:rsidRDefault="00AC6255" w:rsidP="000B0B09">
            <w:pPr>
              <w:autoSpaceDE w:val="0"/>
              <w:autoSpaceDN w:val="0"/>
              <w:adjustRightInd w:val="0"/>
              <w:spacing w:before="0" w:after="0"/>
              <w:rPr>
                <w:rFonts w:ascii="Times New Roman" w:hAnsi="Times New Roman"/>
                <w:bCs/>
                <w:sz w:val="24"/>
              </w:rPr>
            </w:pPr>
            <w:r>
              <w:rPr>
                <w:rFonts w:ascii="Times New Roman" w:hAnsi="Times New Roman"/>
                <w:sz w:val="24"/>
              </w:rPr>
              <w:t>Pour la ligne d'activité «banque commerciale», les titres détenus dans le port</w:t>
            </w:r>
            <w:r>
              <w:rPr>
                <w:rFonts w:ascii="Times New Roman" w:hAnsi="Times New Roman"/>
                <w:sz w:val="24"/>
              </w:rPr>
              <w:t>e</w:t>
            </w:r>
            <w:r>
              <w:rPr>
                <w:rFonts w:ascii="Times New Roman" w:hAnsi="Times New Roman"/>
                <w:sz w:val="24"/>
              </w:rPr>
              <w:t>feuille hors négociation seront également inclus.</w:t>
            </w:r>
          </w:p>
        </w:tc>
      </w:tr>
      <w:tr w:rsidR="00AC6255" w:rsidRPr="00392FFD" w:rsidTr="000B0B09">
        <w:tc>
          <w:tcPr>
            <w:tcW w:w="985" w:type="dxa"/>
          </w:tcPr>
          <w:p w:rsidR="00AC6255" w:rsidRPr="00392FFD" w:rsidRDefault="00AC6255" w:rsidP="000B0B09">
            <w:pPr>
              <w:autoSpaceDE w:val="0"/>
              <w:autoSpaceDN w:val="0"/>
              <w:adjustRightInd w:val="0"/>
              <w:spacing w:before="0" w:after="0"/>
              <w:rPr>
                <w:rFonts w:ascii="Times New Roman" w:hAnsi="Times New Roman"/>
                <w:bCs/>
                <w:sz w:val="24"/>
              </w:rPr>
            </w:pPr>
            <w:r>
              <w:rPr>
                <w:rFonts w:ascii="Times New Roman" w:hAnsi="Times New Roman"/>
                <w:sz w:val="24"/>
              </w:rPr>
              <w:t>070</w:t>
            </w:r>
          </w:p>
        </w:tc>
        <w:tc>
          <w:tcPr>
            <w:tcW w:w="7877" w:type="dxa"/>
          </w:tcPr>
          <w:p w:rsidR="00AC6255" w:rsidRPr="00392FFD" w:rsidRDefault="00AC6255" w:rsidP="000B0B09">
            <w:pPr>
              <w:autoSpaceDE w:val="0"/>
              <w:autoSpaceDN w:val="0"/>
              <w:adjustRightInd w:val="0"/>
              <w:spacing w:before="0" w:after="0"/>
              <w:jc w:val="left"/>
              <w:rPr>
                <w:rStyle w:val="InstructionsTabelleberschrift"/>
                <w:rFonts w:ascii="Times New Roman" w:hAnsi="Times New Roman"/>
                <w:sz w:val="24"/>
              </w:rPr>
            </w:pPr>
            <w:r>
              <w:rPr>
                <w:rStyle w:val="InstructionsTabelleberschrift"/>
                <w:rFonts w:ascii="Times New Roman" w:hAnsi="Times New Roman"/>
                <w:sz w:val="24"/>
              </w:rPr>
              <w:t>EXIGENCES DE FONDS PROPRES</w:t>
            </w:r>
          </w:p>
          <w:p w:rsidR="00AC6255" w:rsidRPr="00392FFD" w:rsidRDefault="00AC6255" w:rsidP="000B0B09">
            <w:pPr>
              <w:autoSpaceDE w:val="0"/>
              <w:autoSpaceDN w:val="0"/>
              <w:adjustRightInd w:val="0"/>
              <w:spacing w:before="0" w:after="0"/>
              <w:jc w:val="left"/>
              <w:rPr>
                <w:rFonts w:ascii="Times New Roman" w:hAnsi="Times New Roman"/>
                <w:sz w:val="24"/>
              </w:rPr>
            </w:pPr>
          </w:p>
          <w:p w:rsidR="00AC6255" w:rsidRPr="00392FFD" w:rsidRDefault="00AC6255" w:rsidP="00E86638">
            <w:pPr>
              <w:autoSpaceDE w:val="0"/>
              <w:autoSpaceDN w:val="0"/>
              <w:adjustRightInd w:val="0"/>
              <w:spacing w:before="0" w:after="0"/>
              <w:jc w:val="left"/>
              <w:rPr>
                <w:rFonts w:ascii="Times New Roman" w:hAnsi="Times New Roman"/>
                <w:bCs/>
                <w:sz w:val="24"/>
              </w:rPr>
            </w:pPr>
            <w:r>
              <w:rPr>
                <w:rFonts w:ascii="Times New Roman" w:hAnsi="Times New Roman"/>
                <w:sz w:val="24"/>
              </w:rPr>
              <w:t>L’exigence de fonds propres est calculée en fonction de l’approche utilisée, conformément aux articles 312 à 324 du CRR. Le montant obtenu est déclaré dans la colonne 070.</w:t>
            </w:r>
          </w:p>
        </w:tc>
      </w:tr>
      <w:tr w:rsidR="00AC6255" w:rsidRPr="00392FFD" w:rsidTr="000B0B09">
        <w:tc>
          <w:tcPr>
            <w:tcW w:w="985" w:type="dxa"/>
          </w:tcPr>
          <w:p w:rsidR="00AC6255" w:rsidRPr="00392FFD" w:rsidRDefault="00AC6255" w:rsidP="000B0B09">
            <w:pPr>
              <w:autoSpaceDE w:val="0"/>
              <w:autoSpaceDN w:val="0"/>
              <w:adjustRightInd w:val="0"/>
              <w:spacing w:before="0" w:after="0"/>
              <w:rPr>
                <w:rFonts w:ascii="Times New Roman" w:hAnsi="Times New Roman"/>
                <w:bCs/>
                <w:sz w:val="24"/>
              </w:rPr>
            </w:pPr>
            <w:r>
              <w:rPr>
                <w:rFonts w:ascii="Times New Roman" w:hAnsi="Times New Roman"/>
                <w:sz w:val="24"/>
              </w:rPr>
              <w:lastRenderedPageBreak/>
              <w:t>071</w:t>
            </w:r>
          </w:p>
        </w:tc>
        <w:tc>
          <w:tcPr>
            <w:tcW w:w="7877" w:type="dxa"/>
          </w:tcPr>
          <w:p w:rsidR="00AC6255" w:rsidRPr="00392FFD" w:rsidRDefault="00AC6255" w:rsidP="000B0B09">
            <w:pPr>
              <w:autoSpaceDE w:val="0"/>
              <w:autoSpaceDN w:val="0"/>
              <w:adjustRightInd w:val="0"/>
              <w:spacing w:before="0" w:after="0"/>
              <w:jc w:val="left"/>
              <w:rPr>
                <w:rStyle w:val="InstructionsTabelleberschrift"/>
                <w:rFonts w:ascii="Times New Roman" w:hAnsi="Times New Roman"/>
                <w:sz w:val="24"/>
              </w:rPr>
            </w:pPr>
            <w:r>
              <w:rPr>
                <w:rStyle w:val="InstructionsTabelleberschrift"/>
                <w:rFonts w:ascii="Times New Roman" w:hAnsi="Times New Roman"/>
                <w:sz w:val="24"/>
              </w:rPr>
              <w:t>MONTANT TOTAL DE L’EXPOSITION AU RISQUE OPÉRATIO</w:t>
            </w:r>
            <w:r>
              <w:rPr>
                <w:rStyle w:val="InstructionsTabelleberschrift"/>
                <w:rFonts w:ascii="Times New Roman" w:hAnsi="Times New Roman"/>
                <w:sz w:val="24"/>
              </w:rPr>
              <w:t>N</w:t>
            </w:r>
            <w:r>
              <w:rPr>
                <w:rStyle w:val="InstructionsTabelleberschrift"/>
                <w:rFonts w:ascii="Times New Roman" w:hAnsi="Times New Roman"/>
                <w:sz w:val="24"/>
              </w:rPr>
              <w:t>NEL</w:t>
            </w:r>
          </w:p>
          <w:p w:rsidR="00AC6255" w:rsidRPr="00392FFD" w:rsidRDefault="00AC6255" w:rsidP="000B0B09">
            <w:pPr>
              <w:autoSpaceDE w:val="0"/>
              <w:autoSpaceDN w:val="0"/>
              <w:adjustRightInd w:val="0"/>
              <w:spacing w:before="0" w:after="0"/>
              <w:jc w:val="left"/>
              <w:rPr>
                <w:rStyle w:val="InstructionsTabelleberschrift"/>
                <w:rFonts w:ascii="Times New Roman" w:hAnsi="Times New Roman"/>
                <w:b w:val="0"/>
                <w:sz w:val="24"/>
              </w:rPr>
            </w:pPr>
            <w:r>
              <w:rPr>
                <w:rStyle w:val="InstructionsTabelleberschrift"/>
                <w:rFonts w:ascii="Times New Roman" w:hAnsi="Times New Roman"/>
                <w:sz w:val="24"/>
              </w:rPr>
              <w:t>Article 92, paragraphe 4, du CRR. Exigences de fonds propres de la c</w:t>
            </w:r>
            <w:r>
              <w:rPr>
                <w:rStyle w:val="InstructionsTabelleberschrift"/>
                <w:rFonts w:ascii="Times New Roman" w:hAnsi="Times New Roman"/>
                <w:sz w:val="24"/>
              </w:rPr>
              <w:t>o</w:t>
            </w:r>
            <w:r>
              <w:rPr>
                <w:rStyle w:val="InstructionsTabelleberschrift"/>
                <w:rFonts w:ascii="Times New Roman" w:hAnsi="Times New Roman"/>
                <w:sz w:val="24"/>
              </w:rPr>
              <w:t>lonne 070, multipliées par 12,5.</w:t>
            </w:r>
          </w:p>
        </w:tc>
      </w:tr>
      <w:tr w:rsidR="00AC6255" w:rsidRPr="00392FFD" w:rsidTr="000B0B09">
        <w:tc>
          <w:tcPr>
            <w:tcW w:w="985" w:type="dxa"/>
          </w:tcPr>
          <w:p w:rsidR="00AC6255" w:rsidRPr="00392FFD" w:rsidRDefault="00AC6255" w:rsidP="000B0B09">
            <w:pPr>
              <w:autoSpaceDE w:val="0"/>
              <w:autoSpaceDN w:val="0"/>
              <w:adjustRightInd w:val="0"/>
              <w:spacing w:before="0" w:after="0"/>
              <w:rPr>
                <w:rFonts w:ascii="Times New Roman" w:hAnsi="Times New Roman"/>
                <w:bCs/>
                <w:sz w:val="24"/>
              </w:rPr>
            </w:pPr>
            <w:r>
              <w:rPr>
                <w:rFonts w:ascii="Times New Roman" w:hAnsi="Times New Roman"/>
                <w:sz w:val="24"/>
              </w:rPr>
              <w:t>080</w:t>
            </w:r>
          </w:p>
        </w:tc>
        <w:tc>
          <w:tcPr>
            <w:tcW w:w="7877" w:type="dxa"/>
          </w:tcPr>
          <w:p w:rsidR="00AC6255" w:rsidRPr="00392FFD" w:rsidRDefault="00AC6255" w:rsidP="000B0B09">
            <w:pPr>
              <w:autoSpaceDE w:val="0"/>
              <w:autoSpaceDN w:val="0"/>
              <w:adjustRightInd w:val="0"/>
              <w:spacing w:before="0" w:after="0"/>
              <w:jc w:val="left"/>
              <w:rPr>
                <w:rStyle w:val="InstructionsTabelleberschrift"/>
                <w:rFonts w:ascii="Times New Roman" w:hAnsi="Times New Roman"/>
                <w:sz w:val="24"/>
              </w:rPr>
            </w:pPr>
            <w:r>
              <w:rPr>
                <w:rStyle w:val="InstructionsTabelleberschrift"/>
                <w:rFonts w:ascii="Times New Roman" w:hAnsi="Times New Roman"/>
                <w:sz w:val="24"/>
              </w:rPr>
              <w:t>DONT: RÉSULTANT D’UN MÉCANISME D’ALLOCATION</w:t>
            </w:r>
          </w:p>
          <w:p w:rsidR="00AC6255" w:rsidRPr="00392FFD" w:rsidRDefault="00AC6255" w:rsidP="000B0B09">
            <w:pPr>
              <w:autoSpaceDE w:val="0"/>
              <w:autoSpaceDN w:val="0"/>
              <w:adjustRightInd w:val="0"/>
              <w:spacing w:before="0" w:after="0"/>
              <w:jc w:val="left"/>
              <w:rPr>
                <w:rFonts w:ascii="Times New Roman" w:hAnsi="Times New Roman"/>
                <w:bCs/>
                <w:sz w:val="24"/>
              </w:rPr>
            </w:pPr>
          </w:p>
          <w:p w:rsidR="00AC6255" w:rsidRPr="00392FFD" w:rsidRDefault="00AC6255" w:rsidP="000B0B09">
            <w:pPr>
              <w:jc w:val="left"/>
              <w:rPr>
                <w:rFonts w:ascii="Times New Roman" w:hAnsi="Times New Roman"/>
                <w:bCs/>
                <w:sz w:val="24"/>
              </w:rPr>
            </w:pPr>
            <w:r>
              <w:rPr>
                <w:rFonts w:ascii="Times New Roman" w:hAnsi="Times New Roman"/>
                <w:sz w:val="24"/>
              </w:rPr>
              <w:t>Article 18, paragraphe 1, du CRR (concernant l’inclusion, dans la demande v</w:t>
            </w:r>
            <w:r>
              <w:rPr>
                <w:rFonts w:ascii="Times New Roman" w:hAnsi="Times New Roman"/>
                <w:sz w:val="24"/>
              </w:rPr>
              <w:t>i</w:t>
            </w:r>
            <w:r>
              <w:rPr>
                <w:rFonts w:ascii="Times New Roman" w:hAnsi="Times New Roman"/>
                <w:sz w:val="24"/>
              </w:rPr>
              <w:t>sée à l’article 312, paragraphe 2, du CRR, d’une description des méthodes a</w:t>
            </w:r>
            <w:r>
              <w:rPr>
                <w:rFonts w:ascii="Times New Roman" w:hAnsi="Times New Roman"/>
                <w:sz w:val="24"/>
              </w:rPr>
              <w:t>p</w:t>
            </w:r>
            <w:r>
              <w:rPr>
                <w:rFonts w:ascii="Times New Roman" w:hAnsi="Times New Roman"/>
                <w:sz w:val="24"/>
              </w:rPr>
              <w:t>pliquées pour répartir la couverture en fonds propres du risque opérationnel entre les diverses entités du groupe, et d’une indication quant à l’intention ou non d’intégrer, et selon quelles modalités, les effets de la diversification dans le système d’évaluation des risques utilisé par un établissement de crédit mère dans l’Union et ses filiales, ou conjointement par les filiales d’une compagnie financière holding mère dans l’Union ou d’une compagnie financière holding mixte mère dans l’Union).</w:t>
            </w:r>
          </w:p>
          <w:p w:rsidR="00AC6255" w:rsidRPr="00392FFD" w:rsidRDefault="00AC6255" w:rsidP="000B0B09">
            <w:pPr>
              <w:autoSpaceDE w:val="0"/>
              <w:autoSpaceDN w:val="0"/>
              <w:adjustRightInd w:val="0"/>
              <w:spacing w:before="0" w:after="0"/>
              <w:jc w:val="left"/>
              <w:rPr>
                <w:rFonts w:ascii="Times New Roman" w:hAnsi="Times New Roman"/>
                <w:bCs/>
                <w:sz w:val="24"/>
              </w:rPr>
            </w:pPr>
          </w:p>
        </w:tc>
      </w:tr>
      <w:tr w:rsidR="00AC6255" w:rsidRPr="00392FFD" w:rsidTr="000B0B09">
        <w:tc>
          <w:tcPr>
            <w:tcW w:w="985" w:type="dxa"/>
          </w:tcPr>
          <w:p w:rsidR="00AC6255" w:rsidRPr="00392FFD" w:rsidRDefault="00AC6255" w:rsidP="000F70EC">
            <w:pPr>
              <w:autoSpaceDE w:val="0"/>
              <w:autoSpaceDN w:val="0"/>
              <w:adjustRightInd w:val="0"/>
              <w:spacing w:before="0" w:after="0"/>
              <w:rPr>
                <w:rFonts w:ascii="Times New Roman" w:hAnsi="Times New Roman"/>
                <w:bCs/>
                <w:sz w:val="24"/>
              </w:rPr>
            </w:pPr>
            <w:r>
              <w:rPr>
                <w:rFonts w:ascii="Times New Roman" w:hAnsi="Times New Roman"/>
                <w:sz w:val="24"/>
              </w:rPr>
              <w:t>090-120</w:t>
            </w:r>
          </w:p>
        </w:tc>
        <w:tc>
          <w:tcPr>
            <w:tcW w:w="7877" w:type="dxa"/>
          </w:tcPr>
          <w:p w:rsidR="00AC6255" w:rsidRPr="00392FFD" w:rsidRDefault="00AC6255" w:rsidP="000B0B09">
            <w:pPr>
              <w:autoSpaceDE w:val="0"/>
              <w:autoSpaceDN w:val="0"/>
              <w:adjustRightInd w:val="0"/>
              <w:spacing w:before="0" w:after="0"/>
              <w:jc w:val="left"/>
              <w:rPr>
                <w:rStyle w:val="InstructionsTabelleberschrift"/>
                <w:rFonts w:ascii="Times New Roman" w:hAnsi="Times New Roman"/>
                <w:sz w:val="24"/>
              </w:rPr>
            </w:pPr>
            <w:r>
              <w:rPr>
                <w:rStyle w:val="InstructionsTabelleberschrift"/>
                <w:rFonts w:ascii="Times New Roman" w:hAnsi="Times New Roman"/>
                <w:sz w:val="24"/>
              </w:rPr>
              <w:t>ÉLÉMENTS POUR MÉMOIRE SELON L’APPROCHE AMA À D</w:t>
            </w:r>
            <w:r>
              <w:rPr>
                <w:rStyle w:val="InstructionsTabelleberschrift"/>
                <w:rFonts w:ascii="Times New Roman" w:hAnsi="Times New Roman"/>
                <w:sz w:val="24"/>
              </w:rPr>
              <w:t>É</w:t>
            </w:r>
            <w:r>
              <w:rPr>
                <w:rStyle w:val="InstructionsTabelleberschrift"/>
                <w:rFonts w:ascii="Times New Roman" w:hAnsi="Times New Roman"/>
                <w:sz w:val="24"/>
              </w:rPr>
              <w:t>CLARER LE CAS ÉCHÉANT</w:t>
            </w:r>
          </w:p>
        </w:tc>
      </w:tr>
      <w:tr w:rsidR="00AC6255" w:rsidRPr="00392FFD" w:rsidTr="000B0B09">
        <w:tc>
          <w:tcPr>
            <w:tcW w:w="985" w:type="dxa"/>
          </w:tcPr>
          <w:p w:rsidR="00AC6255" w:rsidRPr="00392FFD" w:rsidRDefault="00AC6255" w:rsidP="000B0B09">
            <w:pPr>
              <w:autoSpaceDE w:val="0"/>
              <w:autoSpaceDN w:val="0"/>
              <w:adjustRightInd w:val="0"/>
              <w:spacing w:before="0" w:after="0"/>
              <w:rPr>
                <w:rFonts w:ascii="Times New Roman" w:hAnsi="Times New Roman"/>
                <w:bCs/>
                <w:sz w:val="24"/>
              </w:rPr>
            </w:pPr>
            <w:r>
              <w:rPr>
                <w:rFonts w:ascii="Times New Roman" w:hAnsi="Times New Roman"/>
                <w:sz w:val="24"/>
              </w:rPr>
              <w:t>090</w:t>
            </w:r>
          </w:p>
        </w:tc>
        <w:tc>
          <w:tcPr>
            <w:tcW w:w="7877" w:type="dxa"/>
          </w:tcPr>
          <w:p w:rsidR="00AC6255" w:rsidRPr="00392FFD" w:rsidRDefault="00AC6255" w:rsidP="000B0B09">
            <w:pPr>
              <w:autoSpaceDE w:val="0"/>
              <w:autoSpaceDN w:val="0"/>
              <w:adjustRightInd w:val="0"/>
              <w:spacing w:before="0" w:after="0"/>
              <w:jc w:val="left"/>
              <w:rPr>
                <w:rStyle w:val="InstructionsTabelleberschrift"/>
                <w:rFonts w:ascii="Times New Roman" w:hAnsi="Times New Roman"/>
                <w:sz w:val="24"/>
              </w:rPr>
            </w:pPr>
            <w:r>
              <w:rPr>
                <w:rStyle w:val="InstructionsTabelleberschrift"/>
                <w:rFonts w:ascii="Times New Roman" w:hAnsi="Times New Roman"/>
                <w:sz w:val="24"/>
              </w:rPr>
              <w:t>EXIGENCES DE FONDS PROPRES AVANT ALLÈGEMENT EN RA</w:t>
            </w:r>
            <w:r>
              <w:rPr>
                <w:rStyle w:val="InstructionsTabelleberschrift"/>
                <w:rFonts w:ascii="Times New Roman" w:hAnsi="Times New Roman"/>
                <w:sz w:val="24"/>
              </w:rPr>
              <w:t>I</w:t>
            </w:r>
            <w:r>
              <w:rPr>
                <w:rStyle w:val="InstructionsTabelleberschrift"/>
                <w:rFonts w:ascii="Times New Roman" w:hAnsi="Times New Roman"/>
                <w:sz w:val="24"/>
              </w:rPr>
              <w:t>SON DE PERTES ANTICIPÉES, DE LA DIVERSIFICATION ET DE TECHNIQUES D’ATTÉNUATION DU RISQUE</w:t>
            </w:r>
          </w:p>
          <w:p w:rsidR="00AC6255" w:rsidRPr="00392FFD" w:rsidRDefault="00AC6255" w:rsidP="000B0B09">
            <w:pPr>
              <w:autoSpaceDE w:val="0"/>
              <w:autoSpaceDN w:val="0"/>
              <w:adjustRightInd w:val="0"/>
              <w:spacing w:before="0" w:after="0"/>
              <w:jc w:val="left"/>
              <w:rPr>
                <w:rFonts w:ascii="Times New Roman" w:hAnsi="Times New Roman"/>
                <w:bCs/>
                <w:sz w:val="24"/>
              </w:rPr>
            </w:pPr>
          </w:p>
          <w:p w:rsidR="00AC6255" w:rsidRPr="00392FFD" w:rsidRDefault="00AC6255" w:rsidP="000B0B09">
            <w:pPr>
              <w:autoSpaceDE w:val="0"/>
              <w:autoSpaceDN w:val="0"/>
              <w:adjustRightInd w:val="0"/>
              <w:spacing w:before="0" w:after="0"/>
              <w:rPr>
                <w:rFonts w:ascii="Times New Roman" w:hAnsi="Times New Roman"/>
                <w:sz w:val="24"/>
              </w:rPr>
            </w:pPr>
            <w:r>
              <w:rPr>
                <w:rFonts w:ascii="Times New Roman" w:hAnsi="Times New Roman"/>
                <w:sz w:val="24"/>
              </w:rPr>
              <w:t>L’exigence de fonds propres déclarée dans la colonne 090 est celle qui figure dans la colonne 070, mais qui est calculée avant prise en compte des effets d’allègement en raison de pertes anticipées, de la diversification et des tec</w:t>
            </w:r>
            <w:r>
              <w:rPr>
                <w:rFonts w:ascii="Times New Roman" w:hAnsi="Times New Roman"/>
                <w:sz w:val="24"/>
              </w:rPr>
              <w:t>h</w:t>
            </w:r>
            <w:r>
              <w:rPr>
                <w:rFonts w:ascii="Times New Roman" w:hAnsi="Times New Roman"/>
                <w:sz w:val="24"/>
              </w:rPr>
              <w:t>niques d’atténuation du risque (voir plus bas).</w:t>
            </w:r>
          </w:p>
          <w:p w:rsidR="00AC6255" w:rsidRPr="00392FFD" w:rsidRDefault="00AC6255" w:rsidP="000B0B09">
            <w:pPr>
              <w:autoSpaceDE w:val="0"/>
              <w:autoSpaceDN w:val="0"/>
              <w:adjustRightInd w:val="0"/>
              <w:spacing w:before="0" w:after="0"/>
              <w:jc w:val="left"/>
              <w:rPr>
                <w:rFonts w:ascii="Times New Roman" w:hAnsi="Times New Roman"/>
                <w:bCs/>
                <w:sz w:val="24"/>
              </w:rPr>
            </w:pPr>
          </w:p>
        </w:tc>
      </w:tr>
      <w:tr w:rsidR="00AC6255" w:rsidRPr="00392FFD" w:rsidTr="000B0B09">
        <w:tc>
          <w:tcPr>
            <w:tcW w:w="985" w:type="dxa"/>
          </w:tcPr>
          <w:p w:rsidR="00AC6255" w:rsidRPr="00392FFD" w:rsidRDefault="00AC6255" w:rsidP="000B0B09">
            <w:pPr>
              <w:autoSpaceDE w:val="0"/>
              <w:autoSpaceDN w:val="0"/>
              <w:adjustRightInd w:val="0"/>
              <w:spacing w:before="0" w:after="0"/>
              <w:rPr>
                <w:rFonts w:ascii="Times New Roman" w:hAnsi="Times New Roman"/>
                <w:bCs/>
                <w:sz w:val="24"/>
              </w:rPr>
            </w:pPr>
            <w:r>
              <w:rPr>
                <w:rFonts w:ascii="Times New Roman" w:hAnsi="Times New Roman"/>
                <w:sz w:val="24"/>
              </w:rPr>
              <w:t>100</w:t>
            </w:r>
          </w:p>
        </w:tc>
        <w:tc>
          <w:tcPr>
            <w:tcW w:w="7877" w:type="dxa"/>
          </w:tcPr>
          <w:p w:rsidR="00AC6255" w:rsidRPr="00392FFD" w:rsidRDefault="00AC6255" w:rsidP="000B0B09">
            <w:pPr>
              <w:autoSpaceDE w:val="0"/>
              <w:autoSpaceDN w:val="0"/>
              <w:adjustRightInd w:val="0"/>
              <w:spacing w:before="0" w:after="0"/>
              <w:jc w:val="left"/>
              <w:rPr>
                <w:rStyle w:val="InstructionsTabelleberschrift"/>
                <w:rFonts w:ascii="Times New Roman" w:hAnsi="Times New Roman"/>
                <w:sz w:val="24"/>
              </w:rPr>
            </w:pPr>
            <w:r>
              <w:rPr>
                <w:rStyle w:val="InstructionsTabelleberschrift"/>
                <w:rFonts w:ascii="Times New Roman" w:hAnsi="Times New Roman"/>
                <w:sz w:val="24"/>
              </w:rPr>
              <w:t>(-) ALLÈGEMENT DES EXIGENCES DE FONDS PROPRES EN RA</w:t>
            </w:r>
            <w:r>
              <w:rPr>
                <w:rStyle w:val="InstructionsTabelleberschrift"/>
                <w:rFonts w:ascii="Times New Roman" w:hAnsi="Times New Roman"/>
                <w:sz w:val="24"/>
              </w:rPr>
              <w:t>I</w:t>
            </w:r>
            <w:r>
              <w:rPr>
                <w:rStyle w:val="InstructionsTabelleberschrift"/>
                <w:rFonts w:ascii="Times New Roman" w:hAnsi="Times New Roman"/>
                <w:sz w:val="24"/>
              </w:rPr>
              <w:t>SON DES PERTES ANTICIPÉES PRISES EN COMPTE DANS LES PRATIQUES INTERNES</w:t>
            </w:r>
          </w:p>
          <w:p w:rsidR="00AC6255" w:rsidRPr="00392FFD" w:rsidRDefault="00AC6255" w:rsidP="000B0B09">
            <w:pPr>
              <w:autoSpaceDE w:val="0"/>
              <w:autoSpaceDN w:val="0"/>
              <w:adjustRightInd w:val="0"/>
              <w:spacing w:before="0" w:after="0"/>
              <w:jc w:val="left"/>
              <w:rPr>
                <w:rFonts w:ascii="Times New Roman" w:hAnsi="Times New Roman"/>
                <w:bCs/>
                <w:sz w:val="24"/>
              </w:rPr>
            </w:pPr>
          </w:p>
          <w:p w:rsidR="00AC6255" w:rsidRPr="00392FFD" w:rsidRDefault="00AC6255" w:rsidP="000B0B09">
            <w:pPr>
              <w:autoSpaceDE w:val="0"/>
              <w:autoSpaceDN w:val="0"/>
              <w:adjustRightInd w:val="0"/>
              <w:spacing w:before="0" w:after="0"/>
              <w:rPr>
                <w:rFonts w:ascii="Times New Roman" w:hAnsi="Times New Roman"/>
                <w:sz w:val="24"/>
              </w:rPr>
            </w:pPr>
            <w:r>
              <w:rPr>
                <w:rFonts w:ascii="Times New Roman" w:hAnsi="Times New Roman"/>
                <w:sz w:val="24"/>
              </w:rPr>
              <w:t>Dans la colonne 100 figure l’allègement des exigences de fonds propres en ra</w:t>
            </w:r>
            <w:r>
              <w:rPr>
                <w:rFonts w:ascii="Times New Roman" w:hAnsi="Times New Roman"/>
                <w:sz w:val="24"/>
              </w:rPr>
              <w:t>i</w:t>
            </w:r>
            <w:r>
              <w:rPr>
                <w:rFonts w:ascii="Times New Roman" w:hAnsi="Times New Roman"/>
                <w:sz w:val="24"/>
              </w:rPr>
              <w:t>son de pertes anticipées prises en compte dans les pratiques internes de l’établissement (visées à l’article 322, paragraphe 2, point a), du CRR).</w:t>
            </w:r>
          </w:p>
          <w:p w:rsidR="00AC6255" w:rsidRPr="00392FFD" w:rsidRDefault="00AC6255" w:rsidP="000B0B09">
            <w:pPr>
              <w:autoSpaceDE w:val="0"/>
              <w:autoSpaceDN w:val="0"/>
              <w:adjustRightInd w:val="0"/>
              <w:spacing w:before="0" w:after="0"/>
              <w:jc w:val="left"/>
              <w:rPr>
                <w:rFonts w:ascii="Times New Roman" w:hAnsi="Times New Roman"/>
                <w:bCs/>
                <w:sz w:val="24"/>
              </w:rPr>
            </w:pPr>
          </w:p>
        </w:tc>
      </w:tr>
      <w:tr w:rsidR="00AC6255" w:rsidRPr="00392FFD" w:rsidTr="000B0B09">
        <w:tc>
          <w:tcPr>
            <w:tcW w:w="985" w:type="dxa"/>
          </w:tcPr>
          <w:p w:rsidR="00AC6255" w:rsidRPr="00392FFD" w:rsidRDefault="00AC6255" w:rsidP="000B0B09">
            <w:pPr>
              <w:autoSpaceDE w:val="0"/>
              <w:autoSpaceDN w:val="0"/>
              <w:adjustRightInd w:val="0"/>
              <w:spacing w:before="0" w:after="0"/>
              <w:rPr>
                <w:rFonts w:ascii="Times New Roman" w:hAnsi="Times New Roman"/>
                <w:bCs/>
                <w:sz w:val="24"/>
              </w:rPr>
            </w:pPr>
            <w:r>
              <w:rPr>
                <w:rFonts w:ascii="Times New Roman" w:hAnsi="Times New Roman"/>
                <w:sz w:val="24"/>
              </w:rPr>
              <w:t>110</w:t>
            </w:r>
          </w:p>
        </w:tc>
        <w:tc>
          <w:tcPr>
            <w:tcW w:w="7877" w:type="dxa"/>
          </w:tcPr>
          <w:p w:rsidR="00AC6255" w:rsidRPr="00392FFD" w:rsidRDefault="00AC6255" w:rsidP="000B0B09">
            <w:pPr>
              <w:autoSpaceDE w:val="0"/>
              <w:autoSpaceDN w:val="0"/>
              <w:adjustRightInd w:val="0"/>
              <w:spacing w:before="0" w:after="0"/>
              <w:jc w:val="left"/>
              <w:rPr>
                <w:rStyle w:val="InstructionsTabelleberschrift"/>
                <w:rFonts w:ascii="Times New Roman" w:hAnsi="Times New Roman"/>
                <w:sz w:val="24"/>
              </w:rPr>
            </w:pPr>
            <w:r>
              <w:rPr>
                <w:rStyle w:val="InstructionsTabelleberschrift"/>
                <w:rFonts w:ascii="Times New Roman" w:hAnsi="Times New Roman"/>
                <w:sz w:val="24"/>
              </w:rPr>
              <w:t>(-) ALLÈGEMENT DES EXIGENCES DE FONDS PROPRES EN RA</w:t>
            </w:r>
            <w:r>
              <w:rPr>
                <w:rStyle w:val="InstructionsTabelleberschrift"/>
                <w:rFonts w:ascii="Times New Roman" w:hAnsi="Times New Roman"/>
                <w:sz w:val="24"/>
              </w:rPr>
              <w:t>I</w:t>
            </w:r>
            <w:r>
              <w:rPr>
                <w:rStyle w:val="InstructionsTabelleberschrift"/>
                <w:rFonts w:ascii="Times New Roman" w:hAnsi="Times New Roman"/>
                <w:sz w:val="24"/>
              </w:rPr>
              <w:t>SON DE LA DIVERSIFICATION</w:t>
            </w:r>
          </w:p>
          <w:p w:rsidR="00AC6255" w:rsidRPr="00392FFD" w:rsidRDefault="00AC6255" w:rsidP="000B0B09">
            <w:pPr>
              <w:rPr>
                <w:rFonts w:ascii="Times New Roman" w:hAnsi="Times New Roman"/>
                <w:sz w:val="24"/>
              </w:rPr>
            </w:pPr>
            <w:r>
              <w:rPr>
                <w:rFonts w:ascii="Times New Roman" w:hAnsi="Times New Roman"/>
                <w:sz w:val="24"/>
              </w:rPr>
              <w:t>L’effet de diversification dans la colonne 110 correspond à la différence entre la somme des exigences de fonds propres calculées séparément pour chaque c</w:t>
            </w:r>
            <w:r>
              <w:rPr>
                <w:rFonts w:ascii="Times New Roman" w:hAnsi="Times New Roman"/>
                <w:sz w:val="24"/>
              </w:rPr>
              <w:t>a</w:t>
            </w:r>
            <w:r>
              <w:rPr>
                <w:rFonts w:ascii="Times New Roman" w:hAnsi="Times New Roman"/>
                <w:sz w:val="24"/>
              </w:rPr>
              <w:t>tégorie de risque opérationnel (à savoir une situation de «dépendance parfaite») et l’exigence de fonds propres diversifiée calculée en tenant compte des corr</w:t>
            </w:r>
            <w:r>
              <w:rPr>
                <w:rFonts w:ascii="Times New Roman" w:hAnsi="Times New Roman"/>
                <w:sz w:val="24"/>
              </w:rPr>
              <w:t>é</w:t>
            </w:r>
            <w:r>
              <w:rPr>
                <w:rFonts w:ascii="Times New Roman" w:hAnsi="Times New Roman"/>
                <w:sz w:val="24"/>
              </w:rPr>
              <w:t>lations et des dépendances (c’est-à-dire en supposant une dépendance inf</w:t>
            </w:r>
            <w:r>
              <w:rPr>
                <w:rFonts w:ascii="Times New Roman" w:hAnsi="Times New Roman"/>
                <w:sz w:val="24"/>
              </w:rPr>
              <w:t>é</w:t>
            </w:r>
            <w:r>
              <w:rPr>
                <w:rFonts w:ascii="Times New Roman" w:hAnsi="Times New Roman"/>
                <w:sz w:val="24"/>
              </w:rPr>
              <w:t>rieure à une «dépendance parfaite» entre les catégories de risques). La situation de «dépendance parfaite» survient dans le «cas par défaut», c’est-à-dire lorsque l’établissement ne recourt pas à une structure de corrélations explicite entre les catégories de risques, et que les fonds propres AMA sont donc calculés comme étant la somme des différentes mesures du risque opérationnel des catégories de risque choisies. Dans ce cas, on suppose une corrélation de 100 % entre les catégories de risques et la valeur déclarée dans la colonne sera égale à 0. En r</w:t>
            </w:r>
            <w:r>
              <w:rPr>
                <w:rFonts w:ascii="Times New Roman" w:hAnsi="Times New Roman"/>
                <w:sz w:val="24"/>
              </w:rPr>
              <w:t>e</w:t>
            </w:r>
            <w:r>
              <w:rPr>
                <w:rFonts w:ascii="Times New Roman" w:hAnsi="Times New Roman"/>
                <w:sz w:val="24"/>
              </w:rPr>
              <w:lastRenderedPageBreak/>
              <w:t>vanche, lorsque l'établissement calcule une structure de corrélations explicite entre les catégories de risques, il doit inclure dans cette colonne la différence entre les fonds propres AMA tels que découlant du «cas par défaut» et ceux o</w:t>
            </w:r>
            <w:r>
              <w:rPr>
                <w:rFonts w:ascii="Times New Roman" w:hAnsi="Times New Roman"/>
                <w:sz w:val="24"/>
              </w:rPr>
              <w:t>b</w:t>
            </w:r>
            <w:r>
              <w:rPr>
                <w:rFonts w:ascii="Times New Roman" w:hAnsi="Times New Roman"/>
                <w:sz w:val="24"/>
              </w:rPr>
              <w:t>tenus après application de la structure de corrélations entre les catégories de risques. Cette valeur rend compte de la «capacité de diversification» du modèle AMA, c'est-à-dire de l'aptitude du modèle à tenir compte de la survenance non simultanée de pertes graves pour risque opérationnel. Dans la colonne 110, il convient de déclarer le montant de la réduction des fonds propres AMA qu’entraîne la structure de corrélation retenue par rapport à l’hypothèse d’une corrélation de 100 %.</w:t>
            </w:r>
          </w:p>
          <w:p w:rsidR="00AC6255" w:rsidRPr="00392FFD" w:rsidRDefault="00AC6255" w:rsidP="000B0B09">
            <w:pPr>
              <w:autoSpaceDE w:val="0"/>
              <w:autoSpaceDN w:val="0"/>
              <w:adjustRightInd w:val="0"/>
              <w:spacing w:before="0" w:after="0"/>
              <w:jc w:val="left"/>
              <w:rPr>
                <w:rFonts w:ascii="Times New Roman" w:hAnsi="Times New Roman"/>
                <w:bCs/>
                <w:sz w:val="24"/>
              </w:rPr>
            </w:pPr>
          </w:p>
        </w:tc>
      </w:tr>
      <w:tr w:rsidR="00AC6255" w:rsidRPr="00392FFD" w:rsidTr="000B0B09">
        <w:tc>
          <w:tcPr>
            <w:tcW w:w="985" w:type="dxa"/>
          </w:tcPr>
          <w:p w:rsidR="00AC6255" w:rsidRPr="00392FFD" w:rsidRDefault="00AC6255" w:rsidP="000B0B09">
            <w:pPr>
              <w:autoSpaceDE w:val="0"/>
              <w:autoSpaceDN w:val="0"/>
              <w:adjustRightInd w:val="0"/>
              <w:spacing w:before="0" w:after="0"/>
              <w:rPr>
                <w:rFonts w:ascii="Times New Roman" w:hAnsi="Times New Roman"/>
                <w:bCs/>
                <w:sz w:val="24"/>
              </w:rPr>
            </w:pPr>
            <w:r>
              <w:rPr>
                <w:rFonts w:ascii="Times New Roman" w:hAnsi="Times New Roman"/>
                <w:sz w:val="24"/>
              </w:rPr>
              <w:lastRenderedPageBreak/>
              <w:t>120</w:t>
            </w:r>
          </w:p>
        </w:tc>
        <w:tc>
          <w:tcPr>
            <w:tcW w:w="7877" w:type="dxa"/>
          </w:tcPr>
          <w:p w:rsidR="00AC6255" w:rsidRPr="00392FFD" w:rsidRDefault="00AC6255" w:rsidP="000B0B09">
            <w:pPr>
              <w:autoSpaceDE w:val="0"/>
              <w:autoSpaceDN w:val="0"/>
              <w:adjustRightInd w:val="0"/>
              <w:spacing w:before="0" w:after="0"/>
              <w:jc w:val="left"/>
              <w:rPr>
                <w:rFonts w:ascii="Times New Roman" w:hAnsi="Times New Roman"/>
                <w:sz w:val="24"/>
              </w:rPr>
            </w:pPr>
            <w:r>
              <w:rPr>
                <w:rStyle w:val="InstructionsTabelleberschrift"/>
                <w:rFonts w:ascii="Times New Roman" w:hAnsi="Times New Roman"/>
                <w:sz w:val="24"/>
              </w:rPr>
              <w:t>(-) ALLÈGEMENT DES EXIGENCES DE FONDS PROPRES EN RA</w:t>
            </w:r>
            <w:r>
              <w:rPr>
                <w:rStyle w:val="InstructionsTabelleberschrift"/>
                <w:rFonts w:ascii="Times New Roman" w:hAnsi="Times New Roman"/>
                <w:sz w:val="24"/>
              </w:rPr>
              <w:t>I</w:t>
            </w:r>
            <w:r>
              <w:rPr>
                <w:rStyle w:val="InstructionsTabelleberschrift"/>
                <w:rFonts w:ascii="Times New Roman" w:hAnsi="Times New Roman"/>
                <w:sz w:val="24"/>
              </w:rPr>
              <w:t>SON DE TECHNIQUES D’ATTÉNUATION DU RISQUE (ASSURANCE ET AUTRES MÉCANISMES DE TRANSFERT DU RISQUE)</w:t>
            </w:r>
          </w:p>
          <w:p w:rsidR="00AC6255" w:rsidRPr="00392FFD" w:rsidRDefault="00AC6255" w:rsidP="000B0B09">
            <w:pPr>
              <w:autoSpaceDE w:val="0"/>
              <w:autoSpaceDN w:val="0"/>
              <w:adjustRightInd w:val="0"/>
              <w:spacing w:before="0" w:after="0"/>
              <w:jc w:val="left"/>
              <w:rPr>
                <w:rFonts w:ascii="Times New Roman" w:hAnsi="Times New Roman"/>
                <w:sz w:val="24"/>
              </w:rPr>
            </w:pPr>
          </w:p>
          <w:p w:rsidR="00AC6255" w:rsidRPr="00392FFD" w:rsidRDefault="00AC6255" w:rsidP="000B0B09">
            <w:pPr>
              <w:autoSpaceDE w:val="0"/>
              <w:autoSpaceDN w:val="0"/>
              <w:adjustRightInd w:val="0"/>
              <w:spacing w:before="0" w:after="0"/>
              <w:jc w:val="left"/>
              <w:rPr>
                <w:rFonts w:ascii="Times New Roman" w:hAnsi="Times New Roman"/>
                <w:sz w:val="24"/>
              </w:rPr>
            </w:pPr>
            <w:r>
              <w:rPr>
                <w:rFonts w:ascii="Times New Roman" w:hAnsi="Times New Roman"/>
                <w:sz w:val="24"/>
              </w:rPr>
              <w:t>Dans la colonne 120 figure l’impact des assurances et des autres mécanismes de transfert du risque, visés à l’article 323, paragraphes 1 à 5, du CRR.</w:t>
            </w:r>
          </w:p>
          <w:p w:rsidR="00AC6255" w:rsidRPr="00392FFD" w:rsidRDefault="00AC6255" w:rsidP="000B0B09">
            <w:pPr>
              <w:autoSpaceDE w:val="0"/>
              <w:autoSpaceDN w:val="0"/>
              <w:adjustRightInd w:val="0"/>
              <w:spacing w:before="0" w:after="0"/>
              <w:jc w:val="left"/>
              <w:rPr>
                <w:rFonts w:ascii="Times New Roman" w:hAnsi="Times New Roman"/>
                <w:bCs/>
                <w:sz w:val="24"/>
              </w:rPr>
            </w:pPr>
          </w:p>
        </w:tc>
      </w:tr>
    </w:tbl>
    <w:p w:rsidR="00AC6255" w:rsidRPr="00392FFD" w:rsidRDefault="00AC6255" w:rsidP="00AC6255">
      <w:pPr>
        <w:autoSpaceDE w:val="0"/>
        <w:autoSpaceDN w:val="0"/>
        <w:adjustRightInd w:val="0"/>
        <w:spacing w:before="0" w:after="0"/>
        <w:rPr>
          <w:rFonts w:ascii="Times New Roman" w:hAnsi="Times New Roman"/>
          <w:sz w:val="24"/>
        </w:rPr>
      </w:pPr>
    </w:p>
    <w:p w:rsidR="00AC6255" w:rsidRPr="00392FFD" w:rsidRDefault="00AC6255" w:rsidP="00AC6255">
      <w:pPr>
        <w:autoSpaceDE w:val="0"/>
        <w:autoSpaceDN w:val="0"/>
        <w:adjustRightInd w:val="0"/>
        <w:spacing w:before="0" w:after="0"/>
        <w:rPr>
          <w:rFonts w:ascii="Times New Roman" w:hAnsi="Times New Roman"/>
          <w:sz w:val="24"/>
        </w:rPr>
      </w:pPr>
    </w:p>
    <w:p w:rsidR="00AC6255" w:rsidRPr="00321A3B" w:rsidRDefault="00AC6255" w:rsidP="00AC6255">
      <w:pPr>
        <w:pStyle w:val="PlainText"/>
        <w:jc w:val="both"/>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7877"/>
      </w:tblGrid>
      <w:tr w:rsidR="00AC6255" w:rsidRPr="00392FFD" w:rsidTr="000B0B09">
        <w:trPr>
          <w:trHeight w:val="518"/>
        </w:trPr>
        <w:tc>
          <w:tcPr>
            <w:tcW w:w="8862" w:type="dxa"/>
            <w:gridSpan w:val="2"/>
            <w:shd w:val="clear" w:color="auto" w:fill="CCCCCC"/>
          </w:tcPr>
          <w:p w:rsidR="00AC6255" w:rsidRPr="00392FFD" w:rsidRDefault="00AC6255" w:rsidP="000B0B09">
            <w:pPr>
              <w:autoSpaceDE w:val="0"/>
              <w:autoSpaceDN w:val="0"/>
              <w:adjustRightInd w:val="0"/>
              <w:spacing w:after="0"/>
              <w:rPr>
                <w:rFonts w:ascii="Times New Roman" w:hAnsi="Times New Roman"/>
                <w:b/>
                <w:bCs/>
                <w:sz w:val="24"/>
              </w:rPr>
            </w:pPr>
            <w:r>
              <w:rPr>
                <w:rFonts w:ascii="Times New Roman" w:hAnsi="Times New Roman"/>
                <w:b/>
                <w:sz w:val="24"/>
              </w:rPr>
              <w:t>Lignes</w:t>
            </w:r>
          </w:p>
        </w:tc>
      </w:tr>
      <w:tr w:rsidR="00AC6255" w:rsidRPr="00392FFD" w:rsidTr="000B0B09">
        <w:tc>
          <w:tcPr>
            <w:tcW w:w="985" w:type="dxa"/>
          </w:tcPr>
          <w:p w:rsidR="00AC6255" w:rsidRPr="00392FFD" w:rsidRDefault="00AC6255" w:rsidP="000B0B09">
            <w:pPr>
              <w:autoSpaceDE w:val="0"/>
              <w:autoSpaceDN w:val="0"/>
              <w:adjustRightInd w:val="0"/>
              <w:spacing w:before="0" w:after="0"/>
              <w:rPr>
                <w:rFonts w:ascii="Times New Roman" w:hAnsi="Times New Roman"/>
                <w:bCs/>
                <w:sz w:val="24"/>
              </w:rPr>
            </w:pPr>
            <w:r>
              <w:rPr>
                <w:rFonts w:ascii="Times New Roman" w:hAnsi="Times New Roman"/>
                <w:sz w:val="24"/>
              </w:rPr>
              <w:t xml:space="preserve">010 </w:t>
            </w:r>
          </w:p>
        </w:tc>
        <w:tc>
          <w:tcPr>
            <w:tcW w:w="7877" w:type="dxa"/>
          </w:tcPr>
          <w:p w:rsidR="00AC6255" w:rsidRPr="00392FFD" w:rsidRDefault="00AC6255" w:rsidP="000B0B09">
            <w:pPr>
              <w:autoSpaceDE w:val="0"/>
              <w:autoSpaceDN w:val="0"/>
              <w:adjustRightInd w:val="0"/>
              <w:spacing w:before="0" w:after="0"/>
              <w:rPr>
                <w:rStyle w:val="InstructionsTabelleberschrift"/>
                <w:rFonts w:ascii="Times New Roman" w:hAnsi="Times New Roman"/>
                <w:sz w:val="24"/>
              </w:rPr>
            </w:pPr>
            <w:r>
              <w:rPr>
                <w:rStyle w:val="InstructionsTabelleberschrift"/>
                <w:rFonts w:ascii="Times New Roman" w:hAnsi="Times New Roman"/>
                <w:sz w:val="24"/>
              </w:rPr>
              <w:t>ACTIVITÉS BANCAIRES EN APPROCHE ÉLÉMENTAIRE (BIA)</w:t>
            </w:r>
          </w:p>
          <w:p w:rsidR="00AC6255" w:rsidRPr="00392FFD" w:rsidRDefault="00AC6255" w:rsidP="000B0B09">
            <w:pPr>
              <w:pStyle w:val="PlainText"/>
              <w:jc w:val="both"/>
              <w:rPr>
                <w:rFonts w:ascii="Times New Roman" w:eastAsia="Times New Roman" w:hAnsi="Times New Roman"/>
                <w:sz w:val="24"/>
                <w:szCs w:val="24"/>
              </w:rPr>
            </w:pPr>
          </w:p>
          <w:p w:rsidR="00AC6255" w:rsidRPr="00392FFD" w:rsidRDefault="00AC6255" w:rsidP="000B0B09">
            <w:pPr>
              <w:pStyle w:val="PlainText"/>
              <w:jc w:val="both"/>
              <w:rPr>
                <w:rFonts w:ascii="Times New Roman" w:eastAsia="Times New Roman" w:hAnsi="Times New Roman"/>
                <w:sz w:val="24"/>
                <w:szCs w:val="24"/>
              </w:rPr>
            </w:pPr>
            <w:r>
              <w:rPr>
                <w:rFonts w:ascii="Times New Roman" w:hAnsi="Times New Roman"/>
                <w:sz w:val="24"/>
              </w:rPr>
              <w:t>Cette ligne présente les montants correspondant aux activités soumises à l’approche élémentaire pour le calcul de l’exigence de fonds propres pour risque opérationnel (articles 315 et 316 du CRR).</w:t>
            </w:r>
          </w:p>
          <w:p w:rsidR="00AC6255" w:rsidRPr="00392FFD" w:rsidRDefault="00AC6255" w:rsidP="000B0B09">
            <w:pPr>
              <w:pStyle w:val="PlainText"/>
              <w:jc w:val="both"/>
              <w:rPr>
                <w:rFonts w:ascii="Times New Roman" w:eastAsia="Times New Roman" w:hAnsi="Times New Roman"/>
                <w:bCs/>
                <w:sz w:val="24"/>
                <w:szCs w:val="24"/>
              </w:rPr>
            </w:pPr>
          </w:p>
        </w:tc>
      </w:tr>
      <w:tr w:rsidR="00AC6255" w:rsidRPr="00392FFD" w:rsidTr="000B0B09">
        <w:tc>
          <w:tcPr>
            <w:tcW w:w="985" w:type="dxa"/>
          </w:tcPr>
          <w:p w:rsidR="00AC6255" w:rsidRPr="00392FFD" w:rsidRDefault="00AC6255" w:rsidP="000B0B09">
            <w:pPr>
              <w:autoSpaceDE w:val="0"/>
              <w:autoSpaceDN w:val="0"/>
              <w:adjustRightInd w:val="0"/>
              <w:spacing w:before="0" w:after="0"/>
              <w:rPr>
                <w:rFonts w:ascii="Times New Roman" w:hAnsi="Times New Roman"/>
                <w:bCs/>
                <w:sz w:val="24"/>
              </w:rPr>
            </w:pPr>
            <w:r>
              <w:rPr>
                <w:rFonts w:ascii="Times New Roman" w:hAnsi="Times New Roman"/>
                <w:sz w:val="24"/>
              </w:rPr>
              <w:t>020</w:t>
            </w:r>
          </w:p>
        </w:tc>
        <w:tc>
          <w:tcPr>
            <w:tcW w:w="7877" w:type="dxa"/>
          </w:tcPr>
          <w:p w:rsidR="00AC6255" w:rsidRPr="00392FFD" w:rsidRDefault="00AC6255" w:rsidP="000B0B09">
            <w:pPr>
              <w:autoSpaceDE w:val="0"/>
              <w:autoSpaceDN w:val="0"/>
              <w:adjustRightInd w:val="0"/>
              <w:spacing w:before="0" w:after="0"/>
              <w:rPr>
                <w:rStyle w:val="InstructionsTabelleberschrift"/>
                <w:rFonts w:ascii="Times New Roman" w:hAnsi="Times New Roman"/>
                <w:sz w:val="24"/>
              </w:rPr>
            </w:pPr>
            <w:r>
              <w:rPr>
                <w:rStyle w:val="InstructionsTabelleberschrift"/>
                <w:rFonts w:ascii="Times New Roman" w:hAnsi="Times New Roman"/>
                <w:sz w:val="24"/>
              </w:rPr>
              <w:t>ACTIVITÉS BANCAIRES EN APPROCHE STANDARD (TSA)/EN A</w:t>
            </w:r>
            <w:r>
              <w:rPr>
                <w:rStyle w:val="InstructionsTabelleberschrift"/>
                <w:rFonts w:ascii="Times New Roman" w:hAnsi="Times New Roman"/>
                <w:sz w:val="24"/>
              </w:rPr>
              <w:t>P</w:t>
            </w:r>
            <w:r>
              <w:rPr>
                <w:rStyle w:val="InstructionsTabelleberschrift"/>
                <w:rFonts w:ascii="Times New Roman" w:hAnsi="Times New Roman"/>
                <w:sz w:val="24"/>
              </w:rPr>
              <w:t>PROCHE STANDARD DE REMPLACEMENT (ASA)</w:t>
            </w:r>
          </w:p>
          <w:p w:rsidR="00AC6255" w:rsidRPr="00392FFD" w:rsidRDefault="00AC6255" w:rsidP="000B0B09">
            <w:pPr>
              <w:autoSpaceDE w:val="0"/>
              <w:autoSpaceDN w:val="0"/>
              <w:adjustRightInd w:val="0"/>
              <w:spacing w:before="0" w:after="0"/>
              <w:rPr>
                <w:rFonts w:ascii="Times New Roman" w:hAnsi="Times New Roman"/>
                <w:sz w:val="24"/>
              </w:rPr>
            </w:pPr>
          </w:p>
          <w:p w:rsidR="00AC6255" w:rsidRPr="00392FFD" w:rsidRDefault="00AC6255" w:rsidP="000B0B09">
            <w:pPr>
              <w:autoSpaceDE w:val="0"/>
              <w:autoSpaceDN w:val="0"/>
              <w:adjustRightInd w:val="0"/>
              <w:spacing w:before="0" w:after="0"/>
              <w:rPr>
                <w:rFonts w:ascii="Times New Roman" w:hAnsi="Times New Roman"/>
                <w:sz w:val="24"/>
              </w:rPr>
            </w:pPr>
            <w:r>
              <w:rPr>
                <w:rFonts w:ascii="Times New Roman" w:hAnsi="Times New Roman"/>
                <w:sz w:val="24"/>
              </w:rPr>
              <w:t>L’exigence de fonds propres calculée selon l’approche TSA et selon l’approche ASA (articles 317 à 319 du CRR) est déclarée.</w:t>
            </w:r>
          </w:p>
          <w:p w:rsidR="00AC6255" w:rsidRPr="00392FFD" w:rsidRDefault="00AC6255" w:rsidP="000B0B09">
            <w:pPr>
              <w:autoSpaceDE w:val="0"/>
              <w:autoSpaceDN w:val="0"/>
              <w:adjustRightInd w:val="0"/>
              <w:spacing w:before="0" w:after="0"/>
              <w:rPr>
                <w:rFonts w:ascii="Times New Roman" w:hAnsi="Times New Roman"/>
                <w:bCs/>
                <w:sz w:val="24"/>
              </w:rPr>
            </w:pPr>
          </w:p>
        </w:tc>
      </w:tr>
      <w:tr w:rsidR="00AC6255" w:rsidRPr="00392FFD" w:rsidTr="000B0B09">
        <w:trPr>
          <w:trHeight w:val="1705"/>
        </w:trPr>
        <w:tc>
          <w:tcPr>
            <w:tcW w:w="985" w:type="dxa"/>
          </w:tcPr>
          <w:p w:rsidR="00AC6255" w:rsidRPr="00392FFD" w:rsidRDefault="00AC6255" w:rsidP="000F70EC">
            <w:pPr>
              <w:autoSpaceDE w:val="0"/>
              <w:autoSpaceDN w:val="0"/>
              <w:adjustRightInd w:val="0"/>
              <w:spacing w:before="0" w:after="0"/>
              <w:rPr>
                <w:rFonts w:ascii="Times New Roman" w:hAnsi="Times New Roman"/>
                <w:bCs/>
                <w:sz w:val="24"/>
              </w:rPr>
            </w:pPr>
            <w:r>
              <w:rPr>
                <w:rFonts w:ascii="Times New Roman" w:hAnsi="Times New Roman"/>
                <w:sz w:val="24"/>
              </w:rPr>
              <w:t>030-100</w:t>
            </w:r>
          </w:p>
        </w:tc>
        <w:tc>
          <w:tcPr>
            <w:tcW w:w="7877" w:type="dxa"/>
          </w:tcPr>
          <w:p w:rsidR="00AC6255" w:rsidRPr="00392FFD" w:rsidRDefault="00AC6255" w:rsidP="000B0B09">
            <w:pPr>
              <w:rPr>
                <w:rStyle w:val="InstructionsTabelleberschrift"/>
                <w:rFonts w:ascii="Times New Roman" w:hAnsi="Times New Roman"/>
                <w:sz w:val="24"/>
              </w:rPr>
            </w:pPr>
            <w:r>
              <w:rPr>
                <w:rStyle w:val="InstructionsTabelleberschrift"/>
                <w:rFonts w:ascii="Times New Roman" w:hAnsi="Times New Roman"/>
                <w:sz w:val="24"/>
              </w:rPr>
              <w:t>EN APPROCHE STANDARD (TSA):</w:t>
            </w:r>
          </w:p>
          <w:p w:rsidR="00AC6255" w:rsidRPr="00392FFD" w:rsidRDefault="00AC6255" w:rsidP="00A95FD0">
            <w:pPr>
              <w:autoSpaceDE w:val="0"/>
              <w:autoSpaceDN w:val="0"/>
              <w:adjustRightInd w:val="0"/>
              <w:spacing w:before="0" w:after="0"/>
              <w:jc w:val="left"/>
              <w:rPr>
                <w:rFonts w:ascii="Times New Roman" w:hAnsi="Times New Roman"/>
                <w:bCs/>
                <w:sz w:val="24"/>
              </w:rPr>
            </w:pPr>
            <w:r>
              <w:rPr>
                <w:rFonts w:ascii="Times New Roman" w:hAnsi="Times New Roman"/>
                <w:sz w:val="24"/>
              </w:rPr>
              <w:t>Dans le cas de l’utilisation de l’approche TSA, l’indicateur pertinent pour chaque exercice respectif sera réparti, dans les lignes 030 à 100, entre les diff</w:t>
            </w:r>
            <w:r>
              <w:rPr>
                <w:rFonts w:ascii="Times New Roman" w:hAnsi="Times New Roman"/>
                <w:sz w:val="24"/>
              </w:rPr>
              <w:t>é</w:t>
            </w:r>
            <w:r>
              <w:rPr>
                <w:rFonts w:ascii="Times New Roman" w:hAnsi="Times New Roman"/>
                <w:sz w:val="24"/>
              </w:rPr>
              <w:t>rentes lignes d’activité définies à l’article 317, tableau 2, du CRR. La mise en correspondance des activités avec les lignes d’activité doit suivre les principes énoncés à l’article 318 du CRR.</w:t>
            </w:r>
          </w:p>
        </w:tc>
      </w:tr>
      <w:tr w:rsidR="00AC6255" w:rsidRPr="00392FFD" w:rsidTr="000B0B09">
        <w:tc>
          <w:tcPr>
            <w:tcW w:w="985" w:type="dxa"/>
          </w:tcPr>
          <w:p w:rsidR="00AC6255" w:rsidRPr="00392FFD" w:rsidRDefault="00AC6255" w:rsidP="000F70EC">
            <w:pPr>
              <w:autoSpaceDE w:val="0"/>
              <w:autoSpaceDN w:val="0"/>
              <w:adjustRightInd w:val="0"/>
              <w:spacing w:before="0" w:after="0"/>
              <w:rPr>
                <w:rFonts w:ascii="Times New Roman" w:hAnsi="Times New Roman"/>
                <w:bCs/>
                <w:sz w:val="24"/>
              </w:rPr>
            </w:pPr>
            <w:r>
              <w:rPr>
                <w:rFonts w:ascii="Times New Roman" w:hAnsi="Times New Roman"/>
                <w:sz w:val="24"/>
              </w:rPr>
              <w:t>110-120</w:t>
            </w:r>
          </w:p>
        </w:tc>
        <w:tc>
          <w:tcPr>
            <w:tcW w:w="7877" w:type="dxa"/>
          </w:tcPr>
          <w:p w:rsidR="00AC6255" w:rsidRPr="00392FFD" w:rsidRDefault="00AC6255" w:rsidP="000B0B09">
            <w:pPr>
              <w:autoSpaceDE w:val="0"/>
              <w:autoSpaceDN w:val="0"/>
              <w:adjustRightInd w:val="0"/>
              <w:spacing w:before="0" w:after="0"/>
              <w:jc w:val="left"/>
              <w:rPr>
                <w:rStyle w:val="InstructionsTabelleberschrift"/>
                <w:rFonts w:ascii="Times New Roman" w:hAnsi="Times New Roman"/>
                <w:sz w:val="24"/>
              </w:rPr>
            </w:pPr>
            <w:r>
              <w:rPr>
                <w:rStyle w:val="InstructionsTabelleberschrift"/>
                <w:rFonts w:ascii="Times New Roman" w:hAnsi="Times New Roman"/>
                <w:sz w:val="24"/>
              </w:rPr>
              <w:t>EN APPROCHE STANDARD DE REMPLACEMENT (ASA):</w:t>
            </w:r>
          </w:p>
          <w:p w:rsidR="00AC6255" w:rsidRPr="00392FFD" w:rsidRDefault="00AC6255" w:rsidP="000B0B09">
            <w:pPr>
              <w:rPr>
                <w:rFonts w:ascii="Times New Roman" w:hAnsi="Times New Roman"/>
                <w:sz w:val="24"/>
              </w:rPr>
            </w:pPr>
            <w:r>
              <w:rPr>
                <w:rFonts w:ascii="Times New Roman" w:hAnsi="Times New Roman"/>
                <w:sz w:val="24"/>
              </w:rPr>
              <w:t>Les établissements qui utilisent l'approche ASA (article 319 du CRR) décl</w:t>
            </w:r>
            <w:r>
              <w:rPr>
                <w:rFonts w:ascii="Times New Roman" w:hAnsi="Times New Roman"/>
                <w:sz w:val="24"/>
              </w:rPr>
              <w:t>a</w:t>
            </w:r>
            <w:r>
              <w:rPr>
                <w:rFonts w:ascii="Times New Roman" w:hAnsi="Times New Roman"/>
                <w:sz w:val="24"/>
              </w:rPr>
              <w:t>rent, pour les exercices respectifs, l'indicateur pertinent séparément pour chaque ligne d'activité dans les lignes 030 à 050 et 080 à 100, et dans les lignes 110 et 120 pour les lignes d'activité «banque commerciale» et «banque de d</w:t>
            </w:r>
            <w:r>
              <w:rPr>
                <w:rFonts w:ascii="Times New Roman" w:hAnsi="Times New Roman"/>
                <w:sz w:val="24"/>
              </w:rPr>
              <w:t>é</w:t>
            </w:r>
            <w:r>
              <w:rPr>
                <w:rFonts w:ascii="Times New Roman" w:hAnsi="Times New Roman"/>
                <w:sz w:val="24"/>
              </w:rPr>
              <w:t xml:space="preserve">tail». </w:t>
            </w:r>
          </w:p>
          <w:p w:rsidR="00AC6255" w:rsidRPr="00392FFD" w:rsidRDefault="00AC6255" w:rsidP="000B0B09">
            <w:pPr>
              <w:autoSpaceDE w:val="0"/>
              <w:autoSpaceDN w:val="0"/>
              <w:adjustRightInd w:val="0"/>
              <w:spacing w:before="0" w:after="0"/>
              <w:rPr>
                <w:rFonts w:ascii="Times New Roman" w:hAnsi="Times New Roman"/>
                <w:bCs/>
                <w:sz w:val="24"/>
              </w:rPr>
            </w:pPr>
            <w:r>
              <w:rPr>
                <w:rStyle w:val="InstructionsTabelleText"/>
                <w:rFonts w:ascii="Times New Roman" w:hAnsi="Times New Roman"/>
                <w:sz w:val="24"/>
              </w:rPr>
              <w:t xml:space="preserve">Les lignes 110 et 120 indiqueront le montant de </w:t>
            </w:r>
            <w:r>
              <w:rPr>
                <w:rFonts w:ascii="Times New Roman" w:hAnsi="Times New Roman"/>
                <w:sz w:val="24"/>
              </w:rPr>
              <w:t xml:space="preserve">l'indicateur pertinent </w:t>
            </w:r>
            <w:r>
              <w:rPr>
                <w:rStyle w:val="InstructionsTabelleText"/>
                <w:rFonts w:ascii="Times New Roman" w:hAnsi="Times New Roman"/>
                <w:sz w:val="24"/>
              </w:rPr>
              <w:t>des act</w:t>
            </w:r>
            <w:r>
              <w:rPr>
                <w:rStyle w:val="InstructionsTabelleText"/>
                <w:rFonts w:ascii="Times New Roman" w:hAnsi="Times New Roman"/>
                <w:sz w:val="24"/>
              </w:rPr>
              <w:t>i</w:t>
            </w:r>
            <w:r>
              <w:rPr>
                <w:rStyle w:val="InstructionsTabelleText"/>
                <w:rFonts w:ascii="Times New Roman" w:hAnsi="Times New Roman"/>
                <w:sz w:val="24"/>
              </w:rPr>
              <w:lastRenderedPageBreak/>
              <w:t>vités soumises à l'approche ASA, en opérant une distinction entre celles co</w:t>
            </w:r>
            <w:r>
              <w:rPr>
                <w:rStyle w:val="InstructionsTabelleText"/>
                <w:rFonts w:ascii="Times New Roman" w:hAnsi="Times New Roman"/>
                <w:sz w:val="24"/>
              </w:rPr>
              <w:t>r</w:t>
            </w:r>
            <w:r>
              <w:rPr>
                <w:rStyle w:val="InstructionsTabelleText"/>
                <w:rFonts w:ascii="Times New Roman" w:hAnsi="Times New Roman"/>
                <w:sz w:val="24"/>
              </w:rPr>
              <w:t xml:space="preserve">respondant à la «banque commerciale» et celles correspondant à la «banque de détail» (article 319 </w:t>
            </w:r>
            <w:r>
              <w:rPr>
                <w:rFonts w:ascii="Times New Roman" w:hAnsi="Times New Roman"/>
                <w:sz w:val="24"/>
              </w:rPr>
              <w:t>du CRR</w:t>
            </w:r>
            <w:r>
              <w:rPr>
                <w:rStyle w:val="InstructionsTabelleText"/>
                <w:rFonts w:ascii="Times New Roman" w:hAnsi="Times New Roman"/>
                <w:sz w:val="24"/>
              </w:rPr>
              <w:t>). Des montants peuvent figurer aux lignes corre</w:t>
            </w:r>
            <w:r>
              <w:rPr>
                <w:rStyle w:val="InstructionsTabelleText"/>
                <w:rFonts w:ascii="Times New Roman" w:hAnsi="Times New Roman"/>
                <w:sz w:val="24"/>
              </w:rPr>
              <w:t>s</w:t>
            </w:r>
            <w:r>
              <w:rPr>
                <w:rStyle w:val="InstructionsTabelleText"/>
                <w:rFonts w:ascii="Times New Roman" w:hAnsi="Times New Roman"/>
                <w:sz w:val="24"/>
              </w:rPr>
              <w:t>pondant à la «banque commerciale» et à la «banque de détail», non seulement avec l'approche TSA (lignes 060 et 070), mais également avec l'approche ASA (lignes 110 et 120), par exemple si une filiale est soumise à l'approche TSA alors que l'entreprise mère est soumise à l'approche ASA.</w:t>
            </w:r>
          </w:p>
        </w:tc>
      </w:tr>
      <w:tr w:rsidR="00AC6255" w:rsidRPr="00392FFD" w:rsidTr="000B0B09">
        <w:tc>
          <w:tcPr>
            <w:tcW w:w="985" w:type="dxa"/>
          </w:tcPr>
          <w:p w:rsidR="00AC6255" w:rsidRPr="00392FFD" w:rsidRDefault="00AC6255" w:rsidP="000B0B09">
            <w:pPr>
              <w:autoSpaceDE w:val="0"/>
              <w:autoSpaceDN w:val="0"/>
              <w:adjustRightInd w:val="0"/>
              <w:spacing w:before="0" w:after="0"/>
              <w:rPr>
                <w:rFonts w:ascii="Times New Roman" w:hAnsi="Times New Roman"/>
                <w:bCs/>
                <w:sz w:val="24"/>
              </w:rPr>
            </w:pPr>
            <w:r>
              <w:rPr>
                <w:rFonts w:ascii="Times New Roman" w:hAnsi="Times New Roman"/>
                <w:sz w:val="24"/>
              </w:rPr>
              <w:lastRenderedPageBreak/>
              <w:t>130</w:t>
            </w:r>
          </w:p>
        </w:tc>
        <w:tc>
          <w:tcPr>
            <w:tcW w:w="7877" w:type="dxa"/>
          </w:tcPr>
          <w:p w:rsidR="00AC6255" w:rsidRPr="00392FFD" w:rsidRDefault="00AC6255" w:rsidP="000B0B09">
            <w:pPr>
              <w:autoSpaceDE w:val="0"/>
              <w:autoSpaceDN w:val="0"/>
              <w:adjustRightInd w:val="0"/>
              <w:spacing w:before="0" w:after="0"/>
              <w:rPr>
                <w:rStyle w:val="InstructionsTabelleberschrift"/>
                <w:rFonts w:ascii="Times New Roman" w:hAnsi="Times New Roman"/>
                <w:sz w:val="24"/>
              </w:rPr>
            </w:pPr>
            <w:r>
              <w:rPr>
                <w:rStyle w:val="InstructionsTabelleberschrift"/>
                <w:rFonts w:ascii="Times New Roman" w:hAnsi="Times New Roman"/>
                <w:sz w:val="24"/>
              </w:rPr>
              <w:t>ACTIVITÉS BANCAIRES EN APPROCHE PAR MESURE AVANCÉE (AMA)</w:t>
            </w:r>
          </w:p>
          <w:p w:rsidR="00AC6255" w:rsidRPr="00392FFD" w:rsidRDefault="00AC6255" w:rsidP="000B0B09">
            <w:pPr>
              <w:autoSpaceDE w:val="0"/>
              <w:autoSpaceDN w:val="0"/>
              <w:adjustRightInd w:val="0"/>
              <w:spacing w:before="0" w:after="0"/>
              <w:rPr>
                <w:rFonts w:ascii="Times New Roman" w:hAnsi="Times New Roman"/>
                <w:bCs/>
                <w:sz w:val="24"/>
              </w:rPr>
            </w:pPr>
          </w:p>
          <w:p w:rsidR="00AC6255" w:rsidRPr="00392FFD" w:rsidRDefault="00AC6255" w:rsidP="000B0B09">
            <w:pPr>
              <w:autoSpaceDE w:val="0"/>
              <w:autoSpaceDN w:val="0"/>
              <w:adjustRightInd w:val="0"/>
              <w:spacing w:before="0" w:after="0"/>
              <w:rPr>
                <w:rFonts w:ascii="Times New Roman" w:hAnsi="Times New Roman"/>
                <w:sz w:val="24"/>
              </w:rPr>
            </w:pPr>
            <w:r>
              <w:rPr>
                <w:rFonts w:ascii="Times New Roman" w:hAnsi="Times New Roman"/>
                <w:sz w:val="24"/>
              </w:rPr>
              <w:t xml:space="preserve">Les données pertinentes pour les établissements appliquant l’approche AMA (article 312, point 2, et articles 321 à 323 du CRR) sont déclarées. </w:t>
            </w:r>
          </w:p>
          <w:p w:rsidR="00AC6255" w:rsidRPr="00392FFD" w:rsidRDefault="00AC6255" w:rsidP="000B0B09">
            <w:pPr>
              <w:autoSpaceDE w:val="0"/>
              <w:autoSpaceDN w:val="0"/>
              <w:adjustRightInd w:val="0"/>
              <w:spacing w:before="0" w:after="0"/>
              <w:rPr>
                <w:rFonts w:ascii="Times New Roman" w:hAnsi="Times New Roman"/>
                <w:sz w:val="24"/>
              </w:rPr>
            </w:pPr>
          </w:p>
          <w:p w:rsidR="00AC6255" w:rsidRPr="00392FFD" w:rsidRDefault="00AC6255" w:rsidP="000B0B09">
            <w:pPr>
              <w:autoSpaceDE w:val="0"/>
              <w:autoSpaceDN w:val="0"/>
              <w:adjustRightInd w:val="0"/>
              <w:spacing w:before="0" w:after="0"/>
              <w:rPr>
                <w:rFonts w:ascii="Times New Roman" w:hAnsi="Times New Roman"/>
                <w:sz w:val="24"/>
              </w:rPr>
            </w:pPr>
            <w:r>
              <w:rPr>
                <w:rFonts w:ascii="Times New Roman" w:hAnsi="Times New Roman"/>
                <w:sz w:val="24"/>
              </w:rPr>
              <w:t>En cas d’utilisation combinée de différentes approches, comme indiqué à l’article 314 du CRR, les informations sur l’indicateur pertinent pour les activ</w:t>
            </w:r>
            <w:r>
              <w:rPr>
                <w:rFonts w:ascii="Times New Roman" w:hAnsi="Times New Roman"/>
                <w:sz w:val="24"/>
              </w:rPr>
              <w:t>i</w:t>
            </w:r>
            <w:r>
              <w:rPr>
                <w:rFonts w:ascii="Times New Roman" w:hAnsi="Times New Roman"/>
                <w:sz w:val="24"/>
              </w:rPr>
              <w:t>tés soumises à l’approche AMA seront déclarées. Il en va de même pour toutes les autres banques qui appliquent les approches AMA.</w:t>
            </w:r>
          </w:p>
          <w:p w:rsidR="00AC6255" w:rsidRPr="00392FFD" w:rsidRDefault="00AC6255" w:rsidP="000B0B09">
            <w:pPr>
              <w:autoSpaceDE w:val="0"/>
              <w:autoSpaceDN w:val="0"/>
              <w:adjustRightInd w:val="0"/>
              <w:spacing w:before="0" w:after="0"/>
              <w:rPr>
                <w:rFonts w:ascii="Times New Roman" w:hAnsi="Times New Roman"/>
                <w:bCs/>
                <w:sz w:val="24"/>
              </w:rPr>
            </w:pPr>
          </w:p>
        </w:tc>
      </w:tr>
    </w:tbl>
    <w:p w:rsidR="00AC6255" w:rsidRPr="00321A3B" w:rsidRDefault="00AC6255" w:rsidP="00AC6255">
      <w:pPr>
        <w:pStyle w:val="PlainText"/>
        <w:jc w:val="both"/>
        <w:rPr>
          <w:rFonts w:ascii="Times New Roman" w:hAnsi="Times New Roman"/>
          <w:sz w:val="24"/>
          <w:szCs w:val="24"/>
        </w:rPr>
      </w:pPr>
    </w:p>
    <w:p w:rsidR="00AC6255" w:rsidRPr="00392FFD" w:rsidRDefault="00AC6255" w:rsidP="00AC6255">
      <w:pPr>
        <w:rPr>
          <w:rFonts w:ascii="Times New Roman" w:hAnsi="Times New Roman"/>
          <w:sz w:val="24"/>
        </w:rPr>
      </w:pPr>
    </w:p>
    <w:p w:rsidR="00FD54FC" w:rsidRPr="00321A3B" w:rsidRDefault="00125707" w:rsidP="0023700C">
      <w:pPr>
        <w:pStyle w:val="Instructionsberschrift2"/>
        <w:numPr>
          <w:ilvl w:val="0"/>
          <w:numId w:val="0"/>
        </w:numPr>
        <w:ind w:left="357" w:hanging="357"/>
        <w:rPr>
          <w:rFonts w:ascii="Times New Roman" w:hAnsi="Times New Roman" w:cs="Times New Roman"/>
          <w:sz w:val="24"/>
        </w:rPr>
      </w:pPr>
      <w:bookmarkStart w:id="452" w:name="_Toc473560939"/>
      <w:bookmarkStart w:id="453" w:name="_Toc473560940"/>
      <w:bookmarkStart w:id="454" w:name="_Toc473560941"/>
      <w:bookmarkStart w:id="455" w:name="_Toc473560942"/>
      <w:bookmarkStart w:id="456" w:name="_Toc473560943"/>
      <w:bookmarkStart w:id="457" w:name="_Toc473560944"/>
      <w:bookmarkStart w:id="458" w:name="_Toc473560945"/>
      <w:bookmarkStart w:id="459" w:name="_Toc473560946"/>
      <w:bookmarkStart w:id="460" w:name="_Toc473560947"/>
      <w:bookmarkStart w:id="461" w:name="_Toc473560948"/>
      <w:bookmarkStart w:id="462" w:name="_Toc473560949"/>
      <w:bookmarkStart w:id="463" w:name="_Toc473560950"/>
      <w:bookmarkStart w:id="464" w:name="_Toc473560951"/>
      <w:bookmarkStart w:id="465" w:name="_Toc473560952"/>
      <w:bookmarkStart w:id="466" w:name="_Toc473560953"/>
      <w:bookmarkStart w:id="467" w:name="_Toc473560954"/>
      <w:bookmarkStart w:id="468" w:name="_Toc473560955"/>
      <w:bookmarkStart w:id="469" w:name="_Toc473560956"/>
      <w:bookmarkStart w:id="470" w:name="_Toc473560957"/>
      <w:bookmarkStart w:id="471" w:name="_Toc473560958"/>
      <w:bookmarkStart w:id="472" w:name="_Toc473560959"/>
      <w:bookmarkStart w:id="473" w:name="_Toc473560960"/>
      <w:bookmarkStart w:id="474" w:name="_Toc473560961"/>
      <w:bookmarkStart w:id="475" w:name="_Toc473560962"/>
      <w:bookmarkStart w:id="476" w:name="_Toc473560963"/>
      <w:bookmarkStart w:id="477" w:name="_Toc473560964"/>
      <w:bookmarkStart w:id="478" w:name="_Toc473560965"/>
      <w:bookmarkStart w:id="479" w:name="_Toc473560966"/>
      <w:bookmarkStart w:id="480" w:name="_Toc473560967"/>
      <w:bookmarkStart w:id="481" w:name="_Toc473560968"/>
      <w:bookmarkStart w:id="482" w:name="_Toc473560969"/>
      <w:bookmarkStart w:id="483" w:name="_Toc473560970"/>
      <w:bookmarkStart w:id="484" w:name="_Toc473560989"/>
      <w:bookmarkStart w:id="485" w:name="_Toc473560990"/>
      <w:bookmarkStart w:id="486" w:name="_Toc473561022"/>
      <w:bookmarkStart w:id="487" w:name="_Toc473561023"/>
      <w:bookmarkStart w:id="488" w:name="_Toc496022334"/>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r>
        <w:rPr>
          <w:rFonts w:ascii="Times New Roman" w:hAnsi="Times New Roman"/>
          <w:sz w:val="24"/>
          <w:u w:val="none"/>
        </w:rPr>
        <w:t>4.2.</w:t>
      </w:r>
      <w:r>
        <w:tab/>
      </w:r>
      <w:r>
        <w:rPr>
          <w:rFonts w:ascii="Times New Roman" w:hAnsi="Times New Roman"/>
          <w:sz w:val="24"/>
        </w:rPr>
        <w:t>Risque opérationnel: Informations détaillées sur les pertes au cours de l’exercice passé (OPR DETAILS)</w:t>
      </w:r>
      <w:bookmarkEnd w:id="487"/>
      <w:bookmarkEnd w:id="488"/>
    </w:p>
    <w:p w:rsidR="00FD54FC" w:rsidRPr="00321A3B" w:rsidRDefault="00125707" w:rsidP="0023700C">
      <w:pPr>
        <w:pStyle w:val="Instructionsberschrift2"/>
        <w:numPr>
          <w:ilvl w:val="0"/>
          <w:numId w:val="0"/>
        </w:numPr>
        <w:ind w:left="357" w:hanging="357"/>
        <w:rPr>
          <w:rFonts w:ascii="Times New Roman" w:hAnsi="Times New Roman" w:cs="Times New Roman"/>
          <w:sz w:val="24"/>
        </w:rPr>
      </w:pPr>
      <w:bookmarkStart w:id="489" w:name="_Toc473561024"/>
      <w:bookmarkStart w:id="490" w:name="_Toc496022335"/>
      <w:r>
        <w:rPr>
          <w:rFonts w:ascii="Times New Roman" w:hAnsi="Times New Roman"/>
          <w:sz w:val="24"/>
          <w:u w:val="none"/>
        </w:rPr>
        <w:t>4.2.1.</w:t>
      </w:r>
      <w:r>
        <w:tab/>
      </w:r>
      <w:r>
        <w:rPr>
          <w:rFonts w:ascii="Times New Roman" w:hAnsi="Times New Roman"/>
          <w:sz w:val="24"/>
        </w:rPr>
        <w:t>Remarques générales</w:t>
      </w:r>
      <w:bookmarkEnd w:id="489"/>
      <w:bookmarkEnd w:id="490"/>
    </w:p>
    <w:p w:rsidR="00FD54FC" w:rsidRPr="00392FFD" w:rsidRDefault="00125707" w:rsidP="0023700C">
      <w:pPr>
        <w:pStyle w:val="InstructionsText2"/>
        <w:numPr>
          <w:ilvl w:val="0"/>
          <w:numId w:val="0"/>
        </w:numPr>
        <w:ind w:left="1353" w:hanging="360"/>
      </w:pPr>
      <w:r>
        <w:t>120.</w:t>
      </w:r>
      <w:r>
        <w:tab/>
        <w:t>Le modèle C 17.01 (OPR DETAILS 1) synthétise les informations sur les pertes brutes et les recouvrements de pertes enregistrés par un établissement au cours du dernier exercice en fonction du type d’événement et de la ligne d’activité. Le modèle C 17.02 (OPR DETAILS 2) fournit des informations d</w:t>
      </w:r>
      <w:r>
        <w:t>é</w:t>
      </w:r>
      <w:r>
        <w:t xml:space="preserve">taillées sur les évènements de perte les plus importants du dernier exercice. </w:t>
      </w:r>
    </w:p>
    <w:p w:rsidR="00FD54FC" w:rsidRPr="00392FFD" w:rsidRDefault="00125707" w:rsidP="0023700C">
      <w:pPr>
        <w:pStyle w:val="InstructionsText2"/>
        <w:numPr>
          <w:ilvl w:val="0"/>
          <w:numId w:val="0"/>
        </w:numPr>
        <w:ind w:left="1353" w:hanging="360"/>
      </w:pPr>
      <w:r>
        <w:t>121.</w:t>
      </w:r>
      <w:r>
        <w:tab/>
        <w:t>Les pertes pour risque opérationnel qui sont en rapport avec le risque de crédit et sont soumises aux exigences de fonds propres pour risque de crédit (évèn</w:t>
      </w:r>
      <w:r>
        <w:t>e</w:t>
      </w:r>
      <w:r>
        <w:t>ments de risque opérationnel à la limite avec le risque de crédit) ne sont prises en considération ni dans le modèle C 17.01 ni dans le modèle C 17.02</w:t>
      </w:r>
    </w:p>
    <w:p w:rsidR="00FD54FC" w:rsidRPr="00392FFD" w:rsidRDefault="00125707" w:rsidP="0023700C">
      <w:pPr>
        <w:pStyle w:val="InstructionsText2"/>
        <w:numPr>
          <w:ilvl w:val="0"/>
          <w:numId w:val="0"/>
        </w:numPr>
        <w:ind w:left="1353" w:hanging="360"/>
      </w:pPr>
      <w:r>
        <w:t>122.</w:t>
      </w:r>
      <w:r>
        <w:tab/>
        <w:t>En cas d’utilisation combinée de différentes approches pour le calcul des ex</w:t>
      </w:r>
      <w:r>
        <w:t>i</w:t>
      </w:r>
      <w:r>
        <w:t>gences de fonds propres pour risque opérationnel conformément à l’article 314 du CRR, les pertes et recouvrements enregistrés par un établissement seront d</w:t>
      </w:r>
      <w:r>
        <w:t>é</w:t>
      </w:r>
      <w:r>
        <w:t>clarés dans les modèles C 17.01 et C 17.02 quelle que soit l’approche utilisée pour le calcul des exigences de fonds propres.</w:t>
      </w:r>
    </w:p>
    <w:p w:rsidR="00FD54FC" w:rsidRPr="00392FFD" w:rsidRDefault="00125707" w:rsidP="0023700C">
      <w:pPr>
        <w:pStyle w:val="InstructionsText2"/>
        <w:numPr>
          <w:ilvl w:val="0"/>
          <w:numId w:val="0"/>
        </w:numPr>
        <w:ind w:left="1353" w:hanging="360"/>
      </w:pPr>
      <w:r>
        <w:t>123.</w:t>
      </w:r>
      <w:r>
        <w:tab/>
        <w:t>Par «perte brute», on entend une perte résultant d'un événement ou type d'év</w:t>
      </w:r>
      <w:r>
        <w:t>é</w:t>
      </w:r>
      <w:r>
        <w:t>nement de risque opérationnel [tel que visé à l'article 322, paragraphe 3, point b), du règlement (UE) nº 575/2013] avant tout type de recouvrement, sans pr</w:t>
      </w:r>
      <w:r>
        <w:t>é</w:t>
      </w:r>
      <w:r>
        <w:t xml:space="preserve">judice des «évènements de perte rapidement recouvrés» définis plus bas. </w:t>
      </w:r>
    </w:p>
    <w:p w:rsidR="00FD54FC" w:rsidRPr="00392FFD" w:rsidRDefault="00125707" w:rsidP="0023700C">
      <w:pPr>
        <w:pStyle w:val="InstructionsText2"/>
        <w:numPr>
          <w:ilvl w:val="0"/>
          <w:numId w:val="0"/>
        </w:numPr>
        <w:ind w:left="1353" w:hanging="360"/>
      </w:pPr>
      <w:r>
        <w:t>124.</w:t>
      </w:r>
      <w:r>
        <w:tab/>
        <w:t xml:space="preserve">Par «recouvrement», on entend un événement indépendant lié à la perte pour risque opérationnel initiale intervenant à un moment distinct, au cours duquel </w:t>
      </w:r>
      <w:r>
        <w:lastRenderedPageBreak/>
        <w:t>des fonds ou des entrées d'avantages économiques sont reçus de la part de pa</w:t>
      </w:r>
      <w:r>
        <w:t>r</w:t>
      </w:r>
      <w:r>
        <w:t>ties prenantes ou de tiers, tels que des assureurs ou d'autres parties. Les reco</w:t>
      </w:r>
      <w:r>
        <w:t>u</w:t>
      </w:r>
      <w:r>
        <w:t>vrements sont répartis entre recouvrements provenant des assurances et autres mécanismes de transfert du risque et recouvrements directs.</w:t>
      </w:r>
    </w:p>
    <w:p w:rsidR="00FD54FC" w:rsidRPr="00392FFD" w:rsidRDefault="00125707" w:rsidP="0023700C">
      <w:pPr>
        <w:pStyle w:val="InstructionsText2"/>
        <w:numPr>
          <w:ilvl w:val="0"/>
          <w:numId w:val="0"/>
        </w:numPr>
        <w:ind w:left="1353" w:hanging="360"/>
      </w:pPr>
      <w:r>
        <w:t>125.</w:t>
      </w:r>
      <w:r>
        <w:tab/>
        <w:t>Par «événements de perte rapidement recouvrés», on entend des événements de risque opérationnel conduisant à des pertes qui sont partiellement ou intégral</w:t>
      </w:r>
      <w:r>
        <w:t>e</w:t>
      </w:r>
      <w:r>
        <w:t>ment recouvrées dans un délai de cinq jours ouvrables. Dans le cas d’un évén</w:t>
      </w:r>
      <w:r>
        <w:t>e</w:t>
      </w:r>
      <w:r>
        <w:t>ment de perte rapidement recouvré, seule la partie non recouvrée d’une perte qui n’est pas intégralement recouvrée (c’est-à-dire la perte nette après reco</w:t>
      </w:r>
      <w:r>
        <w:t>u</w:t>
      </w:r>
      <w:r>
        <w:t>vrement partiel rapide) est incluse dans la définition de la perte brute. En cons</w:t>
      </w:r>
      <w:r>
        <w:t>é</w:t>
      </w:r>
      <w:r>
        <w:t>quence, les événements de perte conduisant à des pertes intégralement reco</w:t>
      </w:r>
      <w:r>
        <w:t>u</w:t>
      </w:r>
      <w:r>
        <w:t>vrées dans un délai de cinq jours ouvrables ne sont pas inclus dans la définition de la perte brute, ni dans la déclaration OPR DETAILS.</w:t>
      </w:r>
    </w:p>
    <w:p w:rsidR="00FD54FC" w:rsidRPr="00392FFD" w:rsidRDefault="00125707" w:rsidP="0023700C">
      <w:pPr>
        <w:pStyle w:val="InstructionsText2"/>
        <w:numPr>
          <w:ilvl w:val="0"/>
          <w:numId w:val="0"/>
        </w:numPr>
        <w:ind w:left="1353" w:hanging="360"/>
      </w:pPr>
      <w:r>
        <w:t>126.</w:t>
      </w:r>
      <w:r>
        <w:tab/>
        <w:t>Par «date de comptabilisation», on entend la date à laquelle une perte ou des réserves/provisions ont été comptabilisées pour la première fois dans le compte de profits et pertes au titre d'une perte de risque opérationnel. Cette date est l</w:t>
      </w:r>
      <w:r>
        <w:t>o</w:t>
      </w:r>
      <w:r>
        <w:t>giquement ultérieure à la «date de survenance» (c'est-à-dire la date à laquelle l'événement de risque opérationnel est survenu ou a initialement débuté) et à la «date de détection» (c'est-à-dire la date à laquelle l'établissement a eu connai</w:t>
      </w:r>
      <w:r>
        <w:t>s</w:t>
      </w:r>
      <w:r>
        <w:t xml:space="preserve">sance de l'événement de risque opérationnel). </w:t>
      </w:r>
    </w:p>
    <w:p w:rsidR="00FD54FC" w:rsidRPr="00392FFD" w:rsidRDefault="00125707" w:rsidP="0023700C">
      <w:pPr>
        <w:pStyle w:val="InstructionsText2"/>
        <w:numPr>
          <w:ilvl w:val="0"/>
          <w:numId w:val="0"/>
        </w:numPr>
        <w:ind w:left="1353" w:hanging="360"/>
      </w:pPr>
      <w:r>
        <w:t>127.</w:t>
      </w:r>
      <w:r>
        <w:tab/>
        <w:t>Les pertes causées par un évènement de risque opérationnel commun ou par des évènements multiples liés à un évènement de risque opérationnel initial e</w:t>
      </w:r>
      <w:r>
        <w:t>n</w:t>
      </w:r>
      <w:r>
        <w:t>gendrant des évènements ou des pertes («évènement-source») seront regro</w:t>
      </w:r>
      <w:r>
        <w:t>u</w:t>
      </w:r>
      <w:r>
        <w:t>pées. Les évènements regroupés seront considérés et déclarés en tant qu’un seul évènement, et les montants de perte brute ou d'ajustements de perte correspo</w:t>
      </w:r>
      <w:r>
        <w:t>n</w:t>
      </w:r>
      <w:r>
        <w:t>dants seront donc additionnés entre eux.</w:t>
      </w:r>
    </w:p>
    <w:p w:rsidR="00FD54FC" w:rsidRPr="00392FFD" w:rsidRDefault="00125707" w:rsidP="0023700C">
      <w:pPr>
        <w:pStyle w:val="InstructionsText2"/>
        <w:numPr>
          <w:ilvl w:val="0"/>
          <w:numId w:val="0"/>
        </w:numPr>
        <w:ind w:left="1353" w:hanging="360"/>
      </w:pPr>
      <w:r>
        <w:t>128.</w:t>
      </w:r>
      <w:r>
        <w:tab/>
        <w:t>Les chiffres déclarés au mois de juin de l’exercice concerné sont les chiffres i</w:t>
      </w:r>
      <w:r>
        <w:t>n</w:t>
      </w:r>
      <w:r>
        <w:t>termédiaires, tandis que les chiffres finaux sont déclarés en décembre. Par co</w:t>
      </w:r>
      <w:r>
        <w:t>n</w:t>
      </w:r>
      <w:r>
        <w:t>séquent, les chiffres de juin ont une période de référence de six mois (c’est-à-dire du 1</w:t>
      </w:r>
      <w:r>
        <w:rPr>
          <w:vertAlign w:val="superscript"/>
        </w:rPr>
        <w:t>er</w:t>
      </w:r>
      <w:r>
        <w:t xml:space="preserve"> janvier au 30 juin de l’année civile) tandis que les chiffres de d</w:t>
      </w:r>
      <w:r>
        <w:t>é</w:t>
      </w:r>
      <w:r>
        <w:t>cembre ont une période de référence de 12 mois (c’est-à-dire du 1</w:t>
      </w:r>
      <w:r>
        <w:rPr>
          <w:vertAlign w:val="superscript"/>
        </w:rPr>
        <w:t>er</w:t>
      </w:r>
      <w:r>
        <w:t xml:space="preserve"> janvier au 31 décembre de l’année civile). Pour les données déclarées en juin comme pour celles de décembre, on entend par «périodes de déclaration de référence préc</w:t>
      </w:r>
      <w:r>
        <w:t>é</w:t>
      </w:r>
      <w:r>
        <w:t>dentes» toutes les périodes de déclaration de référence jusqu’à celle se term</w:t>
      </w:r>
      <w:r>
        <w:t>i</w:t>
      </w:r>
      <w:r>
        <w:t>nant à la fin de l’année civile précédente et y compris cette dernière.</w:t>
      </w:r>
    </w:p>
    <w:p w:rsidR="00FD54FC" w:rsidRPr="00392FFD" w:rsidRDefault="00125707" w:rsidP="0023700C">
      <w:pPr>
        <w:pStyle w:val="InstructionsText2"/>
        <w:numPr>
          <w:ilvl w:val="0"/>
          <w:numId w:val="0"/>
        </w:numPr>
        <w:ind w:left="1353" w:hanging="360"/>
      </w:pPr>
      <w:r>
        <w:t>129.</w:t>
      </w:r>
      <w:r>
        <w:tab/>
        <w:t>Afin de vérifier le respect des conditions prévues à l’article 5, point b) 2) b) i), du présent règlement, les établissements utilisent les dernières statistiques di</w:t>
      </w:r>
      <w:r>
        <w:t>s</w:t>
      </w:r>
      <w:r>
        <w:t>ponibles sur la page web «Supervisory Disclosure» de l’ABE pour obtenir la «somme des totaux des bilans individuels de tous les établissements d’un même État membre». Afin de vérifier le respect des conditions prévues à l’article 5, point b) 2) b) iii), on utilisera le produit intérieur brut aux prix de marché tel que défini à l’annexe A, point 8.89, du règlement (UE) nº 549/2013 du Parl</w:t>
      </w:r>
      <w:r>
        <w:t>e</w:t>
      </w:r>
      <w:r>
        <w:t>ment européen et du Conseil (SEC 2010) et publié par Eurostat pour la préc</w:t>
      </w:r>
      <w:r>
        <w:t>é</w:t>
      </w:r>
      <w:r>
        <w:t>dente année civile.</w:t>
      </w:r>
    </w:p>
    <w:p w:rsidR="00FD54FC" w:rsidRPr="00321A3B" w:rsidRDefault="00125707" w:rsidP="0023700C">
      <w:pPr>
        <w:pStyle w:val="Instructionsberschrift2"/>
        <w:numPr>
          <w:ilvl w:val="0"/>
          <w:numId w:val="0"/>
        </w:numPr>
        <w:ind w:left="357" w:hanging="357"/>
        <w:rPr>
          <w:rFonts w:ascii="Times New Roman" w:hAnsi="Times New Roman" w:cs="Times New Roman"/>
          <w:sz w:val="24"/>
        </w:rPr>
      </w:pPr>
      <w:bookmarkStart w:id="491" w:name="_Toc473561025"/>
      <w:bookmarkStart w:id="492" w:name="_Toc496022336"/>
      <w:r>
        <w:rPr>
          <w:rFonts w:ascii="Times New Roman" w:hAnsi="Times New Roman"/>
          <w:sz w:val="24"/>
          <w:u w:val="none"/>
        </w:rPr>
        <w:lastRenderedPageBreak/>
        <w:t>4.2.2.</w:t>
      </w:r>
      <w:r>
        <w:tab/>
      </w:r>
      <w:r>
        <w:rPr>
          <w:rFonts w:ascii="Times New Roman" w:hAnsi="Times New Roman"/>
          <w:sz w:val="24"/>
        </w:rPr>
        <w:t>C 17.01: Risque opérationnel: pertes et recouvrements par ligne d’activité et type d’événement sur l’exercice passé (OPR DETAILS 1)</w:t>
      </w:r>
      <w:bookmarkEnd w:id="491"/>
      <w:bookmarkEnd w:id="492"/>
    </w:p>
    <w:p w:rsidR="00FD54FC" w:rsidRPr="00321A3B" w:rsidRDefault="00125707" w:rsidP="0023700C">
      <w:pPr>
        <w:pStyle w:val="Instructionsberschrift2"/>
        <w:numPr>
          <w:ilvl w:val="0"/>
          <w:numId w:val="0"/>
        </w:numPr>
        <w:ind w:left="357" w:hanging="357"/>
        <w:rPr>
          <w:rFonts w:ascii="Times New Roman" w:hAnsi="Times New Roman" w:cs="Times New Roman"/>
          <w:sz w:val="24"/>
        </w:rPr>
      </w:pPr>
      <w:bookmarkStart w:id="493" w:name="_Toc473561026"/>
      <w:bookmarkStart w:id="494" w:name="_Toc496022337"/>
      <w:r>
        <w:rPr>
          <w:rFonts w:ascii="Times New Roman" w:hAnsi="Times New Roman"/>
          <w:sz w:val="24"/>
          <w:u w:val="none"/>
        </w:rPr>
        <w:t>4.2.2.1.</w:t>
      </w:r>
      <w:r>
        <w:tab/>
      </w:r>
      <w:r>
        <w:rPr>
          <w:rFonts w:ascii="Times New Roman" w:hAnsi="Times New Roman"/>
          <w:sz w:val="24"/>
        </w:rPr>
        <w:t>Remarques générales</w:t>
      </w:r>
      <w:bookmarkEnd w:id="493"/>
      <w:bookmarkEnd w:id="494"/>
    </w:p>
    <w:p w:rsidR="00FD54FC" w:rsidRPr="00392FFD" w:rsidRDefault="00125707" w:rsidP="0023700C">
      <w:pPr>
        <w:pStyle w:val="InstructionsText2"/>
        <w:numPr>
          <w:ilvl w:val="0"/>
          <w:numId w:val="0"/>
        </w:numPr>
        <w:ind w:left="1353" w:hanging="360"/>
      </w:pPr>
      <w:r>
        <w:t>130.</w:t>
      </w:r>
      <w:r>
        <w:tab/>
        <w:t>Dans le modèle C 17.01, les données sont organisées en répartissant les pertes et les recouvrements qui dépassent certains seuils internes entre les différentes lignes d’activité (définies dans le tableau 2 de l’article 317 du CRR, y compris la ligne d’activité supplémentaire «Éléments d’entreprise» visée à l’article 322, paragraphe 3, point b), du CRR) et entre les différents types d’événements (d</w:t>
      </w:r>
      <w:r>
        <w:t>é</w:t>
      </w:r>
      <w:r>
        <w:t>finis à l’article 324 du CRR), étant entendu que les pertes correspondant à un événement peuvent être réparties entre plusieurs lignes d’activité.</w:t>
      </w:r>
    </w:p>
    <w:p w:rsidR="00FD54FC" w:rsidRPr="00392FFD" w:rsidRDefault="00125707" w:rsidP="0023700C">
      <w:pPr>
        <w:pStyle w:val="InstructionsText2"/>
        <w:numPr>
          <w:ilvl w:val="0"/>
          <w:numId w:val="0"/>
        </w:numPr>
        <w:ind w:left="1353" w:hanging="360"/>
      </w:pPr>
      <w:r>
        <w:t>131.</w:t>
      </w:r>
      <w:r>
        <w:tab/>
        <w:t>Les colonnes présentent les différents types d’événements et les totaux pour chaque ligne d’activité, ainsi qu’un poste pour mémoire qui indique le seuil i</w:t>
      </w:r>
      <w:r>
        <w:t>n</w:t>
      </w:r>
      <w:r>
        <w:t>terne le plus faible appliqué dans le cadre de la collecte des données relatives aux pertes, en mentionnant, pour chaque ligne d’activité, le seuil le plus bas et le seuil le plus élevé, s’il existe plusieurs seuils.</w:t>
      </w:r>
    </w:p>
    <w:p w:rsidR="00FD54FC" w:rsidRPr="00392FFD" w:rsidRDefault="00125707" w:rsidP="0023700C">
      <w:pPr>
        <w:pStyle w:val="InstructionsText2"/>
        <w:numPr>
          <w:ilvl w:val="0"/>
          <w:numId w:val="0"/>
        </w:numPr>
        <w:ind w:left="1353" w:hanging="360"/>
      </w:pPr>
      <w:r>
        <w:t>132.</w:t>
      </w:r>
      <w:r>
        <w:tab/>
        <w:t>Les lignes présentent les lignes d'activité, et pour chacune d’elles, des inform</w:t>
      </w:r>
      <w:r>
        <w:t>a</w:t>
      </w:r>
      <w:r>
        <w:t>tions sur le nombre d'évènements (nouveaux évènements), le montant de perte brute (nouveaux évènements), le nombre d’évènements faisant l’objet d’ajustements de perte, les ajustements de perte relatifs à des périodes de décl</w:t>
      </w:r>
      <w:r>
        <w:t>a</w:t>
      </w:r>
      <w:r>
        <w:t>ration précédentes, la perte individuelle maximale, la somme des cinq pertes les plus élevées et le total des recouvrements de pertes (recouvrements de pertes d</w:t>
      </w:r>
      <w:r>
        <w:t>i</w:t>
      </w:r>
      <w:r>
        <w:t>rects et recouvrements provenant des assurances et autres mécanismes de tran</w:t>
      </w:r>
      <w:r>
        <w:t>s</w:t>
      </w:r>
      <w:r>
        <w:t>fert du risque).</w:t>
      </w:r>
    </w:p>
    <w:p w:rsidR="00FD54FC" w:rsidRPr="00392FFD" w:rsidRDefault="00125707" w:rsidP="0023700C">
      <w:pPr>
        <w:pStyle w:val="InstructionsText2"/>
        <w:numPr>
          <w:ilvl w:val="0"/>
          <w:numId w:val="0"/>
        </w:numPr>
        <w:ind w:left="1353" w:hanging="360"/>
      </w:pPr>
      <w:r>
        <w:t>133.</w:t>
      </w:r>
      <w:r>
        <w:tab/>
        <w:t>Pour l’ensemble des lignes d’activité, des données sur le nombre d’événements et le montant de perte brute sont également exigées pour différentes fourchettes définies à partir de seuils fixes: 10 000, 20 000, 100 000 et 1 000 000. Ces seuils correspondent à des montants en euros et sont donnés afin de permettre une comparaison des pertes déclarées entre les différents établissements; ils ne correspondent donc pas nécessairement aux seuils de perte minimum utilisés dans le cadre de la collecte des données internes concernant les pertes, lesquels sont déclarés dans une autre partie du modèle.</w:t>
      </w:r>
    </w:p>
    <w:p w:rsidR="00FD54FC" w:rsidRPr="00321A3B" w:rsidRDefault="00125707" w:rsidP="0023700C">
      <w:pPr>
        <w:pStyle w:val="Instructionsberschrift2"/>
        <w:numPr>
          <w:ilvl w:val="0"/>
          <w:numId w:val="0"/>
        </w:numPr>
        <w:ind w:left="357" w:hanging="357"/>
        <w:rPr>
          <w:rFonts w:ascii="Times New Roman" w:hAnsi="Times New Roman" w:cs="Times New Roman"/>
          <w:sz w:val="24"/>
        </w:rPr>
      </w:pPr>
      <w:bookmarkStart w:id="495" w:name="_Toc473561027"/>
      <w:bookmarkStart w:id="496" w:name="_Toc496022338"/>
      <w:r>
        <w:rPr>
          <w:rFonts w:ascii="Times New Roman" w:hAnsi="Times New Roman"/>
          <w:sz w:val="24"/>
          <w:u w:val="none"/>
        </w:rPr>
        <w:t>4.2.2.2.</w:t>
      </w:r>
      <w:r>
        <w:tab/>
      </w:r>
      <w:r>
        <w:rPr>
          <w:rFonts w:ascii="Times New Roman" w:hAnsi="Times New Roman"/>
          <w:sz w:val="24"/>
        </w:rPr>
        <w:t>Instructions concernant certaines positions</w:t>
      </w:r>
      <w:bookmarkEnd w:id="495"/>
      <w:bookmarkEnd w:id="4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195"/>
      </w:tblGrid>
      <w:tr w:rsidR="00FD54FC" w:rsidRPr="00392FFD" w:rsidTr="00FD54FC">
        <w:trPr>
          <w:trHeight w:val="576"/>
        </w:trPr>
        <w:tc>
          <w:tcPr>
            <w:tcW w:w="9180" w:type="dxa"/>
            <w:gridSpan w:val="2"/>
            <w:shd w:val="clear" w:color="auto" w:fill="CCCCCC"/>
          </w:tcPr>
          <w:p w:rsidR="00FD54FC" w:rsidRPr="00392FFD" w:rsidRDefault="00FD54FC" w:rsidP="00FD54FC">
            <w:pPr>
              <w:autoSpaceDE w:val="0"/>
              <w:autoSpaceDN w:val="0"/>
              <w:adjustRightInd w:val="0"/>
              <w:spacing w:after="0"/>
              <w:rPr>
                <w:rFonts w:ascii="Times New Roman" w:hAnsi="Times New Roman"/>
                <w:b/>
                <w:bCs/>
                <w:sz w:val="24"/>
              </w:rPr>
            </w:pPr>
            <w:r>
              <w:rPr>
                <w:rFonts w:ascii="Times New Roman" w:hAnsi="Times New Roman"/>
                <w:b/>
                <w:sz w:val="24"/>
              </w:rPr>
              <w:t>Colonnes</w:t>
            </w:r>
          </w:p>
        </w:tc>
      </w:tr>
      <w:tr w:rsidR="00FD54FC" w:rsidRPr="00392FFD" w:rsidTr="00FD54FC">
        <w:tc>
          <w:tcPr>
            <w:tcW w:w="985" w:type="dxa"/>
          </w:tcPr>
          <w:p w:rsidR="00FD54FC" w:rsidRPr="00392FFD" w:rsidRDefault="00FD54FC" w:rsidP="000F70EC">
            <w:pPr>
              <w:autoSpaceDE w:val="0"/>
              <w:autoSpaceDN w:val="0"/>
              <w:adjustRightInd w:val="0"/>
              <w:spacing w:before="0" w:after="0"/>
              <w:rPr>
                <w:rFonts w:ascii="Times New Roman" w:hAnsi="Times New Roman"/>
                <w:bCs/>
                <w:sz w:val="24"/>
              </w:rPr>
            </w:pPr>
            <w:r>
              <w:rPr>
                <w:rFonts w:ascii="Times New Roman" w:hAnsi="Times New Roman"/>
                <w:sz w:val="24"/>
              </w:rPr>
              <w:t>010-070</w:t>
            </w:r>
          </w:p>
        </w:tc>
        <w:tc>
          <w:tcPr>
            <w:tcW w:w="8195" w:type="dxa"/>
          </w:tcPr>
          <w:p w:rsidR="00FD54FC" w:rsidRPr="00392FFD" w:rsidRDefault="00FD54FC" w:rsidP="00FD54FC">
            <w:pPr>
              <w:autoSpaceDE w:val="0"/>
              <w:autoSpaceDN w:val="0"/>
              <w:adjustRightInd w:val="0"/>
              <w:spacing w:before="0" w:after="0"/>
              <w:rPr>
                <w:rStyle w:val="InstructionsTabelleberschrift"/>
                <w:rFonts w:ascii="Times New Roman" w:hAnsi="Times New Roman"/>
                <w:sz w:val="24"/>
              </w:rPr>
            </w:pPr>
            <w:r>
              <w:rPr>
                <w:rStyle w:val="InstructionsTabelleberschrift"/>
                <w:rFonts w:ascii="Times New Roman" w:hAnsi="Times New Roman"/>
                <w:sz w:val="24"/>
              </w:rPr>
              <w:t>TYPES D’ÉVÉNEMENTS</w:t>
            </w:r>
          </w:p>
          <w:p w:rsidR="00FD54FC" w:rsidRPr="00392FFD" w:rsidRDefault="00FD54FC" w:rsidP="00FD54FC">
            <w:pPr>
              <w:rPr>
                <w:rFonts w:ascii="Times New Roman" w:hAnsi="Times New Roman"/>
                <w:sz w:val="24"/>
              </w:rPr>
            </w:pPr>
            <w:r>
              <w:rPr>
                <w:rFonts w:ascii="Times New Roman" w:hAnsi="Times New Roman"/>
                <w:sz w:val="24"/>
              </w:rPr>
              <w:t xml:space="preserve">Les établissements déclarent les pertes dans les colonnes 010 à 070, en fonction des types d’événement, tels que définis à l’article 324 du CRR. </w:t>
            </w:r>
          </w:p>
          <w:p w:rsidR="00FD54FC" w:rsidRPr="00392FFD" w:rsidRDefault="00FD54FC" w:rsidP="00871877">
            <w:pPr>
              <w:rPr>
                <w:rFonts w:ascii="Times New Roman" w:hAnsi="Times New Roman"/>
                <w:bCs/>
                <w:sz w:val="24"/>
              </w:rPr>
            </w:pPr>
            <w:r>
              <w:rPr>
                <w:rFonts w:ascii="Times New Roman" w:hAnsi="Times New Roman"/>
                <w:sz w:val="24"/>
              </w:rPr>
              <w:t>Les établissements qui calculent leurs exigences de fonds propres selon l’approche BIA peuvent déclarer les pertes pour lesquelles le type d’événement n’est pas identifié dans la colonne 080 uniquement.</w:t>
            </w:r>
          </w:p>
        </w:tc>
      </w:tr>
      <w:tr w:rsidR="00FD54FC" w:rsidRPr="00392FFD" w:rsidTr="00FD54FC">
        <w:tc>
          <w:tcPr>
            <w:tcW w:w="985" w:type="dxa"/>
          </w:tcPr>
          <w:p w:rsidR="00FD54FC" w:rsidRPr="00392FFD" w:rsidRDefault="00FD54FC" w:rsidP="00FD54FC">
            <w:pPr>
              <w:autoSpaceDE w:val="0"/>
              <w:autoSpaceDN w:val="0"/>
              <w:adjustRightInd w:val="0"/>
              <w:spacing w:before="0" w:after="0"/>
              <w:rPr>
                <w:rFonts w:ascii="Times New Roman" w:hAnsi="Times New Roman"/>
                <w:bCs/>
                <w:sz w:val="24"/>
              </w:rPr>
            </w:pPr>
            <w:r>
              <w:rPr>
                <w:rFonts w:ascii="Times New Roman" w:hAnsi="Times New Roman"/>
                <w:sz w:val="24"/>
              </w:rPr>
              <w:t>080</w:t>
            </w:r>
          </w:p>
        </w:tc>
        <w:tc>
          <w:tcPr>
            <w:tcW w:w="8195" w:type="dxa"/>
          </w:tcPr>
          <w:p w:rsidR="00FD54FC" w:rsidRPr="00392FFD" w:rsidRDefault="00FD54FC" w:rsidP="00FD54FC">
            <w:pPr>
              <w:autoSpaceDE w:val="0"/>
              <w:autoSpaceDN w:val="0"/>
              <w:adjustRightInd w:val="0"/>
              <w:spacing w:before="0" w:after="0"/>
              <w:rPr>
                <w:rStyle w:val="InstructionsTabelleberschrift"/>
                <w:rFonts w:ascii="Times New Roman" w:hAnsi="Times New Roman"/>
                <w:sz w:val="24"/>
              </w:rPr>
            </w:pPr>
            <w:r>
              <w:rPr>
                <w:rStyle w:val="InstructionsTabelleberschrift"/>
                <w:rFonts w:ascii="Times New Roman" w:hAnsi="Times New Roman"/>
                <w:sz w:val="24"/>
              </w:rPr>
              <w:t>TOTAL TYPES D’ÉVÉNEMENTS</w:t>
            </w:r>
          </w:p>
          <w:p w:rsidR="008D30F0" w:rsidRDefault="00FD54FC" w:rsidP="00FD54FC">
            <w:pPr>
              <w:rPr>
                <w:rStyle w:val="InstructionsTabelleText"/>
                <w:rFonts w:ascii="Times New Roman" w:hAnsi="Times New Roman"/>
                <w:sz w:val="24"/>
              </w:rPr>
            </w:pPr>
            <w:r>
              <w:rPr>
                <w:rStyle w:val="InstructionsTabelleText"/>
                <w:rFonts w:ascii="Times New Roman" w:hAnsi="Times New Roman"/>
                <w:sz w:val="24"/>
              </w:rPr>
              <w:t xml:space="preserve">Dans la colonne 080, pour chaque ligne d’activité, les établissements indiquent le </w:t>
            </w:r>
            <w:r>
              <w:rPr>
                <w:rStyle w:val="InstructionsTabelleText"/>
                <w:rFonts w:ascii="Times New Roman" w:hAnsi="Times New Roman"/>
                <w:sz w:val="24"/>
              </w:rPr>
              <w:lastRenderedPageBreak/>
              <w:t>total des «nombre d'évènements (nouveaux évènements)», le total des «montant de perte brute (nouveaux évènements)», le total des «nombre d’évènements faisant l'objet d'ajustements de perte», le total des «ajustements de perte relatifs à des p</w:t>
            </w:r>
            <w:r>
              <w:rPr>
                <w:rStyle w:val="InstructionsTabelleText"/>
                <w:rFonts w:ascii="Times New Roman" w:hAnsi="Times New Roman"/>
                <w:sz w:val="24"/>
              </w:rPr>
              <w:t>é</w:t>
            </w:r>
            <w:r>
              <w:rPr>
                <w:rStyle w:val="InstructionsTabelleText"/>
                <w:rFonts w:ascii="Times New Roman" w:hAnsi="Times New Roman"/>
                <w:sz w:val="24"/>
              </w:rPr>
              <w:t>riodes de déclaration précédentes», la «perte individuelle maximale», la «somme des cinq pertes les plus élevées», le total des «recouvrements de pertes directs t</w:t>
            </w:r>
            <w:r>
              <w:rPr>
                <w:rStyle w:val="InstructionsTabelleText"/>
                <w:rFonts w:ascii="Times New Roman" w:hAnsi="Times New Roman"/>
                <w:sz w:val="24"/>
              </w:rPr>
              <w:t>o</w:t>
            </w:r>
            <w:r>
              <w:rPr>
                <w:rStyle w:val="InstructionsTabelleText"/>
                <w:rFonts w:ascii="Times New Roman" w:hAnsi="Times New Roman"/>
                <w:sz w:val="24"/>
              </w:rPr>
              <w:t>taux» et le total des «recouvrements totaux provenant des assurances et autres m</w:t>
            </w:r>
            <w:r>
              <w:rPr>
                <w:rStyle w:val="InstructionsTabelleText"/>
                <w:rFonts w:ascii="Times New Roman" w:hAnsi="Times New Roman"/>
                <w:sz w:val="24"/>
              </w:rPr>
              <w:t>é</w:t>
            </w:r>
            <w:r>
              <w:rPr>
                <w:rStyle w:val="InstructionsTabelleText"/>
                <w:rFonts w:ascii="Times New Roman" w:hAnsi="Times New Roman"/>
                <w:sz w:val="24"/>
              </w:rPr>
              <w:t>canismes de transfert du risque».</w:t>
            </w:r>
          </w:p>
          <w:p w:rsidR="00FD54FC" w:rsidRPr="00392FFD" w:rsidRDefault="00FD54FC" w:rsidP="00FD54FC">
            <w:pPr>
              <w:rPr>
                <w:rStyle w:val="InstructionsTabelleText"/>
                <w:rFonts w:ascii="Times New Roman" w:hAnsi="Times New Roman"/>
                <w:sz w:val="24"/>
              </w:rPr>
            </w:pPr>
            <w:r>
              <w:rPr>
                <w:rStyle w:val="InstructionsTabelleText"/>
                <w:rFonts w:ascii="Times New Roman" w:hAnsi="Times New Roman"/>
                <w:sz w:val="24"/>
              </w:rPr>
              <w:t>Pour autant que l’établissement ait identifié le type d’évènement pour toutes les pertes, la colonne 080 contient la simple agrégation du nombre d’évènements de perte, les montants de perte brute totaux, les montants de recouvrement de pertes totaux et les «ajustements de perte relatifs à des périodes de déclaration préc</w:t>
            </w:r>
            <w:r>
              <w:rPr>
                <w:rStyle w:val="InstructionsTabelleText"/>
                <w:rFonts w:ascii="Times New Roman" w:hAnsi="Times New Roman"/>
                <w:sz w:val="24"/>
              </w:rPr>
              <w:t>é</w:t>
            </w:r>
            <w:r>
              <w:rPr>
                <w:rStyle w:val="InstructionsTabelleText"/>
                <w:rFonts w:ascii="Times New Roman" w:hAnsi="Times New Roman"/>
                <w:sz w:val="24"/>
              </w:rPr>
              <w:t xml:space="preserve">dentes» déclarés dans les colonnes 010 à 070. </w:t>
            </w:r>
          </w:p>
          <w:p w:rsidR="00FD54FC" w:rsidRPr="00392FFD" w:rsidRDefault="00FD54FC" w:rsidP="00FD54FC">
            <w:pPr>
              <w:rPr>
                <w:rStyle w:val="InstructionsTabelleText"/>
                <w:rFonts w:ascii="Times New Roman" w:hAnsi="Times New Roman"/>
                <w:sz w:val="24"/>
              </w:rPr>
            </w:pPr>
            <w:r>
              <w:rPr>
                <w:rStyle w:val="InstructionsTabelleText"/>
                <w:rFonts w:ascii="Times New Roman" w:hAnsi="Times New Roman"/>
                <w:sz w:val="24"/>
              </w:rPr>
              <w:t>La «perte individuelle maximale» déclarée dans la colonne 080 est la perte indiv</w:t>
            </w:r>
            <w:r>
              <w:rPr>
                <w:rStyle w:val="InstructionsTabelleText"/>
                <w:rFonts w:ascii="Times New Roman" w:hAnsi="Times New Roman"/>
                <w:sz w:val="24"/>
              </w:rPr>
              <w:t>i</w:t>
            </w:r>
            <w:r>
              <w:rPr>
                <w:rStyle w:val="InstructionsTabelleText"/>
                <w:rFonts w:ascii="Times New Roman" w:hAnsi="Times New Roman"/>
                <w:sz w:val="24"/>
              </w:rPr>
              <w:t>duelle maximale au sein d’une ligne d’activité et est égale au maximum des «pertes individuelles maximales» déclarées dans les colonnes 010 à 070, pour a</w:t>
            </w:r>
            <w:r>
              <w:rPr>
                <w:rStyle w:val="InstructionsTabelleText"/>
                <w:rFonts w:ascii="Times New Roman" w:hAnsi="Times New Roman"/>
                <w:sz w:val="24"/>
              </w:rPr>
              <w:t>u</w:t>
            </w:r>
            <w:r>
              <w:rPr>
                <w:rStyle w:val="InstructionsTabelleText"/>
                <w:rFonts w:ascii="Times New Roman" w:hAnsi="Times New Roman"/>
                <w:sz w:val="24"/>
              </w:rPr>
              <w:t xml:space="preserve">tant que l’établissement ait identifié le type d'évènement pour toutes ces pertes. </w:t>
            </w:r>
          </w:p>
          <w:p w:rsidR="00FD54FC" w:rsidRPr="00392FFD" w:rsidRDefault="00FD54FC" w:rsidP="00FD54FC">
            <w:pPr>
              <w:rPr>
                <w:rFonts w:ascii="Times New Roman" w:hAnsi="Times New Roman"/>
                <w:bCs/>
                <w:sz w:val="24"/>
              </w:rPr>
            </w:pPr>
            <w:r>
              <w:rPr>
                <w:rStyle w:val="InstructionsTabelleText"/>
                <w:rFonts w:ascii="Times New Roman" w:hAnsi="Times New Roman"/>
                <w:sz w:val="24"/>
              </w:rPr>
              <w:t>En ce qui concerne la somme des cinq pertes les plus élevées, dans la colonne 080, on déclarera la somme des cinq pertes les plus élevées au sein d’une ligne d’activité.</w:t>
            </w:r>
          </w:p>
        </w:tc>
      </w:tr>
      <w:tr w:rsidR="00FD54FC" w:rsidRPr="00392FFD" w:rsidTr="00FD54FC">
        <w:tc>
          <w:tcPr>
            <w:tcW w:w="985" w:type="dxa"/>
          </w:tcPr>
          <w:p w:rsidR="00FD54FC" w:rsidRPr="00392FFD" w:rsidRDefault="00FD54FC" w:rsidP="000F70EC">
            <w:pPr>
              <w:autoSpaceDE w:val="0"/>
              <w:autoSpaceDN w:val="0"/>
              <w:adjustRightInd w:val="0"/>
              <w:spacing w:before="0" w:after="0"/>
              <w:rPr>
                <w:rFonts w:ascii="Times New Roman" w:hAnsi="Times New Roman"/>
                <w:bCs/>
                <w:sz w:val="24"/>
              </w:rPr>
            </w:pPr>
            <w:r>
              <w:rPr>
                <w:rFonts w:ascii="Times New Roman" w:hAnsi="Times New Roman"/>
                <w:sz w:val="24"/>
              </w:rPr>
              <w:lastRenderedPageBreak/>
              <w:t>090-100</w:t>
            </w:r>
          </w:p>
        </w:tc>
        <w:tc>
          <w:tcPr>
            <w:tcW w:w="8195" w:type="dxa"/>
          </w:tcPr>
          <w:p w:rsidR="00FD54FC" w:rsidRPr="00392FFD" w:rsidRDefault="00FD54FC" w:rsidP="00FD54FC">
            <w:pPr>
              <w:autoSpaceDE w:val="0"/>
              <w:autoSpaceDN w:val="0"/>
              <w:adjustRightInd w:val="0"/>
              <w:spacing w:before="0" w:after="0"/>
              <w:rPr>
                <w:rFonts w:ascii="Times New Roman" w:hAnsi="Times New Roman"/>
                <w:sz w:val="24"/>
              </w:rPr>
            </w:pPr>
            <w:r>
              <w:rPr>
                <w:rStyle w:val="InstructionsTabelleberschrift"/>
                <w:rFonts w:ascii="Times New Roman" w:hAnsi="Times New Roman"/>
                <w:sz w:val="24"/>
              </w:rPr>
              <w:t>POUR MÉMOIRE: SEUIL APPLIQUÉ POUR LA COLLECTE DES DO</w:t>
            </w:r>
            <w:r>
              <w:rPr>
                <w:rStyle w:val="InstructionsTabelleberschrift"/>
                <w:rFonts w:ascii="Times New Roman" w:hAnsi="Times New Roman"/>
                <w:sz w:val="24"/>
              </w:rPr>
              <w:t>N</w:t>
            </w:r>
            <w:r>
              <w:rPr>
                <w:rStyle w:val="InstructionsTabelleberschrift"/>
                <w:rFonts w:ascii="Times New Roman" w:hAnsi="Times New Roman"/>
                <w:sz w:val="24"/>
              </w:rPr>
              <w:t>NÉES</w:t>
            </w:r>
          </w:p>
          <w:p w:rsidR="00FD54FC" w:rsidRPr="00392FFD" w:rsidRDefault="00FD54FC" w:rsidP="00FD54FC">
            <w:pPr>
              <w:autoSpaceDE w:val="0"/>
              <w:autoSpaceDN w:val="0"/>
              <w:adjustRightInd w:val="0"/>
              <w:spacing w:before="0" w:after="0"/>
              <w:rPr>
                <w:rStyle w:val="InstructionsTabelleText"/>
                <w:rFonts w:ascii="Times New Roman" w:hAnsi="Times New Roman"/>
                <w:sz w:val="24"/>
              </w:rPr>
            </w:pPr>
            <w:r>
              <w:rPr>
                <w:rStyle w:val="InstructionsTabelleText"/>
                <w:rFonts w:ascii="Times New Roman" w:hAnsi="Times New Roman"/>
                <w:sz w:val="24"/>
              </w:rPr>
              <w:t>Dans les colonnes 090 et 100, les établissements déclarent les seuils de perte m</w:t>
            </w:r>
            <w:r>
              <w:rPr>
                <w:rStyle w:val="InstructionsTabelleText"/>
                <w:rFonts w:ascii="Times New Roman" w:hAnsi="Times New Roman"/>
                <w:sz w:val="24"/>
              </w:rPr>
              <w:t>i</w:t>
            </w:r>
            <w:r>
              <w:rPr>
                <w:rStyle w:val="InstructionsTabelleText"/>
                <w:rFonts w:ascii="Times New Roman" w:hAnsi="Times New Roman"/>
                <w:sz w:val="24"/>
              </w:rPr>
              <w:t xml:space="preserve">nimum qu'ils utilisent dans le cadre de la collecte des données internes concernant les pertes, conformément à l'article 322, paragraphe 3, point c), dernière phrase, du CRR. </w:t>
            </w:r>
          </w:p>
          <w:p w:rsidR="00FD54FC" w:rsidRPr="00392FFD" w:rsidRDefault="00FD54FC" w:rsidP="00FD54FC">
            <w:pPr>
              <w:autoSpaceDE w:val="0"/>
              <w:autoSpaceDN w:val="0"/>
              <w:adjustRightInd w:val="0"/>
              <w:spacing w:before="0" w:after="0"/>
              <w:rPr>
                <w:rStyle w:val="InstructionsTabelleText"/>
                <w:rFonts w:ascii="Times New Roman" w:hAnsi="Times New Roman"/>
                <w:sz w:val="24"/>
              </w:rPr>
            </w:pPr>
            <w:r>
              <w:rPr>
                <w:rStyle w:val="InstructionsTabelleText"/>
                <w:rFonts w:ascii="Times New Roman" w:hAnsi="Times New Roman"/>
                <w:sz w:val="24"/>
              </w:rPr>
              <w:t xml:space="preserve">Lorsque l’établissement n’applique qu’un seul seuil pour chaque ligne d’activité, seule la colonne 090 sera remplie. </w:t>
            </w:r>
          </w:p>
          <w:p w:rsidR="00FD54FC" w:rsidRPr="00392FFD" w:rsidRDefault="00FD54FC" w:rsidP="00FD54FC">
            <w:pPr>
              <w:autoSpaceDE w:val="0"/>
              <w:autoSpaceDN w:val="0"/>
              <w:adjustRightInd w:val="0"/>
              <w:spacing w:before="0" w:after="0"/>
              <w:rPr>
                <w:rStyle w:val="InstructionsTabelleText"/>
                <w:rFonts w:ascii="Times New Roman" w:hAnsi="Times New Roman"/>
                <w:sz w:val="24"/>
              </w:rPr>
            </w:pPr>
            <w:r>
              <w:rPr>
                <w:rStyle w:val="InstructionsTabelleText"/>
                <w:rFonts w:ascii="Times New Roman" w:hAnsi="Times New Roman"/>
                <w:sz w:val="24"/>
              </w:rPr>
              <w:t>Lorsque plusieurs seuils sont appliqués au sein d’une même ligne d’activité règl</w:t>
            </w:r>
            <w:r>
              <w:rPr>
                <w:rStyle w:val="InstructionsTabelleText"/>
                <w:rFonts w:ascii="Times New Roman" w:hAnsi="Times New Roman"/>
                <w:sz w:val="24"/>
              </w:rPr>
              <w:t>e</w:t>
            </w:r>
            <w:r>
              <w:rPr>
                <w:rStyle w:val="InstructionsTabelleText"/>
                <w:rFonts w:ascii="Times New Roman" w:hAnsi="Times New Roman"/>
                <w:sz w:val="24"/>
              </w:rPr>
              <w:t>mentaire, le seuil applicable le plus élevé (colonne 100) sera également complété.</w:t>
            </w:r>
          </w:p>
        </w:tc>
      </w:tr>
    </w:tbl>
    <w:p w:rsidR="00FD54FC" w:rsidRPr="00321A3B" w:rsidRDefault="00FD54FC" w:rsidP="00FD54FC">
      <w:pPr>
        <w:pStyle w:val="PlainText"/>
        <w:jc w:val="both"/>
        <w:rPr>
          <w:rFonts w:ascii="Times New Roman" w:hAnsi="Times New Roman"/>
          <w:sz w:val="24"/>
          <w:szCs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1"/>
        <w:gridCol w:w="8079"/>
      </w:tblGrid>
      <w:tr w:rsidR="00FD54FC" w:rsidRPr="00321A3B" w:rsidTr="00FD54FC">
        <w:trPr>
          <w:trHeight w:val="504"/>
        </w:trPr>
        <w:tc>
          <w:tcPr>
            <w:tcW w:w="9180" w:type="dxa"/>
            <w:gridSpan w:val="2"/>
            <w:shd w:val="clear" w:color="auto" w:fill="CCCCCC"/>
          </w:tcPr>
          <w:p w:rsidR="00FD54FC" w:rsidRPr="00321A3B" w:rsidRDefault="00FD54FC" w:rsidP="00FD54FC">
            <w:pPr>
              <w:autoSpaceDE w:val="0"/>
              <w:autoSpaceDN w:val="0"/>
              <w:adjustRightInd w:val="0"/>
              <w:spacing w:after="0"/>
              <w:rPr>
                <w:rFonts w:ascii="Times New Roman" w:hAnsi="Times New Roman"/>
                <w:b/>
                <w:bCs/>
                <w:sz w:val="24"/>
              </w:rPr>
            </w:pPr>
            <w:r>
              <w:rPr>
                <w:rFonts w:ascii="Times New Roman" w:hAnsi="Times New Roman"/>
                <w:b/>
                <w:sz w:val="24"/>
              </w:rPr>
              <w:t>Lignes</w:t>
            </w:r>
          </w:p>
        </w:tc>
      </w:tr>
      <w:tr w:rsidR="00FD54FC" w:rsidRPr="00392FFD" w:rsidTr="00FD54FC">
        <w:tc>
          <w:tcPr>
            <w:tcW w:w="1101" w:type="dxa"/>
          </w:tcPr>
          <w:p w:rsidR="00FD54FC" w:rsidRPr="00321A3B" w:rsidRDefault="00FD54FC" w:rsidP="000F70EC">
            <w:pPr>
              <w:rPr>
                <w:rFonts w:ascii="Times New Roman" w:hAnsi="Times New Roman"/>
                <w:bCs/>
                <w:sz w:val="24"/>
              </w:rPr>
            </w:pPr>
            <w:r>
              <w:rPr>
                <w:rFonts w:ascii="Times New Roman" w:hAnsi="Times New Roman"/>
                <w:sz w:val="24"/>
              </w:rPr>
              <w:t>010-880</w:t>
            </w:r>
          </w:p>
        </w:tc>
        <w:tc>
          <w:tcPr>
            <w:tcW w:w="8079" w:type="dxa"/>
          </w:tcPr>
          <w:p w:rsidR="00FD54FC" w:rsidRPr="00321A3B"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LIGNES D’ACTIVITÉ: FINANCEMENT DES ENTREPRISES, NÉG</w:t>
            </w:r>
            <w:r>
              <w:rPr>
                <w:rStyle w:val="InstructionsTabelleberschrift"/>
                <w:rFonts w:ascii="Times New Roman" w:hAnsi="Times New Roman"/>
                <w:sz w:val="24"/>
              </w:rPr>
              <w:t>O</w:t>
            </w:r>
            <w:r>
              <w:rPr>
                <w:rStyle w:val="InstructionsTabelleberschrift"/>
                <w:rFonts w:ascii="Times New Roman" w:hAnsi="Times New Roman"/>
                <w:sz w:val="24"/>
              </w:rPr>
              <w:t>CIATION ET VENTE, COURTAGE DE DÉTAIL, BANQUE COMME</w:t>
            </w:r>
            <w:r>
              <w:rPr>
                <w:rStyle w:val="InstructionsTabelleberschrift"/>
                <w:rFonts w:ascii="Times New Roman" w:hAnsi="Times New Roman"/>
                <w:sz w:val="24"/>
              </w:rPr>
              <w:t>R</w:t>
            </w:r>
            <w:r>
              <w:rPr>
                <w:rStyle w:val="InstructionsTabelleberschrift"/>
                <w:rFonts w:ascii="Times New Roman" w:hAnsi="Times New Roman"/>
                <w:sz w:val="24"/>
              </w:rPr>
              <w:t>CIALE, BANQUE DE DÉTAIL, PAIEMENT ET RÈGLEMENT, SE</w:t>
            </w:r>
            <w:r>
              <w:rPr>
                <w:rStyle w:val="InstructionsTabelleberschrift"/>
                <w:rFonts w:ascii="Times New Roman" w:hAnsi="Times New Roman"/>
                <w:sz w:val="24"/>
              </w:rPr>
              <w:t>R</w:t>
            </w:r>
            <w:r>
              <w:rPr>
                <w:rStyle w:val="InstructionsTabelleberschrift"/>
                <w:rFonts w:ascii="Times New Roman" w:hAnsi="Times New Roman"/>
                <w:sz w:val="24"/>
              </w:rPr>
              <w:t>VICES D’AGENCE, GESTION D’ACTIFS, ÉLÉMENTS D’ENTREPRISE</w:t>
            </w:r>
          </w:p>
          <w:p w:rsidR="00FD54FC" w:rsidRPr="00321A3B" w:rsidRDefault="00FD54FC" w:rsidP="00FD54FC">
            <w:pPr>
              <w:pStyle w:val="PlainText"/>
              <w:jc w:val="both"/>
              <w:rPr>
                <w:rFonts w:ascii="Times New Roman" w:hAnsi="Times New Roman"/>
                <w:sz w:val="24"/>
                <w:szCs w:val="24"/>
              </w:rPr>
            </w:pPr>
            <w:r>
              <w:rPr>
                <w:rFonts w:ascii="Times New Roman" w:hAnsi="Times New Roman"/>
                <w:sz w:val="24"/>
              </w:rPr>
              <w:t>Pour chaque ligne d'activité définie à l'article 317, paragraphe 4, tableau 2, du CRR, ainsi que pour la ligne d'activité supplémentaire «Éléments d'entreprise» visée à l'article 322, paragraphe 3, point b), du CRR, et pour chaque type d'év</w:t>
            </w:r>
            <w:r>
              <w:rPr>
                <w:rFonts w:ascii="Times New Roman" w:hAnsi="Times New Roman"/>
                <w:sz w:val="24"/>
              </w:rPr>
              <w:t>é</w:t>
            </w:r>
            <w:r>
              <w:rPr>
                <w:rFonts w:ascii="Times New Roman" w:hAnsi="Times New Roman"/>
                <w:sz w:val="24"/>
              </w:rPr>
              <w:t>nement, l'établissement déclare les informations suivantes, en fonction des seuils internes appliqués: nombre d'évènements (nouveaux évènements), montant de perte brute (nouveaux évènements), nombre d’évènements faisant l'objet d'aju</w:t>
            </w:r>
            <w:r>
              <w:rPr>
                <w:rFonts w:ascii="Times New Roman" w:hAnsi="Times New Roman"/>
                <w:sz w:val="24"/>
              </w:rPr>
              <w:t>s</w:t>
            </w:r>
            <w:r>
              <w:rPr>
                <w:rFonts w:ascii="Times New Roman" w:hAnsi="Times New Roman"/>
                <w:sz w:val="24"/>
              </w:rPr>
              <w:t>tements de perte, ajustements de perte relatifs à des périodes de déclaration pr</w:t>
            </w:r>
            <w:r>
              <w:rPr>
                <w:rFonts w:ascii="Times New Roman" w:hAnsi="Times New Roman"/>
                <w:sz w:val="24"/>
              </w:rPr>
              <w:t>é</w:t>
            </w:r>
            <w:r>
              <w:rPr>
                <w:rFonts w:ascii="Times New Roman" w:hAnsi="Times New Roman"/>
                <w:sz w:val="24"/>
              </w:rPr>
              <w:t>cédentes, perte individuelle maximale, somme des cinq pertes les plus élevées, recouvrements de pertes directs totaux et recouvrements totaux provenant des a</w:t>
            </w:r>
            <w:r>
              <w:rPr>
                <w:rFonts w:ascii="Times New Roman" w:hAnsi="Times New Roman"/>
                <w:sz w:val="24"/>
              </w:rPr>
              <w:t>s</w:t>
            </w:r>
            <w:r>
              <w:rPr>
                <w:rFonts w:ascii="Times New Roman" w:hAnsi="Times New Roman"/>
                <w:sz w:val="24"/>
              </w:rPr>
              <w:t xml:space="preserve">surances et autres mécanismes de transfert du risque. </w:t>
            </w:r>
          </w:p>
          <w:p w:rsidR="00FD54FC" w:rsidRPr="00392FFD" w:rsidRDefault="00FD54FC" w:rsidP="00FD54FC">
            <w:pPr>
              <w:rPr>
                <w:rFonts w:ascii="Times New Roman" w:hAnsi="Times New Roman"/>
                <w:sz w:val="24"/>
              </w:rPr>
            </w:pPr>
            <w:r>
              <w:rPr>
                <w:rFonts w:ascii="Times New Roman" w:hAnsi="Times New Roman"/>
                <w:sz w:val="24"/>
              </w:rPr>
              <w:t xml:space="preserve">Lorsqu'un événement de perte concerne plusieurs lignes d'activité, le «montant de </w:t>
            </w:r>
            <w:r>
              <w:rPr>
                <w:rFonts w:ascii="Times New Roman" w:hAnsi="Times New Roman"/>
                <w:sz w:val="24"/>
              </w:rPr>
              <w:lastRenderedPageBreak/>
              <w:t>perte brute» sera réparti entre les différentes lignes d'activité concernées.</w:t>
            </w:r>
          </w:p>
          <w:p w:rsidR="00FD54FC" w:rsidRPr="00392FFD" w:rsidRDefault="00FD54FC" w:rsidP="00FD54FC">
            <w:pPr>
              <w:rPr>
                <w:rFonts w:ascii="Times New Roman" w:hAnsi="Times New Roman"/>
                <w:bCs/>
                <w:sz w:val="24"/>
              </w:rPr>
            </w:pPr>
            <w:r>
              <w:rPr>
                <w:rFonts w:ascii="Times New Roman" w:hAnsi="Times New Roman"/>
                <w:sz w:val="24"/>
              </w:rPr>
              <w:t>Les établissements qui calculent leurs exigences de fonds propres selon l’approche BIA peuvent déclarer les pertes pour lesquelles la ligne d'activité n’est pas identifiée dans les lignes 910-980 uniquement.</w:t>
            </w:r>
          </w:p>
        </w:tc>
      </w:tr>
      <w:tr w:rsidR="00FD54FC" w:rsidRPr="00392FFD" w:rsidTr="00FD54FC">
        <w:tc>
          <w:tcPr>
            <w:tcW w:w="1101" w:type="dxa"/>
          </w:tcPr>
          <w:p w:rsidR="00FD54FC" w:rsidRPr="00392FFD" w:rsidRDefault="00FD54FC" w:rsidP="00FD54FC">
            <w:pPr>
              <w:rPr>
                <w:rFonts w:ascii="Times New Roman" w:hAnsi="Times New Roman"/>
                <w:bCs/>
                <w:sz w:val="24"/>
              </w:rPr>
            </w:pPr>
            <w:r>
              <w:rPr>
                <w:rFonts w:ascii="Times New Roman" w:hAnsi="Times New Roman"/>
                <w:sz w:val="24"/>
              </w:rPr>
              <w:lastRenderedPageBreak/>
              <w:t>010, 110, 210, 310, 410, 510, 610, 710, 810</w:t>
            </w:r>
          </w:p>
        </w:tc>
        <w:tc>
          <w:tcPr>
            <w:tcW w:w="8079" w:type="dxa"/>
          </w:tcPr>
          <w:p w:rsidR="00FD54FC" w:rsidRPr="00321A3B"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Nombre d'événements (nouveaux évènements)</w:t>
            </w:r>
          </w:p>
          <w:p w:rsidR="00FD54FC" w:rsidRPr="00392FFD" w:rsidRDefault="00FD54FC" w:rsidP="00FD54FC">
            <w:pPr>
              <w:rPr>
                <w:rFonts w:ascii="Times New Roman" w:hAnsi="Times New Roman"/>
                <w:sz w:val="24"/>
              </w:rPr>
            </w:pPr>
            <w:r>
              <w:rPr>
                <w:rFonts w:ascii="Times New Roman" w:hAnsi="Times New Roman"/>
                <w:sz w:val="24"/>
              </w:rPr>
              <w:t>Le nombre d’événements est le nombre d’événements de risque opérationnel pour lesquels des pertes brutes ont été comptabilisées au cours de la période de déclaration de référence.</w:t>
            </w:r>
          </w:p>
          <w:p w:rsidR="00FD54FC" w:rsidRPr="00392FFD" w:rsidRDefault="00FD54FC" w:rsidP="00FD54FC">
            <w:pPr>
              <w:rPr>
                <w:rFonts w:ascii="Times New Roman" w:hAnsi="Times New Roman"/>
                <w:sz w:val="24"/>
              </w:rPr>
            </w:pPr>
            <w:r>
              <w:rPr>
                <w:rFonts w:ascii="Times New Roman" w:hAnsi="Times New Roman"/>
                <w:sz w:val="24"/>
              </w:rPr>
              <w:t>Le nombre d'évènements se rapporte aux «nouveaux évènements», c’est-à-dire aux évènements de risque opérationnel</w:t>
            </w:r>
          </w:p>
          <w:p w:rsidR="00FD54FC" w:rsidRPr="00392FFD" w:rsidRDefault="00FD54FC" w:rsidP="00FD54FC">
            <w:pPr>
              <w:tabs>
                <w:tab w:val="left" w:pos="459"/>
              </w:tabs>
              <w:ind w:left="459" w:hanging="459"/>
              <w:rPr>
                <w:rFonts w:ascii="Times New Roman" w:hAnsi="Times New Roman"/>
                <w:sz w:val="24"/>
              </w:rPr>
            </w:pPr>
            <w:r>
              <w:rPr>
                <w:rFonts w:ascii="Times New Roman" w:hAnsi="Times New Roman"/>
                <w:sz w:val="24"/>
              </w:rPr>
              <w:t>i)</w:t>
            </w:r>
            <w:r>
              <w:tab/>
            </w:r>
            <w:r>
              <w:rPr>
                <w:rFonts w:ascii="Times New Roman" w:hAnsi="Times New Roman"/>
                <w:sz w:val="24"/>
              </w:rPr>
              <w:t>«comptabilisés pour la première fois» au cours de la période de déclaration de référence ou</w:t>
            </w:r>
          </w:p>
          <w:p w:rsidR="00FD54FC" w:rsidRPr="00392FFD" w:rsidRDefault="00FD54FC" w:rsidP="00FD54FC">
            <w:pPr>
              <w:tabs>
                <w:tab w:val="left" w:pos="459"/>
              </w:tabs>
              <w:ind w:left="459" w:hanging="459"/>
              <w:rPr>
                <w:rFonts w:ascii="Times New Roman" w:hAnsi="Times New Roman"/>
                <w:sz w:val="24"/>
              </w:rPr>
            </w:pPr>
            <w:r>
              <w:rPr>
                <w:rFonts w:ascii="Times New Roman" w:hAnsi="Times New Roman"/>
                <w:sz w:val="24"/>
              </w:rPr>
              <w:t>ii)</w:t>
            </w:r>
            <w:r>
              <w:tab/>
            </w:r>
            <w:r>
              <w:rPr>
                <w:rFonts w:ascii="Times New Roman" w:hAnsi="Times New Roman"/>
                <w:sz w:val="24"/>
              </w:rPr>
              <w:t>«comptabilisés pour la première fois» au cours d’une période de déclaration de référence précédente, si l’évènement n’avait pas été inclus dans de préc</w:t>
            </w:r>
            <w:r>
              <w:rPr>
                <w:rFonts w:ascii="Times New Roman" w:hAnsi="Times New Roman"/>
                <w:sz w:val="24"/>
              </w:rPr>
              <w:t>é</w:t>
            </w:r>
            <w:r>
              <w:rPr>
                <w:rFonts w:ascii="Times New Roman" w:hAnsi="Times New Roman"/>
                <w:sz w:val="24"/>
              </w:rPr>
              <w:t>dents rapports prudentiels, par exemple parce que ce n’est qu’au cours de l’actuelle période de déclaration de référence qu’il a été identifié en tant qu’évènement de risque opérationnel ou que la perte accumulée attribuable à cet évènement (c’est-à-dire la perte initiale plus / moins tous les ajustements de perte effectués lors de périodes de déclaration de référence précédentes) a dépassé le seuil de collecte des données internes.</w:t>
            </w:r>
          </w:p>
          <w:p w:rsidR="00FD54FC" w:rsidRPr="00321A3B" w:rsidRDefault="00FD54FC" w:rsidP="00FD54FC">
            <w:pPr>
              <w:rPr>
                <w:rStyle w:val="InstructionsTabelleberschrift"/>
                <w:rFonts w:ascii="Times New Roman" w:hAnsi="Times New Roman"/>
                <w:sz w:val="24"/>
              </w:rPr>
            </w:pPr>
            <w:r>
              <w:rPr>
                <w:rFonts w:ascii="Times New Roman" w:hAnsi="Times New Roman"/>
                <w:sz w:val="24"/>
              </w:rPr>
              <w:t>Les «nouveaux évènements» ne comprennent pas les évènements de risque op</w:t>
            </w:r>
            <w:r>
              <w:rPr>
                <w:rFonts w:ascii="Times New Roman" w:hAnsi="Times New Roman"/>
                <w:sz w:val="24"/>
              </w:rPr>
              <w:t>é</w:t>
            </w:r>
            <w:r>
              <w:rPr>
                <w:rFonts w:ascii="Times New Roman" w:hAnsi="Times New Roman"/>
                <w:sz w:val="24"/>
              </w:rPr>
              <w:t>rationnel «comptabilisés pour la première fois» au cours d’une période de décl</w:t>
            </w:r>
            <w:r>
              <w:rPr>
                <w:rFonts w:ascii="Times New Roman" w:hAnsi="Times New Roman"/>
                <w:sz w:val="24"/>
              </w:rPr>
              <w:t>a</w:t>
            </w:r>
            <w:r>
              <w:rPr>
                <w:rFonts w:ascii="Times New Roman" w:hAnsi="Times New Roman"/>
                <w:sz w:val="24"/>
              </w:rPr>
              <w:t>ration de référence précédente qui avaient déjà été inclus dans de précédents ra</w:t>
            </w:r>
            <w:r>
              <w:rPr>
                <w:rFonts w:ascii="Times New Roman" w:hAnsi="Times New Roman"/>
                <w:sz w:val="24"/>
              </w:rPr>
              <w:t>p</w:t>
            </w:r>
            <w:r>
              <w:rPr>
                <w:rFonts w:ascii="Times New Roman" w:hAnsi="Times New Roman"/>
                <w:sz w:val="24"/>
              </w:rPr>
              <w:t>ports prudentiels.</w:t>
            </w:r>
          </w:p>
        </w:tc>
      </w:tr>
      <w:tr w:rsidR="00FD54FC" w:rsidRPr="00392FFD" w:rsidTr="00FD54FC">
        <w:tc>
          <w:tcPr>
            <w:tcW w:w="1101" w:type="dxa"/>
          </w:tcPr>
          <w:p w:rsidR="00FD54FC" w:rsidRPr="00392FFD" w:rsidRDefault="00FD54FC" w:rsidP="00FD54FC">
            <w:pPr>
              <w:rPr>
                <w:rFonts w:ascii="Times New Roman" w:hAnsi="Times New Roman"/>
                <w:bCs/>
                <w:sz w:val="24"/>
              </w:rPr>
            </w:pPr>
            <w:r>
              <w:rPr>
                <w:rFonts w:ascii="Times New Roman" w:hAnsi="Times New Roman"/>
                <w:sz w:val="24"/>
              </w:rPr>
              <w:t>020, 120, 220, 320, 420, 520, 620, 720, 820</w:t>
            </w:r>
          </w:p>
        </w:tc>
        <w:tc>
          <w:tcPr>
            <w:tcW w:w="8079" w:type="dxa"/>
          </w:tcPr>
          <w:p w:rsidR="00FD54FC" w:rsidRPr="00321A3B"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Montant de perte brute (nouveaux évènements)</w:t>
            </w:r>
          </w:p>
          <w:p w:rsidR="00FD54FC" w:rsidRPr="00392FFD" w:rsidRDefault="00FD54FC" w:rsidP="00FD54FC">
            <w:pPr>
              <w:rPr>
                <w:rFonts w:ascii="Times New Roman" w:hAnsi="Times New Roman"/>
                <w:sz w:val="24"/>
              </w:rPr>
            </w:pPr>
            <w:r>
              <w:rPr>
                <w:rFonts w:ascii="Times New Roman" w:hAnsi="Times New Roman"/>
                <w:sz w:val="24"/>
              </w:rPr>
              <w:t>Le montant de perte brute correspond aux montants de perte brute se rapportant aux évènements de risque opérationnel (par exemple charges directes, provisions, règlements). Toutes les pertes liées à un évènement unique qui sont comptabil</w:t>
            </w:r>
            <w:r>
              <w:rPr>
                <w:rFonts w:ascii="Times New Roman" w:hAnsi="Times New Roman"/>
                <w:sz w:val="24"/>
              </w:rPr>
              <w:t>i</w:t>
            </w:r>
            <w:r>
              <w:rPr>
                <w:rFonts w:ascii="Times New Roman" w:hAnsi="Times New Roman"/>
                <w:sz w:val="24"/>
              </w:rPr>
              <w:t>sées au cours de la période de déclaration de référence sont additionnées et co</w:t>
            </w:r>
            <w:r>
              <w:rPr>
                <w:rFonts w:ascii="Times New Roman" w:hAnsi="Times New Roman"/>
                <w:sz w:val="24"/>
              </w:rPr>
              <w:t>n</w:t>
            </w:r>
            <w:r>
              <w:rPr>
                <w:rFonts w:ascii="Times New Roman" w:hAnsi="Times New Roman"/>
                <w:sz w:val="24"/>
              </w:rPr>
              <w:t>sidérées comme la perte brute pour cet évènement pour cette période de déclar</w:t>
            </w:r>
            <w:r>
              <w:rPr>
                <w:rFonts w:ascii="Times New Roman" w:hAnsi="Times New Roman"/>
                <w:sz w:val="24"/>
              </w:rPr>
              <w:t>a</w:t>
            </w:r>
            <w:r>
              <w:rPr>
                <w:rFonts w:ascii="Times New Roman" w:hAnsi="Times New Roman"/>
                <w:sz w:val="24"/>
              </w:rPr>
              <w:t>tion de référence.</w:t>
            </w:r>
          </w:p>
          <w:p w:rsidR="00FD54FC" w:rsidRPr="00392FFD" w:rsidRDefault="00FD54FC" w:rsidP="00FD54FC">
            <w:pPr>
              <w:rPr>
                <w:rFonts w:ascii="Times New Roman" w:hAnsi="Times New Roman"/>
                <w:sz w:val="24"/>
              </w:rPr>
            </w:pPr>
            <w:r>
              <w:rPr>
                <w:rFonts w:ascii="Times New Roman" w:hAnsi="Times New Roman"/>
                <w:sz w:val="24"/>
              </w:rPr>
              <w:t>Le montant de perte brute déclaré se rapporte aux «nouveaux évènements» tels que définis à la ligne ci-dessus. Pour les évènements «comptabilisés pour la pr</w:t>
            </w:r>
            <w:r>
              <w:rPr>
                <w:rFonts w:ascii="Times New Roman" w:hAnsi="Times New Roman"/>
                <w:sz w:val="24"/>
              </w:rPr>
              <w:t>e</w:t>
            </w:r>
            <w:r>
              <w:rPr>
                <w:rFonts w:ascii="Times New Roman" w:hAnsi="Times New Roman"/>
                <w:sz w:val="24"/>
              </w:rPr>
              <w:t>mière fois» au cours d’une période de déclaration de référence précédente qui n’avaient pas été inclus dans de précédents rapports prudentiels, la perte totale accumulée jusqu’à la date de référence de la déclaration (c’est-à-dire la perte in</w:t>
            </w:r>
            <w:r>
              <w:rPr>
                <w:rFonts w:ascii="Times New Roman" w:hAnsi="Times New Roman"/>
                <w:sz w:val="24"/>
              </w:rPr>
              <w:t>i</w:t>
            </w:r>
            <w:r>
              <w:rPr>
                <w:rFonts w:ascii="Times New Roman" w:hAnsi="Times New Roman"/>
                <w:sz w:val="24"/>
              </w:rPr>
              <w:t>tiale plus / moins  tous les ajustements de perte effectués lors de précédentes p</w:t>
            </w:r>
            <w:r>
              <w:rPr>
                <w:rFonts w:ascii="Times New Roman" w:hAnsi="Times New Roman"/>
                <w:sz w:val="24"/>
              </w:rPr>
              <w:t>é</w:t>
            </w:r>
            <w:r>
              <w:rPr>
                <w:rFonts w:ascii="Times New Roman" w:hAnsi="Times New Roman"/>
                <w:sz w:val="24"/>
              </w:rPr>
              <w:t>riodes de déclaration de référence) sera déclarée en tant que perte brute à la date de référence de la déclaration.</w:t>
            </w:r>
          </w:p>
          <w:p w:rsidR="00FD54FC" w:rsidRPr="00392FFD" w:rsidRDefault="00FD54FC" w:rsidP="00F52FC6">
            <w:pPr>
              <w:rPr>
                <w:rStyle w:val="InstructionsTabelleberschrift"/>
                <w:rFonts w:ascii="Times New Roman" w:hAnsi="Times New Roman"/>
                <w:sz w:val="24"/>
              </w:rPr>
            </w:pPr>
            <w:r>
              <w:rPr>
                <w:rFonts w:ascii="Times New Roman" w:hAnsi="Times New Roman"/>
                <w:sz w:val="24"/>
              </w:rPr>
              <w:t>Les montants à déclarer ne tiennent pas compte des recouvrements obtenus.</w:t>
            </w:r>
          </w:p>
        </w:tc>
      </w:tr>
      <w:tr w:rsidR="00FD54FC" w:rsidRPr="00392FFD" w:rsidTr="00FD54FC">
        <w:tc>
          <w:tcPr>
            <w:tcW w:w="1101" w:type="dxa"/>
          </w:tcPr>
          <w:p w:rsidR="00FD54FC" w:rsidRPr="00392FFD" w:rsidRDefault="00FD54FC" w:rsidP="00FD54FC">
            <w:pPr>
              <w:rPr>
                <w:rFonts w:ascii="Times New Roman" w:hAnsi="Times New Roman"/>
                <w:bCs/>
                <w:sz w:val="24"/>
              </w:rPr>
            </w:pPr>
            <w:r>
              <w:rPr>
                <w:rFonts w:ascii="Times New Roman" w:hAnsi="Times New Roman"/>
                <w:sz w:val="24"/>
              </w:rPr>
              <w:t xml:space="preserve">030, 130, 230, </w:t>
            </w:r>
            <w:r>
              <w:rPr>
                <w:rFonts w:ascii="Times New Roman" w:hAnsi="Times New Roman"/>
                <w:sz w:val="24"/>
              </w:rPr>
              <w:lastRenderedPageBreak/>
              <w:t>330, 430, 530, 630, 730, 830</w:t>
            </w:r>
          </w:p>
        </w:tc>
        <w:tc>
          <w:tcPr>
            <w:tcW w:w="8079" w:type="dxa"/>
          </w:tcPr>
          <w:p w:rsidR="00FD54FC" w:rsidRPr="00321A3B"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lastRenderedPageBreak/>
              <w:t>Nombre d’événements de perte faisant l'objet d'ajustements de perte</w:t>
            </w:r>
          </w:p>
          <w:p w:rsidR="00FD54FC" w:rsidRPr="00392FFD" w:rsidRDefault="00FD54FC" w:rsidP="00FD54FC">
            <w:pPr>
              <w:rPr>
                <w:rFonts w:ascii="Times New Roman" w:hAnsi="Times New Roman"/>
                <w:sz w:val="24"/>
              </w:rPr>
            </w:pPr>
            <w:r>
              <w:rPr>
                <w:rFonts w:ascii="Times New Roman" w:hAnsi="Times New Roman"/>
                <w:sz w:val="24"/>
              </w:rPr>
              <w:t>Le nombre d’évènements de perte faisant l'objet d'ajustements de perte corre</w:t>
            </w:r>
            <w:r>
              <w:rPr>
                <w:rFonts w:ascii="Times New Roman" w:hAnsi="Times New Roman"/>
                <w:sz w:val="24"/>
              </w:rPr>
              <w:t>s</w:t>
            </w:r>
            <w:r>
              <w:rPr>
                <w:rFonts w:ascii="Times New Roman" w:hAnsi="Times New Roman"/>
                <w:sz w:val="24"/>
              </w:rPr>
              <w:t xml:space="preserve">pond au nombre d’évènements de risque opérationnel «comptabilisés pour la </w:t>
            </w:r>
            <w:r>
              <w:rPr>
                <w:rFonts w:ascii="Times New Roman" w:hAnsi="Times New Roman"/>
                <w:sz w:val="24"/>
              </w:rPr>
              <w:lastRenderedPageBreak/>
              <w:t>première fois» au cours de périodes de déclaration de référence précédentes et d</w:t>
            </w:r>
            <w:r>
              <w:rPr>
                <w:rFonts w:ascii="Times New Roman" w:hAnsi="Times New Roman"/>
                <w:sz w:val="24"/>
              </w:rPr>
              <w:t>é</w:t>
            </w:r>
            <w:r>
              <w:rPr>
                <w:rFonts w:ascii="Times New Roman" w:hAnsi="Times New Roman"/>
                <w:sz w:val="24"/>
              </w:rPr>
              <w:t xml:space="preserve">jà inclus dans de précédents rapports, pour lesquels des ajustements de perte ont été effectués au cours de l'actuelle période de déclaration de référence. </w:t>
            </w:r>
          </w:p>
          <w:p w:rsidR="00FD54FC" w:rsidRPr="00392FFD" w:rsidRDefault="00FD54FC" w:rsidP="00FD54FC">
            <w:pPr>
              <w:rPr>
                <w:b/>
                <w:sz w:val="24"/>
              </w:rPr>
            </w:pPr>
            <w:r>
              <w:rPr>
                <w:rFonts w:ascii="Times New Roman" w:hAnsi="Times New Roman"/>
                <w:sz w:val="24"/>
              </w:rPr>
              <w:t>Si plusieurs ajustements de perte ont été effectués pour un évènement au cours de la période de déclaration de référence, la somme de ces ajustements de perte sera comptabilisée comme un unique ajustement au cours de la période.</w:t>
            </w:r>
          </w:p>
        </w:tc>
      </w:tr>
      <w:tr w:rsidR="00FD54FC" w:rsidRPr="00392FFD" w:rsidTr="00FD54FC">
        <w:tc>
          <w:tcPr>
            <w:tcW w:w="1101" w:type="dxa"/>
          </w:tcPr>
          <w:p w:rsidR="00FD54FC" w:rsidRPr="00392FFD" w:rsidRDefault="00FD54FC" w:rsidP="00FD54FC">
            <w:pPr>
              <w:rPr>
                <w:rFonts w:ascii="Times New Roman" w:hAnsi="Times New Roman"/>
                <w:bCs/>
                <w:sz w:val="24"/>
              </w:rPr>
            </w:pPr>
            <w:r>
              <w:rPr>
                <w:rFonts w:ascii="Times New Roman" w:hAnsi="Times New Roman"/>
                <w:sz w:val="24"/>
              </w:rPr>
              <w:lastRenderedPageBreak/>
              <w:t>040, 140, 240, 340, 440, 540, 640, 740, 840</w:t>
            </w:r>
          </w:p>
        </w:tc>
        <w:tc>
          <w:tcPr>
            <w:tcW w:w="8079" w:type="dxa"/>
          </w:tcPr>
          <w:p w:rsidR="00FD54FC" w:rsidRPr="00321A3B"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Ajustements de perte relatifs à des périodes de déclaration précédentes</w:t>
            </w:r>
          </w:p>
          <w:p w:rsidR="00FD54FC" w:rsidRPr="00392FFD" w:rsidRDefault="00FD54FC" w:rsidP="00FD54FC">
            <w:pPr>
              <w:rPr>
                <w:rFonts w:ascii="Times New Roman" w:hAnsi="Times New Roman"/>
                <w:sz w:val="24"/>
              </w:rPr>
            </w:pPr>
            <w:r>
              <w:rPr>
                <w:rFonts w:ascii="Times New Roman" w:hAnsi="Times New Roman"/>
                <w:sz w:val="24"/>
              </w:rPr>
              <w:t>Les ajustements de perte relatifs à des périodes de déclaration de référence préc</w:t>
            </w:r>
            <w:r>
              <w:rPr>
                <w:rFonts w:ascii="Times New Roman" w:hAnsi="Times New Roman"/>
                <w:sz w:val="24"/>
              </w:rPr>
              <w:t>é</w:t>
            </w:r>
            <w:r>
              <w:rPr>
                <w:rFonts w:ascii="Times New Roman" w:hAnsi="Times New Roman"/>
                <w:sz w:val="24"/>
              </w:rPr>
              <w:t>dentes correspondent à la somme des éléments (positifs ou négatifs) suivants:</w:t>
            </w:r>
          </w:p>
          <w:p w:rsidR="00FD54FC" w:rsidRPr="00392FFD" w:rsidRDefault="00FD54FC" w:rsidP="00FD54FC">
            <w:pPr>
              <w:tabs>
                <w:tab w:val="left" w:pos="459"/>
              </w:tabs>
              <w:ind w:left="459" w:hanging="459"/>
              <w:rPr>
                <w:rFonts w:ascii="Times New Roman" w:hAnsi="Times New Roman"/>
                <w:sz w:val="24"/>
              </w:rPr>
            </w:pPr>
            <w:r>
              <w:rPr>
                <w:rFonts w:ascii="Times New Roman" w:hAnsi="Times New Roman"/>
                <w:sz w:val="24"/>
              </w:rPr>
              <w:t>i)</w:t>
            </w:r>
            <w:r>
              <w:tab/>
            </w:r>
            <w:r>
              <w:rPr>
                <w:rFonts w:ascii="Times New Roman" w:hAnsi="Times New Roman"/>
                <w:sz w:val="24"/>
              </w:rPr>
              <w:t>les montants de perte brute se rapportant aux ajustements de perte positifs effectués au cours de la période de déclaration de référence (par exemple augmentation des provisions, événements de perte liés, règlements suppl</w:t>
            </w:r>
            <w:r>
              <w:rPr>
                <w:rFonts w:ascii="Times New Roman" w:hAnsi="Times New Roman"/>
                <w:sz w:val="24"/>
              </w:rPr>
              <w:t>é</w:t>
            </w:r>
            <w:r>
              <w:rPr>
                <w:rFonts w:ascii="Times New Roman" w:hAnsi="Times New Roman"/>
                <w:sz w:val="24"/>
              </w:rPr>
              <w:t>mentaires) d’événements de risque opérationnel «comptabilisés pour la pr</w:t>
            </w:r>
            <w:r>
              <w:rPr>
                <w:rFonts w:ascii="Times New Roman" w:hAnsi="Times New Roman"/>
                <w:sz w:val="24"/>
              </w:rPr>
              <w:t>e</w:t>
            </w:r>
            <w:r>
              <w:rPr>
                <w:rFonts w:ascii="Times New Roman" w:hAnsi="Times New Roman"/>
                <w:sz w:val="24"/>
              </w:rPr>
              <w:t>mière fois» et déclarés au cours de périodes de déclaration de référence pr</w:t>
            </w:r>
            <w:r>
              <w:rPr>
                <w:rFonts w:ascii="Times New Roman" w:hAnsi="Times New Roman"/>
                <w:sz w:val="24"/>
              </w:rPr>
              <w:t>é</w:t>
            </w:r>
            <w:r>
              <w:rPr>
                <w:rFonts w:ascii="Times New Roman" w:hAnsi="Times New Roman"/>
                <w:sz w:val="24"/>
              </w:rPr>
              <w:t>cédentes;</w:t>
            </w:r>
          </w:p>
          <w:p w:rsidR="00FD54FC" w:rsidRPr="00392FFD" w:rsidRDefault="00FD54FC" w:rsidP="00FD54FC">
            <w:pPr>
              <w:tabs>
                <w:tab w:val="left" w:pos="459"/>
              </w:tabs>
              <w:ind w:left="459" w:hanging="459"/>
              <w:rPr>
                <w:rFonts w:ascii="Times New Roman" w:hAnsi="Times New Roman"/>
                <w:sz w:val="24"/>
              </w:rPr>
            </w:pPr>
            <w:r>
              <w:rPr>
                <w:rFonts w:ascii="Times New Roman" w:hAnsi="Times New Roman"/>
                <w:sz w:val="24"/>
              </w:rPr>
              <w:t>ii)</w:t>
            </w:r>
            <w:r>
              <w:tab/>
            </w:r>
            <w:r>
              <w:rPr>
                <w:rFonts w:ascii="Times New Roman" w:hAnsi="Times New Roman"/>
                <w:sz w:val="24"/>
              </w:rPr>
              <w:t xml:space="preserve">les montants de perte brute se rapportant aux ajustements de perte négatifs effectués au cours de la période de déclaration de référence (par exemple, du fait d’une réduction des provisions) d’événements de risque opérationnel «comptabilisés pour la première fois» et déclarés au cours de périodes de déclaration de référence précédentes. </w:t>
            </w:r>
          </w:p>
          <w:p w:rsidR="00FD54FC" w:rsidRPr="00392FFD" w:rsidRDefault="00FD54FC" w:rsidP="00FD54FC">
            <w:pPr>
              <w:rPr>
                <w:rFonts w:ascii="Times New Roman" w:hAnsi="Times New Roman"/>
                <w:sz w:val="24"/>
              </w:rPr>
            </w:pPr>
            <w:r>
              <w:rPr>
                <w:rFonts w:ascii="Times New Roman" w:hAnsi="Times New Roman"/>
                <w:sz w:val="24"/>
              </w:rPr>
              <w:t>Si plusieurs ajustements de perte ont été effectués pour un évènement au cours de la période de déclaration de référence, on fera la somme des montants de tous ces ajustements de perte, en tenant compte de leur signe (positif ou négatif). Cette somme sera considérée comme l’ajustement de perte pour cet évènement pour cette période de déclaration de référence.</w:t>
            </w:r>
          </w:p>
          <w:p w:rsidR="00FD54FC" w:rsidRPr="00392FFD" w:rsidRDefault="00FD54FC" w:rsidP="00FD54FC">
            <w:pPr>
              <w:rPr>
                <w:rFonts w:ascii="Times New Roman" w:hAnsi="Times New Roman"/>
                <w:sz w:val="24"/>
              </w:rPr>
            </w:pPr>
            <w:r>
              <w:rPr>
                <w:rFonts w:ascii="Times New Roman" w:hAnsi="Times New Roman"/>
                <w:sz w:val="24"/>
              </w:rPr>
              <w:t>Si en raison d'un ajustement de perte négatif, le montant de perte ajusté attr</w:t>
            </w:r>
            <w:r>
              <w:rPr>
                <w:rFonts w:ascii="Times New Roman" w:hAnsi="Times New Roman"/>
                <w:sz w:val="24"/>
              </w:rPr>
              <w:t>i</w:t>
            </w:r>
            <w:r>
              <w:rPr>
                <w:rFonts w:ascii="Times New Roman" w:hAnsi="Times New Roman"/>
                <w:sz w:val="24"/>
              </w:rPr>
              <w:t>buable à un évènement tombe sous le seuil de cet établissement pour la collecte de données internes, l’établissement déclarera le montant total de perte accumulé pour cet évènement jusqu’à la dernière fois que cet évènement a été déclaré pour une date de référence en décembre (c’est-à-dire la perte initiale plus / moins tous les ajustements de perte effectués lors de périodes de déclaration de référence précédentes) avec un signe négatif au lieu du montant de l'ajustement de perte négatif lui-même.</w:t>
            </w:r>
          </w:p>
          <w:p w:rsidR="00FD54FC" w:rsidRPr="00392FFD" w:rsidRDefault="00FD54FC" w:rsidP="00EB62C2">
            <w:pPr>
              <w:rPr>
                <w:b/>
                <w:sz w:val="24"/>
              </w:rPr>
            </w:pPr>
            <w:r>
              <w:rPr>
                <w:rFonts w:ascii="Times New Roman" w:hAnsi="Times New Roman"/>
                <w:sz w:val="24"/>
              </w:rPr>
              <w:t>Les montants à déclarer ne tiennent pas compte des recouvrements obtenus.</w:t>
            </w:r>
          </w:p>
        </w:tc>
      </w:tr>
      <w:tr w:rsidR="00FD54FC" w:rsidRPr="00392FFD" w:rsidTr="00FD54FC">
        <w:tc>
          <w:tcPr>
            <w:tcW w:w="1101" w:type="dxa"/>
          </w:tcPr>
          <w:p w:rsidR="00FD54FC" w:rsidRPr="00392FFD" w:rsidRDefault="00FD54FC" w:rsidP="00FD54FC">
            <w:pPr>
              <w:rPr>
                <w:rFonts w:ascii="Times New Roman" w:hAnsi="Times New Roman"/>
                <w:bCs/>
                <w:sz w:val="24"/>
              </w:rPr>
            </w:pPr>
            <w:r>
              <w:rPr>
                <w:rFonts w:ascii="Times New Roman" w:hAnsi="Times New Roman"/>
                <w:sz w:val="24"/>
              </w:rPr>
              <w:t>050, 150, 250, 350, 450, 550, 650, 750, 850</w:t>
            </w:r>
          </w:p>
        </w:tc>
        <w:tc>
          <w:tcPr>
            <w:tcW w:w="8079" w:type="dxa"/>
          </w:tcPr>
          <w:p w:rsidR="00FD54FC" w:rsidRPr="00321A3B"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Perte individuelle maximale</w:t>
            </w:r>
          </w:p>
          <w:p w:rsidR="00FD54FC" w:rsidRPr="00392FFD" w:rsidRDefault="00FD54FC" w:rsidP="00FD54FC">
            <w:pPr>
              <w:rPr>
                <w:rFonts w:ascii="Times New Roman" w:hAnsi="Times New Roman"/>
                <w:sz w:val="24"/>
              </w:rPr>
            </w:pPr>
            <w:r>
              <w:rPr>
                <w:rFonts w:ascii="Times New Roman" w:hAnsi="Times New Roman"/>
                <w:sz w:val="24"/>
              </w:rPr>
              <w:t>La «perte individuelle maximale» est le montant le plus élevé entre</w:t>
            </w:r>
          </w:p>
          <w:p w:rsidR="00FD54FC" w:rsidRPr="00392FFD" w:rsidRDefault="00FD54FC" w:rsidP="00FD54FC">
            <w:pPr>
              <w:tabs>
                <w:tab w:val="left" w:pos="459"/>
              </w:tabs>
              <w:ind w:left="459" w:hanging="459"/>
              <w:rPr>
                <w:rFonts w:ascii="Times New Roman" w:hAnsi="Times New Roman"/>
                <w:sz w:val="24"/>
              </w:rPr>
            </w:pPr>
            <w:r>
              <w:rPr>
                <w:rFonts w:ascii="Times New Roman" w:hAnsi="Times New Roman"/>
                <w:sz w:val="24"/>
              </w:rPr>
              <w:t>i)</w:t>
            </w:r>
            <w:r>
              <w:tab/>
            </w:r>
            <w:r>
              <w:rPr>
                <w:rFonts w:ascii="Times New Roman" w:hAnsi="Times New Roman"/>
                <w:sz w:val="24"/>
              </w:rPr>
              <w:t>le montant le plus élevé de perte brute liée à un évènement déclaré pour la première fois au cours de la période de déclaration de référence et</w:t>
            </w:r>
          </w:p>
          <w:p w:rsidR="00FD54FC" w:rsidRPr="00392FFD" w:rsidRDefault="00FD54FC" w:rsidP="00FD54FC">
            <w:pPr>
              <w:tabs>
                <w:tab w:val="left" w:pos="459"/>
              </w:tabs>
              <w:ind w:left="459" w:hanging="459"/>
              <w:rPr>
                <w:rFonts w:ascii="Times New Roman" w:hAnsi="Times New Roman"/>
                <w:sz w:val="24"/>
              </w:rPr>
            </w:pPr>
            <w:r>
              <w:rPr>
                <w:rFonts w:ascii="Times New Roman" w:hAnsi="Times New Roman"/>
                <w:sz w:val="24"/>
              </w:rPr>
              <w:t>ii)</w:t>
            </w:r>
            <w:r>
              <w:tab/>
            </w:r>
            <w:r>
              <w:rPr>
                <w:rFonts w:ascii="Times New Roman" w:hAnsi="Times New Roman"/>
                <w:sz w:val="24"/>
              </w:rPr>
              <w:t>le montant le plus élevé d'ajustement de perte positif (tel que défini plus haut) lié à un évènement déclaré pour la première fois au cours d'une période de déclaration de référence précédente.</w:t>
            </w:r>
          </w:p>
          <w:p w:rsidR="00FD54FC" w:rsidRPr="00392FFD" w:rsidRDefault="00FD54FC" w:rsidP="00F52FC6">
            <w:pPr>
              <w:rPr>
                <w:sz w:val="24"/>
              </w:rPr>
            </w:pPr>
            <w:r>
              <w:rPr>
                <w:rFonts w:ascii="Times New Roman" w:hAnsi="Times New Roman"/>
                <w:sz w:val="24"/>
              </w:rPr>
              <w:t>Les montants à déclarer ne tiennent pas compte des recouvrements obtenus.</w:t>
            </w:r>
          </w:p>
        </w:tc>
      </w:tr>
      <w:tr w:rsidR="00FD54FC" w:rsidRPr="00392FFD" w:rsidTr="00FD54FC">
        <w:tc>
          <w:tcPr>
            <w:tcW w:w="1101" w:type="dxa"/>
          </w:tcPr>
          <w:p w:rsidR="00FD54FC" w:rsidRPr="00392FFD" w:rsidRDefault="00FD54FC" w:rsidP="00FD54FC">
            <w:pPr>
              <w:rPr>
                <w:rFonts w:ascii="Times New Roman" w:hAnsi="Times New Roman"/>
                <w:bCs/>
                <w:sz w:val="24"/>
              </w:rPr>
            </w:pPr>
            <w:r>
              <w:rPr>
                <w:rFonts w:ascii="Times New Roman" w:hAnsi="Times New Roman"/>
                <w:sz w:val="24"/>
              </w:rPr>
              <w:lastRenderedPageBreak/>
              <w:t>060, 160, 260, 360, 460, 560, 660, 760, 860</w:t>
            </w:r>
          </w:p>
        </w:tc>
        <w:tc>
          <w:tcPr>
            <w:tcW w:w="8079" w:type="dxa"/>
          </w:tcPr>
          <w:p w:rsidR="00FD54FC" w:rsidRPr="00321A3B"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Somme des cinq pertes les plus élevées</w:t>
            </w:r>
          </w:p>
          <w:p w:rsidR="00FD54FC" w:rsidRPr="00392FFD" w:rsidRDefault="00FD54FC" w:rsidP="00FD54FC">
            <w:pPr>
              <w:rPr>
                <w:rFonts w:ascii="Times New Roman" w:hAnsi="Times New Roman"/>
                <w:sz w:val="24"/>
              </w:rPr>
            </w:pPr>
            <w:r>
              <w:rPr>
                <w:rFonts w:ascii="Times New Roman" w:hAnsi="Times New Roman"/>
                <w:sz w:val="24"/>
              </w:rPr>
              <w:t>La somme des cinq pertes les plus élevées est la somme des cinq montants les plus élevés parmi</w:t>
            </w:r>
          </w:p>
          <w:p w:rsidR="00FD54FC" w:rsidRPr="00392FFD" w:rsidRDefault="00FD54FC" w:rsidP="00FD54FC">
            <w:pPr>
              <w:tabs>
                <w:tab w:val="left" w:pos="459"/>
              </w:tabs>
              <w:ind w:left="459" w:hanging="459"/>
              <w:rPr>
                <w:rFonts w:ascii="Times New Roman" w:hAnsi="Times New Roman"/>
                <w:sz w:val="24"/>
              </w:rPr>
            </w:pPr>
            <w:r>
              <w:rPr>
                <w:rFonts w:ascii="Times New Roman" w:hAnsi="Times New Roman"/>
                <w:sz w:val="24"/>
              </w:rPr>
              <w:t>i)</w:t>
            </w:r>
            <w:r>
              <w:tab/>
            </w:r>
            <w:r>
              <w:rPr>
                <w:rFonts w:ascii="Times New Roman" w:hAnsi="Times New Roman"/>
                <w:sz w:val="24"/>
              </w:rPr>
              <w:t>les montants de perte brute pour des évènements déclarés pour la première fois au cours de la période de déclaration de référence et</w:t>
            </w:r>
          </w:p>
          <w:p w:rsidR="00FD54FC" w:rsidRPr="00392FFD" w:rsidRDefault="00FD54FC" w:rsidP="00FD54FC">
            <w:pPr>
              <w:tabs>
                <w:tab w:val="left" w:pos="459"/>
              </w:tabs>
              <w:ind w:left="459" w:hanging="459"/>
              <w:rPr>
                <w:rFonts w:ascii="Times New Roman" w:hAnsi="Times New Roman"/>
                <w:sz w:val="24"/>
              </w:rPr>
            </w:pPr>
            <w:r>
              <w:rPr>
                <w:rFonts w:ascii="Times New Roman" w:hAnsi="Times New Roman"/>
                <w:sz w:val="24"/>
              </w:rPr>
              <w:t>ii)</w:t>
            </w:r>
            <w:r>
              <w:tab/>
            </w:r>
            <w:r>
              <w:rPr>
                <w:rFonts w:ascii="Times New Roman" w:hAnsi="Times New Roman"/>
                <w:sz w:val="24"/>
              </w:rPr>
              <w:t>les montants d'ajustement de perte positif (tels que définis pour les lignes 040, 140, ..., 840 plus haut) liés à des évènements déclarés pour la première fois au cours d'une période de déclaration de référence précédente. Le mo</w:t>
            </w:r>
            <w:r>
              <w:rPr>
                <w:rFonts w:ascii="Times New Roman" w:hAnsi="Times New Roman"/>
                <w:sz w:val="24"/>
              </w:rPr>
              <w:t>n</w:t>
            </w:r>
            <w:r>
              <w:rPr>
                <w:rFonts w:ascii="Times New Roman" w:hAnsi="Times New Roman"/>
                <w:sz w:val="24"/>
              </w:rPr>
              <w:t>tant à prendre en considération pour savoir s’il fait partie des cinq pertes les plus élevées est le montant de l’ajustement de perte lui-même et non la perte totale associée à l’évènement concerné avant ou après l’ajustement de perte.</w:t>
            </w:r>
          </w:p>
          <w:p w:rsidR="00FD54FC" w:rsidRPr="00392FFD" w:rsidRDefault="00FD54FC" w:rsidP="00F52FC6">
            <w:pPr>
              <w:rPr>
                <w:sz w:val="24"/>
              </w:rPr>
            </w:pPr>
            <w:r>
              <w:rPr>
                <w:rFonts w:ascii="Times New Roman" w:hAnsi="Times New Roman"/>
                <w:sz w:val="24"/>
              </w:rPr>
              <w:t>Les montants à déclarer ne tiennent pas compte des recouvrements obtenus.</w:t>
            </w:r>
          </w:p>
        </w:tc>
      </w:tr>
      <w:tr w:rsidR="00FD54FC" w:rsidRPr="00392FFD" w:rsidTr="00FD54FC">
        <w:tc>
          <w:tcPr>
            <w:tcW w:w="1101" w:type="dxa"/>
          </w:tcPr>
          <w:p w:rsidR="00FD54FC" w:rsidRPr="00392FFD" w:rsidRDefault="00FD54FC" w:rsidP="00FD54FC">
            <w:pPr>
              <w:rPr>
                <w:rFonts w:ascii="Times New Roman" w:hAnsi="Times New Roman"/>
                <w:bCs/>
                <w:sz w:val="24"/>
              </w:rPr>
            </w:pPr>
            <w:r>
              <w:rPr>
                <w:rFonts w:ascii="Times New Roman" w:hAnsi="Times New Roman"/>
                <w:sz w:val="24"/>
              </w:rPr>
              <w:t>070, 170, 270, 370, 470, 570, 670, 770, 870</w:t>
            </w:r>
          </w:p>
        </w:tc>
        <w:tc>
          <w:tcPr>
            <w:tcW w:w="8079" w:type="dxa"/>
          </w:tcPr>
          <w:p w:rsidR="00FD54FC" w:rsidRPr="00392FFD" w:rsidRDefault="00B34B0B" w:rsidP="00FD54FC">
            <w:pPr>
              <w:rPr>
                <w:sz w:val="24"/>
              </w:rPr>
            </w:pPr>
            <w:r>
              <w:rPr>
                <w:rStyle w:val="InstructionsTabelleberschrift"/>
                <w:rFonts w:ascii="Times New Roman" w:hAnsi="Times New Roman"/>
                <w:sz w:val="24"/>
              </w:rPr>
              <w:t>Recouvrements de pertes directs totaux</w:t>
            </w:r>
          </w:p>
          <w:p w:rsidR="00FD54FC" w:rsidRPr="00392FFD" w:rsidRDefault="00FD54FC" w:rsidP="00FD54FC">
            <w:pPr>
              <w:rPr>
                <w:rFonts w:ascii="Times New Roman" w:hAnsi="Times New Roman"/>
                <w:sz w:val="24"/>
              </w:rPr>
            </w:pPr>
            <w:r>
              <w:rPr>
                <w:rFonts w:ascii="Times New Roman" w:hAnsi="Times New Roman"/>
                <w:sz w:val="24"/>
              </w:rPr>
              <w:t xml:space="preserve">Les recouvrements directs correspondent à tous les recouvrements obtenus à l’exception de ceux qui relèvent de l’article 323 du CRR tels que déclarés à la ligne ci-dessous. </w:t>
            </w:r>
          </w:p>
          <w:p w:rsidR="00FD54FC" w:rsidRPr="00392FFD" w:rsidRDefault="00FD54FC" w:rsidP="00FD54FC">
            <w:pPr>
              <w:rPr>
                <w:b/>
                <w:sz w:val="24"/>
              </w:rPr>
            </w:pPr>
            <w:r>
              <w:rPr>
                <w:rFonts w:ascii="Times New Roman" w:hAnsi="Times New Roman"/>
                <w:sz w:val="24"/>
              </w:rPr>
              <w:t>Les «recouvrements de pertes directs totaux» sont la somme de tous les reco</w:t>
            </w:r>
            <w:r>
              <w:rPr>
                <w:rFonts w:ascii="Times New Roman" w:hAnsi="Times New Roman"/>
                <w:sz w:val="24"/>
              </w:rPr>
              <w:t>u</w:t>
            </w:r>
            <w:r>
              <w:rPr>
                <w:rFonts w:ascii="Times New Roman" w:hAnsi="Times New Roman"/>
                <w:sz w:val="24"/>
              </w:rPr>
              <w:t>vrements directs et ajustements de recouvrements directs comptabilisés au cours de la période de déclaration et se rapportant aux événements de risque opératio</w:t>
            </w:r>
            <w:r>
              <w:rPr>
                <w:rFonts w:ascii="Times New Roman" w:hAnsi="Times New Roman"/>
                <w:sz w:val="24"/>
              </w:rPr>
              <w:t>n</w:t>
            </w:r>
            <w:r>
              <w:rPr>
                <w:rFonts w:ascii="Times New Roman" w:hAnsi="Times New Roman"/>
                <w:sz w:val="24"/>
              </w:rPr>
              <w:t>nel comptabilisés pour la première fois au cours de la période de déclaration de référence ou lors de périodes de déclaration de référence précédentes.</w:t>
            </w:r>
          </w:p>
        </w:tc>
      </w:tr>
      <w:tr w:rsidR="00FD54FC" w:rsidRPr="00392FFD" w:rsidTr="00FD54FC">
        <w:tc>
          <w:tcPr>
            <w:tcW w:w="1101" w:type="dxa"/>
          </w:tcPr>
          <w:p w:rsidR="00FD54FC" w:rsidRPr="00392FFD" w:rsidRDefault="00FD54FC" w:rsidP="00FD54FC">
            <w:pPr>
              <w:rPr>
                <w:rFonts w:ascii="Times New Roman" w:hAnsi="Times New Roman"/>
                <w:bCs/>
                <w:sz w:val="24"/>
              </w:rPr>
            </w:pPr>
            <w:r>
              <w:rPr>
                <w:rFonts w:ascii="Times New Roman" w:hAnsi="Times New Roman"/>
                <w:sz w:val="24"/>
              </w:rPr>
              <w:t>080, 180, 280, 380, 480, 580, 680, 780, 880</w:t>
            </w:r>
          </w:p>
        </w:tc>
        <w:tc>
          <w:tcPr>
            <w:tcW w:w="8079" w:type="dxa"/>
          </w:tcPr>
          <w:p w:rsidR="00FD54FC" w:rsidRPr="00321A3B"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Recouvrements totaux provenant des assurances et autres mécanismes de transfert du risque</w:t>
            </w:r>
          </w:p>
          <w:p w:rsidR="00FD54FC" w:rsidRPr="00392FFD" w:rsidRDefault="00FD54FC" w:rsidP="00FD54FC">
            <w:pPr>
              <w:rPr>
                <w:rFonts w:ascii="Times New Roman" w:hAnsi="Times New Roman"/>
                <w:sz w:val="24"/>
              </w:rPr>
            </w:pPr>
            <w:r>
              <w:rPr>
                <w:rFonts w:ascii="Times New Roman" w:hAnsi="Times New Roman"/>
                <w:sz w:val="24"/>
              </w:rPr>
              <w:t xml:space="preserve">Les recouvrements provenant des assurances et autres mécanismes de transfert du risque sont les recouvrements relevant de l’article 323 du CRR. </w:t>
            </w:r>
          </w:p>
          <w:p w:rsidR="00FD54FC" w:rsidRPr="00392FFD" w:rsidRDefault="00FD54FC" w:rsidP="00070AF9">
            <w:pPr>
              <w:rPr>
                <w:sz w:val="24"/>
              </w:rPr>
            </w:pPr>
            <w:r>
              <w:rPr>
                <w:rFonts w:ascii="Times New Roman" w:hAnsi="Times New Roman"/>
                <w:sz w:val="24"/>
              </w:rPr>
              <w:t>Les «recouvrements totaux provenant des assurances et autres mécanismes de transfert du risque» sont la somme de tous les recouvrements provenant des ass</w:t>
            </w:r>
            <w:r>
              <w:rPr>
                <w:rFonts w:ascii="Times New Roman" w:hAnsi="Times New Roman"/>
                <w:sz w:val="24"/>
              </w:rPr>
              <w:t>u</w:t>
            </w:r>
            <w:r>
              <w:rPr>
                <w:rFonts w:ascii="Times New Roman" w:hAnsi="Times New Roman"/>
                <w:sz w:val="24"/>
              </w:rPr>
              <w:t>rances et autres mécanismes de transfert du risque et des ajustements de ces r</w:t>
            </w:r>
            <w:r>
              <w:rPr>
                <w:rFonts w:ascii="Times New Roman" w:hAnsi="Times New Roman"/>
                <w:sz w:val="24"/>
              </w:rPr>
              <w:t>e</w:t>
            </w:r>
            <w:r>
              <w:rPr>
                <w:rFonts w:ascii="Times New Roman" w:hAnsi="Times New Roman"/>
                <w:sz w:val="24"/>
              </w:rPr>
              <w:t>couvrements comptabilisés au cours de la période de déclaration de référence et se rapportant aux événements de risque opérationnel comptabilisés pour la pr</w:t>
            </w:r>
            <w:r>
              <w:rPr>
                <w:rFonts w:ascii="Times New Roman" w:hAnsi="Times New Roman"/>
                <w:sz w:val="24"/>
              </w:rPr>
              <w:t>e</w:t>
            </w:r>
            <w:r>
              <w:rPr>
                <w:rFonts w:ascii="Times New Roman" w:hAnsi="Times New Roman"/>
                <w:sz w:val="24"/>
              </w:rPr>
              <w:t>mière fois au cours de la période de déclaration de référence ou lors de périodes de déclaration de référence précédentes.</w:t>
            </w:r>
          </w:p>
        </w:tc>
      </w:tr>
      <w:tr w:rsidR="00FD54FC" w:rsidRPr="00392FFD" w:rsidTr="00FD54FC">
        <w:tc>
          <w:tcPr>
            <w:tcW w:w="1101" w:type="dxa"/>
          </w:tcPr>
          <w:p w:rsidR="00FD54FC" w:rsidRPr="00392FFD" w:rsidRDefault="00FD54FC" w:rsidP="000F70EC">
            <w:pPr>
              <w:rPr>
                <w:rFonts w:ascii="Times New Roman" w:hAnsi="Times New Roman"/>
                <w:bCs/>
                <w:sz w:val="24"/>
              </w:rPr>
            </w:pPr>
            <w:r>
              <w:rPr>
                <w:rFonts w:ascii="Times New Roman" w:hAnsi="Times New Roman"/>
                <w:sz w:val="24"/>
              </w:rPr>
              <w:t>910-980</w:t>
            </w:r>
          </w:p>
        </w:tc>
        <w:tc>
          <w:tcPr>
            <w:tcW w:w="8079" w:type="dxa"/>
          </w:tcPr>
          <w:p w:rsidR="00FD54FC" w:rsidRPr="00392FFD"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TOTAL LIGNES D’ACTIVITÉ</w:t>
            </w:r>
          </w:p>
          <w:p w:rsidR="00FD54FC" w:rsidRPr="00392FFD" w:rsidRDefault="00FD54FC" w:rsidP="00FD54FC">
            <w:pPr>
              <w:rPr>
                <w:rFonts w:ascii="Times New Roman" w:hAnsi="Times New Roman"/>
                <w:sz w:val="24"/>
              </w:rPr>
            </w:pPr>
            <w:r>
              <w:rPr>
                <w:rFonts w:ascii="Times New Roman" w:hAnsi="Times New Roman"/>
                <w:sz w:val="24"/>
              </w:rPr>
              <w:t>Pour chaque type d'événement (colonnes 010 à 080), les informations (article 322, paragraphe 3, points b), c) et e) du CRR) relatives au total des lignes d'act</w:t>
            </w:r>
            <w:r>
              <w:rPr>
                <w:rFonts w:ascii="Times New Roman" w:hAnsi="Times New Roman"/>
                <w:sz w:val="24"/>
              </w:rPr>
              <w:t>i</w:t>
            </w:r>
            <w:r>
              <w:rPr>
                <w:rFonts w:ascii="Times New Roman" w:hAnsi="Times New Roman"/>
                <w:sz w:val="24"/>
              </w:rPr>
              <w:t>vité seront déclarées.</w:t>
            </w:r>
          </w:p>
        </w:tc>
      </w:tr>
      <w:tr w:rsidR="00FD54FC" w:rsidRPr="00392FFD" w:rsidTr="00FD54FC">
        <w:tc>
          <w:tcPr>
            <w:tcW w:w="1101" w:type="dxa"/>
          </w:tcPr>
          <w:p w:rsidR="00FD54FC" w:rsidRPr="00392FFD" w:rsidRDefault="00FD54FC" w:rsidP="000F70EC">
            <w:pPr>
              <w:rPr>
                <w:rFonts w:ascii="Times New Roman" w:hAnsi="Times New Roman"/>
                <w:bCs/>
                <w:sz w:val="24"/>
              </w:rPr>
            </w:pPr>
            <w:r>
              <w:rPr>
                <w:rFonts w:ascii="Times New Roman" w:hAnsi="Times New Roman"/>
                <w:sz w:val="24"/>
              </w:rPr>
              <w:t>910-914</w:t>
            </w:r>
          </w:p>
        </w:tc>
        <w:tc>
          <w:tcPr>
            <w:tcW w:w="8079" w:type="dxa"/>
          </w:tcPr>
          <w:p w:rsidR="00FD54FC" w:rsidRPr="00392FFD"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Nombre d'événements</w:t>
            </w:r>
          </w:p>
          <w:p w:rsidR="00FD54FC" w:rsidRPr="00392FFD" w:rsidRDefault="00FD54FC" w:rsidP="00FD54FC">
            <w:pPr>
              <w:rPr>
                <w:rFonts w:ascii="Times New Roman" w:hAnsi="Times New Roman"/>
                <w:sz w:val="24"/>
              </w:rPr>
            </w:pPr>
            <w:r>
              <w:rPr>
                <w:rFonts w:ascii="Times New Roman" w:hAnsi="Times New Roman"/>
                <w:sz w:val="24"/>
              </w:rPr>
              <w:t xml:space="preserve">À la ligne 910, le nombre d’événements au-dessus du seuil interne, par type d’événement, pour l’ensemble des lignes d’activité sera déclaré. Ce chiffre peut être inférieur à l’agrégation des nombres d’événements par ligne d’activité, puisque les événements qui ont un impact multiple (impact dans plusieurs lignes d’activité) sont considérés comme un seul événement. Il peut être supérieur si un </w:t>
            </w:r>
            <w:r>
              <w:rPr>
                <w:rFonts w:ascii="Times New Roman" w:hAnsi="Times New Roman"/>
                <w:sz w:val="24"/>
              </w:rPr>
              <w:lastRenderedPageBreak/>
              <w:t>établissement qui calcule ses exigences de fonds propres selon l'approche BIA n’est pas en mesure dans chaque cas d’identifier la ou les lignes d'activités sur lesquelles la perte a une incidence.</w:t>
            </w:r>
          </w:p>
          <w:p w:rsidR="00FD54FC" w:rsidRPr="00392FFD" w:rsidRDefault="00FD54FC" w:rsidP="00FD54FC">
            <w:pPr>
              <w:rPr>
                <w:rFonts w:ascii="Times New Roman" w:hAnsi="Times New Roman"/>
                <w:sz w:val="24"/>
              </w:rPr>
            </w:pPr>
            <w:r>
              <w:rPr>
                <w:rFonts w:ascii="Times New Roman" w:hAnsi="Times New Roman"/>
                <w:sz w:val="24"/>
              </w:rPr>
              <w:t>Aux lignes 911 – 914, on indiquera le nombre d'évènements pour lesquels le montant de perte brute se situe dans la fourchette définie pour la ligne concernée.</w:t>
            </w:r>
          </w:p>
          <w:p w:rsidR="00FD54FC" w:rsidRPr="00392FFD" w:rsidRDefault="00FD54FC" w:rsidP="00FD54FC">
            <w:pPr>
              <w:rPr>
                <w:rFonts w:ascii="Times New Roman" w:hAnsi="Times New Roman"/>
                <w:sz w:val="24"/>
              </w:rPr>
            </w:pPr>
            <w:r>
              <w:rPr>
                <w:rFonts w:ascii="Times New Roman" w:hAnsi="Times New Roman"/>
                <w:sz w:val="24"/>
              </w:rPr>
              <w:t>Pour autant que l’établissement ait affecté toutes ses pertes soit à une ligne d’activité figurant dans le tableau 2 de l’article 317, paragraphe 4, du CRR, soit à la ligne d'activité «éléments d’entreprises» visée à l'article 322, paragraphe 3, point b), du CRR, ou respectivement qu'il ait identifié tous les types d’évènement pour toutes les pertes, les conditions suivantes s'appliquent pour la colonne 080:</w:t>
            </w:r>
          </w:p>
          <w:p w:rsidR="00FD54FC" w:rsidRPr="00392FFD" w:rsidRDefault="00125707" w:rsidP="0023700C">
            <w:pPr>
              <w:ind w:left="360" w:hanging="360"/>
              <w:rPr>
                <w:rFonts w:ascii="Times New Roman" w:hAnsi="Times New Roman"/>
                <w:sz w:val="24"/>
              </w:rPr>
            </w:pPr>
            <w:r>
              <w:rPr>
                <w:rFonts w:ascii="Times New Roman" w:hAnsi="Times New Roman"/>
                <w:sz w:val="24"/>
              </w:rPr>
              <w:t>-</w:t>
            </w:r>
            <w:r>
              <w:tab/>
            </w:r>
            <w:r>
              <w:rPr>
                <w:rFonts w:ascii="Times New Roman" w:hAnsi="Times New Roman"/>
                <w:sz w:val="24"/>
              </w:rPr>
              <w:t>le total des nombres d’événements déclaré dans les lignes 910 à 914 est égal à l’agrégation horizontale des nombres d’événements dans la ligne en question, étant donné que dans ces chiffres, les événements ayant une incidence dans plusieurs lignes d’activité ont déjà été considérés comme un événement unique.</w:t>
            </w:r>
          </w:p>
          <w:p w:rsidR="00FD54FC" w:rsidRPr="00392FFD" w:rsidRDefault="00125707" w:rsidP="0023700C">
            <w:pPr>
              <w:ind w:left="360" w:hanging="360"/>
              <w:rPr>
                <w:rStyle w:val="InstructionsTabelleberschrift"/>
                <w:rFonts w:ascii="Times New Roman" w:hAnsi="Times New Roman"/>
                <w:b w:val="0"/>
                <w:bCs w:val="0"/>
                <w:sz w:val="24"/>
                <w:u w:val="none"/>
              </w:rPr>
            </w:pPr>
            <w:r>
              <w:rPr>
                <w:rStyle w:val="InstructionsTabelleberschrift"/>
                <w:rFonts w:ascii="Times New Roman" w:hAnsi="Times New Roman"/>
                <w:b w:val="0"/>
                <w:sz w:val="24"/>
                <w:u w:val="none"/>
              </w:rPr>
              <w:t>-</w:t>
            </w:r>
            <w:r>
              <w:tab/>
            </w:r>
            <w:r>
              <w:rPr>
                <w:rFonts w:ascii="Times New Roman" w:hAnsi="Times New Roman"/>
                <w:sz w:val="24"/>
              </w:rPr>
              <w:t>La valeur déclarée dans la colonne 080, ligne 910 ne sera pas nécessairement égale à l’agrégation verticale des nombres d’événements qui figurent dans la colonne 080, étant donné qu’un événement donné peut avoir une incidence sur plusieurs lignes d’activité simultanément.</w:t>
            </w:r>
          </w:p>
        </w:tc>
      </w:tr>
      <w:tr w:rsidR="00FD54FC" w:rsidRPr="00392FFD" w:rsidTr="00FD54FC">
        <w:tc>
          <w:tcPr>
            <w:tcW w:w="1101" w:type="dxa"/>
          </w:tcPr>
          <w:p w:rsidR="00FD54FC" w:rsidRPr="00392FFD" w:rsidRDefault="00FD54FC" w:rsidP="000F70EC">
            <w:pPr>
              <w:rPr>
                <w:rFonts w:ascii="Times New Roman" w:hAnsi="Times New Roman"/>
                <w:bCs/>
                <w:sz w:val="24"/>
              </w:rPr>
            </w:pPr>
            <w:r>
              <w:rPr>
                <w:rFonts w:ascii="Times New Roman" w:hAnsi="Times New Roman"/>
                <w:sz w:val="24"/>
              </w:rPr>
              <w:lastRenderedPageBreak/>
              <w:t>920-924</w:t>
            </w:r>
          </w:p>
        </w:tc>
        <w:tc>
          <w:tcPr>
            <w:tcW w:w="8079" w:type="dxa"/>
          </w:tcPr>
          <w:p w:rsidR="00FD54FC" w:rsidRPr="00392FFD"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Montant de perte brute (nouveaux évènements)</w:t>
            </w:r>
          </w:p>
          <w:p w:rsidR="00FD54FC" w:rsidRPr="00392FFD" w:rsidRDefault="00FD54FC" w:rsidP="00FD54FC">
            <w:pPr>
              <w:rPr>
                <w:rFonts w:ascii="Times New Roman" w:hAnsi="Times New Roman"/>
                <w:sz w:val="24"/>
              </w:rPr>
            </w:pPr>
            <w:r>
              <w:rPr>
                <w:rFonts w:ascii="Times New Roman" w:hAnsi="Times New Roman"/>
                <w:sz w:val="24"/>
              </w:rPr>
              <w:t xml:space="preserve">Pour autant que l’établissement ait affecté toutes ses pertes soit à une ligne d’activité figurant dans le tableau 2 de l’article 317, paragraphe 4, du CRR, soit à la ligne d'activité «éléments d’entreprises» visée à l'article 322, paragraphe 3, point b), du CRR, le montant de perte brute (nouveaux évènements) déclaré dans la ligne 920 correspond à la simple agrégation des montants de perte brut des nouveaux évènements pour chaque ligne d'activité. </w:t>
            </w:r>
          </w:p>
          <w:p w:rsidR="00FD54FC" w:rsidRPr="00392FFD" w:rsidRDefault="00FD54FC" w:rsidP="00FD54FC">
            <w:pPr>
              <w:rPr>
                <w:rStyle w:val="InstructionsTabelleberschrift"/>
                <w:rFonts w:ascii="Times New Roman" w:hAnsi="Times New Roman"/>
                <w:sz w:val="24"/>
              </w:rPr>
            </w:pPr>
            <w:r>
              <w:rPr>
                <w:rFonts w:ascii="Times New Roman" w:hAnsi="Times New Roman"/>
                <w:sz w:val="24"/>
              </w:rPr>
              <w:t>Aux lignes 921 – 924, on indiquera le montant de perte brute pour les évèn</w:t>
            </w:r>
            <w:r>
              <w:rPr>
                <w:rFonts w:ascii="Times New Roman" w:hAnsi="Times New Roman"/>
                <w:sz w:val="24"/>
              </w:rPr>
              <w:t>e</w:t>
            </w:r>
            <w:r>
              <w:rPr>
                <w:rFonts w:ascii="Times New Roman" w:hAnsi="Times New Roman"/>
                <w:sz w:val="24"/>
              </w:rPr>
              <w:t>ments pour lesquels le montant de perte brute se situe dans la fourchette définie pour la ligne concernée.</w:t>
            </w:r>
          </w:p>
        </w:tc>
      </w:tr>
      <w:tr w:rsidR="00FD54FC" w:rsidRPr="00392FFD" w:rsidTr="00FD54FC">
        <w:tc>
          <w:tcPr>
            <w:tcW w:w="1101" w:type="dxa"/>
          </w:tcPr>
          <w:p w:rsidR="00FD54FC" w:rsidRPr="00392FFD" w:rsidRDefault="00FD54FC" w:rsidP="00FD54FC">
            <w:pPr>
              <w:rPr>
                <w:rFonts w:ascii="Times New Roman" w:hAnsi="Times New Roman"/>
                <w:bCs/>
                <w:sz w:val="24"/>
              </w:rPr>
            </w:pPr>
            <w:r>
              <w:rPr>
                <w:rFonts w:ascii="Times New Roman" w:hAnsi="Times New Roman"/>
                <w:sz w:val="24"/>
              </w:rPr>
              <w:t>930, 935, 936</w:t>
            </w:r>
          </w:p>
        </w:tc>
        <w:tc>
          <w:tcPr>
            <w:tcW w:w="8079" w:type="dxa"/>
          </w:tcPr>
          <w:p w:rsidR="00FD54FC" w:rsidRPr="00392FFD" w:rsidRDefault="00FD54FC" w:rsidP="00FD54FC">
            <w:pPr>
              <w:rPr>
                <w:rFonts w:ascii="Times New Roman" w:hAnsi="Times New Roman"/>
                <w:sz w:val="24"/>
              </w:rPr>
            </w:pPr>
            <w:r>
              <w:rPr>
                <w:rStyle w:val="InstructionsTabelleberschrift"/>
                <w:rFonts w:ascii="Times New Roman" w:hAnsi="Times New Roman"/>
                <w:sz w:val="24"/>
              </w:rPr>
              <w:t>Nombre d’événements de perte faisant l'objet d'ajustements de perte</w:t>
            </w:r>
          </w:p>
          <w:p w:rsidR="00FD54FC" w:rsidRPr="00392FFD" w:rsidRDefault="00FD54FC" w:rsidP="00FD54FC">
            <w:pPr>
              <w:rPr>
                <w:rFonts w:ascii="Times New Roman" w:hAnsi="Times New Roman"/>
                <w:sz w:val="24"/>
              </w:rPr>
            </w:pPr>
            <w:r>
              <w:rPr>
                <w:rFonts w:ascii="Times New Roman" w:hAnsi="Times New Roman"/>
                <w:sz w:val="24"/>
              </w:rPr>
              <w:t>À la ligne 930, on indiquera le nombre d'évènements faisant l'objet d'ajustements de perte tels que définis pour les lignes 030, 130, ...,830. Ce chiffre peut être inf</w:t>
            </w:r>
            <w:r>
              <w:rPr>
                <w:rFonts w:ascii="Times New Roman" w:hAnsi="Times New Roman"/>
                <w:sz w:val="24"/>
              </w:rPr>
              <w:t>é</w:t>
            </w:r>
            <w:r>
              <w:rPr>
                <w:rFonts w:ascii="Times New Roman" w:hAnsi="Times New Roman"/>
                <w:sz w:val="24"/>
              </w:rPr>
              <w:t>rieur à l’agrégation des nombres d’événements faisant l'objet d'ajustements de perte par ligne d’activité, puisque les événements qui ont un impact multiple (i</w:t>
            </w:r>
            <w:r>
              <w:rPr>
                <w:rFonts w:ascii="Times New Roman" w:hAnsi="Times New Roman"/>
                <w:sz w:val="24"/>
              </w:rPr>
              <w:t>m</w:t>
            </w:r>
            <w:r>
              <w:rPr>
                <w:rFonts w:ascii="Times New Roman" w:hAnsi="Times New Roman"/>
                <w:sz w:val="24"/>
              </w:rPr>
              <w:t>pact dans plusieurs lignes d’activité) sont considérés comme un seul événement. Il peut être supérieur si un établissement qui calcule ses exigences de fonds propres selon l'approche BIA n’est pas en mesure dans chaque cas d’identifier la ou les lignes d'activités sur lesquelles la perte a une incidence.</w:t>
            </w:r>
          </w:p>
          <w:p w:rsidR="00FD54FC" w:rsidRPr="00392FFD" w:rsidRDefault="00FD54FC" w:rsidP="00FD54FC">
            <w:pPr>
              <w:rPr>
                <w:rStyle w:val="InstructionsTabelleberschrift"/>
                <w:rFonts w:ascii="Times New Roman" w:hAnsi="Times New Roman"/>
                <w:sz w:val="24"/>
              </w:rPr>
            </w:pPr>
            <w:r>
              <w:rPr>
                <w:rFonts w:ascii="Times New Roman" w:hAnsi="Times New Roman"/>
                <w:sz w:val="24"/>
              </w:rPr>
              <w:t>Le nombre d’événements de perte faisant l'objet d'ajustements de perte sera r</w:t>
            </w:r>
            <w:r>
              <w:rPr>
                <w:rFonts w:ascii="Times New Roman" w:hAnsi="Times New Roman"/>
                <w:sz w:val="24"/>
              </w:rPr>
              <w:t>é</w:t>
            </w:r>
            <w:r>
              <w:rPr>
                <w:rFonts w:ascii="Times New Roman" w:hAnsi="Times New Roman"/>
                <w:sz w:val="24"/>
              </w:rPr>
              <w:t>parti entre le nombre d'évènements pour lesquels un ajustement de perte positif a été effectué au cours de la période de déclaration de référence et le nombre d'évènements pour lesquels un ajustement de perte négatif a été effectué au cours de la période de déclaration (tous seront assortis d’un signe positif).</w:t>
            </w:r>
          </w:p>
        </w:tc>
      </w:tr>
      <w:tr w:rsidR="00FD54FC" w:rsidRPr="00392FFD" w:rsidTr="00FD54FC">
        <w:tc>
          <w:tcPr>
            <w:tcW w:w="1101" w:type="dxa"/>
          </w:tcPr>
          <w:p w:rsidR="00FD54FC" w:rsidRPr="00392FFD" w:rsidRDefault="00FD54FC" w:rsidP="00FD54FC">
            <w:pPr>
              <w:rPr>
                <w:rFonts w:ascii="Times New Roman" w:hAnsi="Times New Roman"/>
                <w:sz w:val="24"/>
              </w:rPr>
            </w:pPr>
            <w:r>
              <w:rPr>
                <w:rFonts w:ascii="Times New Roman" w:hAnsi="Times New Roman"/>
                <w:sz w:val="24"/>
              </w:rPr>
              <w:lastRenderedPageBreak/>
              <w:t>940, 945, 946</w:t>
            </w:r>
          </w:p>
        </w:tc>
        <w:tc>
          <w:tcPr>
            <w:tcW w:w="8079" w:type="dxa"/>
          </w:tcPr>
          <w:p w:rsidR="00FD54FC" w:rsidRPr="00392FFD" w:rsidRDefault="00FD54FC" w:rsidP="00FD54FC">
            <w:pPr>
              <w:rPr>
                <w:rFonts w:ascii="Times New Roman" w:hAnsi="Times New Roman"/>
                <w:sz w:val="24"/>
              </w:rPr>
            </w:pPr>
            <w:r>
              <w:rPr>
                <w:rStyle w:val="InstructionsTabelleberschrift"/>
                <w:rFonts w:ascii="Times New Roman" w:hAnsi="Times New Roman"/>
                <w:sz w:val="24"/>
              </w:rPr>
              <w:t>Ajustements de perte relatifs à des périodes de déclaration précédentes</w:t>
            </w:r>
          </w:p>
          <w:p w:rsidR="00FD54FC" w:rsidRPr="00392FFD" w:rsidRDefault="00FD54FC" w:rsidP="00FD54FC">
            <w:pPr>
              <w:rPr>
                <w:rFonts w:ascii="Times New Roman" w:hAnsi="Times New Roman"/>
                <w:sz w:val="24"/>
              </w:rPr>
            </w:pPr>
            <w:r>
              <w:rPr>
                <w:rFonts w:ascii="Times New Roman" w:hAnsi="Times New Roman"/>
                <w:sz w:val="24"/>
              </w:rPr>
              <w:t>À la ligne 940, on indiquera le total des montants d'ajustement de perte relatifs à des périodes de déclaration précédentes par ligne d'activité (tels que définis pour les lignes 040, 140, ...,840). Pour autant que l’établissement ait affecté toutes ses pertes soit à une ligne d’activité figurant dans le tableau 2 de l’article 317, par</w:t>
            </w:r>
            <w:r>
              <w:rPr>
                <w:rFonts w:ascii="Times New Roman" w:hAnsi="Times New Roman"/>
                <w:sz w:val="24"/>
              </w:rPr>
              <w:t>a</w:t>
            </w:r>
            <w:r>
              <w:rPr>
                <w:rFonts w:ascii="Times New Roman" w:hAnsi="Times New Roman"/>
                <w:sz w:val="24"/>
              </w:rPr>
              <w:t>graphe 4, du CRR, soit à la ligne d'activité «éléments d’entreprises» visée à l'a</w:t>
            </w:r>
            <w:r>
              <w:rPr>
                <w:rFonts w:ascii="Times New Roman" w:hAnsi="Times New Roman"/>
                <w:sz w:val="24"/>
              </w:rPr>
              <w:t>r</w:t>
            </w:r>
            <w:r>
              <w:rPr>
                <w:rFonts w:ascii="Times New Roman" w:hAnsi="Times New Roman"/>
                <w:sz w:val="24"/>
              </w:rPr>
              <w:t>ticle 322, paragraphe 3, point b), du CRR, le montant déclaré dans la ligne 940 correspond à la simple agrégation des ajustements de perte relatifs à des périodes de déclaration précédentes déclarés pour les différentes lignes d'activité.</w:t>
            </w:r>
          </w:p>
          <w:p w:rsidR="00FD54FC" w:rsidRPr="00392FFD" w:rsidRDefault="00FD54FC" w:rsidP="00070AF9">
            <w:pPr>
              <w:rPr>
                <w:sz w:val="24"/>
              </w:rPr>
            </w:pPr>
            <w:r>
              <w:rPr>
                <w:rFonts w:ascii="Times New Roman" w:hAnsi="Times New Roman"/>
                <w:sz w:val="24"/>
              </w:rPr>
              <w:t>Le montant des ajustements de perte sera réparti entre le montant correspondant à des évènements pour lesquels un ajustement de perte positif a été effectué au cours de la période de déclaration de référence (ligne 945, déclaré sous la forme d’un chiffre positif) et le montant correspondant à des évènements pour lesquels un ajustement de perte négatif a été effectué au cours de la période de déclaration (déclaré sous la forme d’un chiffre négatif). Si en raison d'un ajustement de perte négatif, le montant de perte ajusté attribuable à un évènement tombe sous le seuil de l’établissement pour la collecte de données internes, ce dernier déclarera le montant total de perte accumulé pour cet évènement jusqu’à la dernière fois que cet évènement a été déclaré pour une date de référence en décembre (c’est-à-dire la perte initiale plus / moins tous les ajustements de perte effectués lors de p</w:t>
            </w:r>
            <w:r>
              <w:rPr>
                <w:rFonts w:ascii="Times New Roman" w:hAnsi="Times New Roman"/>
                <w:sz w:val="24"/>
              </w:rPr>
              <w:t>é</w:t>
            </w:r>
            <w:r>
              <w:rPr>
                <w:rFonts w:ascii="Times New Roman" w:hAnsi="Times New Roman"/>
                <w:sz w:val="24"/>
              </w:rPr>
              <w:t>riodes de déclaration de référence précédentes) avec un signe négatif à la ligne 946 au lieu du montant de l'ajustement de perte négatif lui-même.</w:t>
            </w:r>
          </w:p>
        </w:tc>
      </w:tr>
      <w:tr w:rsidR="00FD54FC" w:rsidRPr="00392FFD" w:rsidTr="00FD54FC">
        <w:tc>
          <w:tcPr>
            <w:tcW w:w="1101" w:type="dxa"/>
            <w:tcBorders>
              <w:top w:val="single" w:sz="4" w:space="0" w:color="auto"/>
              <w:left w:val="single" w:sz="4" w:space="0" w:color="auto"/>
              <w:bottom w:val="single" w:sz="4" w:space="0" w:color="auto"/>
              <w:right w:val="single" w:sz="4" w:space="0" w:color="auto"/>
            </w:tcBorders>
          </w:tcPr>
          <w:p w:rsidR="00FD54FC" w:rsidRPr="00417984" w:rsidRDefault="00FD54FC" w:rsidP="00FD54FC">
            <w:pPr>
              <w:rPr>
                <w:rFonts w:ascii="Times New Roman" w:hAnsi="Times New Roman"/>
                <w:sz w:val="24"/>
              </w:rPr>
            </w:pPr>
            <w:r>
              <w:rPr>
                <w:rFonts w:ascii="Times New Roman" w:hAnsi="Times New Roman"/>
                <w:sz w:val="24"/>
              </w:rPr>
              <w:t>950</w:t>
            </w:r>
          </w:p>
        </w:tc>
        <w:tc>
          <w:tcPr>
            <w:tcW w:w="8079" w:type="dxa"/>
            <w:tcBorders>
              <w:top w:val="single" w:sz="4" w:space="0" w:color="auto"/>
              <w:left w:val="single" w:sz="4" w:space="0" w:color="auto"/>
              <w:bottom w:val="single" w:sz="4" w:space="0" w:color="auto"/>
              <w:right w:val="single" w:sz="4" w:space="0" w:color="auto"/>
            </w:tcBorders>
          </w:tcPr>
          <w:p w:rsidR="00FD54FC" w:rsidRPr="00417984"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Perte individuelle maximale</w:t>
            </w:r>
          </w:p>
          <w:p w:rsidR="00FD54FC" w:rsidRPr="00392FFD" w:rsidRDefault="00FD54FC" w:rsidP="00FD54FC">
            <w:pPr>
              <w:rPr>
                <w:rFonts w:ascii="Times New Roman" w:hAnsi="Times New Roman"/>
                <w:sz w:val="24"/>
              </w:rPr>
            </w:pPr>
            <w:r>
              <w:rPr>
                <w:rFonts w:ascii="Times New Roman" w:hAnsi="Times New Roman"/>
                <w:sz w:val="24"/>
              </w:rPr>
              <w:t>Pour autant que l’établissement ait affecté toutes ses pertes soit à une ligne d’activité figurant dans le tableau 2 de l’article 317, paragraphe 4, du CRR, soit à la ligne d'activité «éléments d’entreprises» visée à l'article 322, paragraphe 3, point b), du CRR, la perte individuelle maximale est la perte maximale au-dessus du seuil interne pour chaque type d'évènement et parmi toutes les lignes d'activ</w:t>
            </w:r>
            <w:r>
              <w:rPr>
                <w:rFonts w:ascii="Times New Roman" w:hAnsi="Times New Roman"/>
                <w:sz w:val="24"/>
              </w:rPr>
              <w:t>i</w:t>
            </w:r>
            <w:r>
              <w:rPr>
                <w:rFonts w:ascii="Times New Roman" w:hAnsi="Times New Roman"/>
                <w:sz w:val="24"/>
              </w:rPr>
              <w:t>té. Ces chiffres peuvent être supérieurs à la perte individuelle la plus élevée enr</w:t>
            </w:r>
            <w:r>
              <w:rPr>
                <w:rFonts w:ascii="Times New Roman" w:hAnsi="Times New Roman"/>
                <w:sz w:val="24"/>
              </w:rPr>
              <w:t>e</w:t>
            </w:r>
            <w:r>
              <w:rPr>
                <w:rFonts w:ascii="Times New Roman" w:hAnsi="Times New Roman"/>
                <w:sz w:val="24"/>
              </w:rPr>
              <w:t>gistrée dans chaque ligne d’activité si un événement touche plusieurs lignes d’activité.</w:t>
            </w:r>
          </w:p>
          <w:p w:rsidR="00FD54FC" w:rsidRPr="00392FFD" w:rsidRDefault="00FD54FC" w:rsidP="00FD54FC">
            <w:pPr>
              <w:rPr>
                <w:rFonts w:ascii="Times New Roman" w:hAnsi="Times New Roman"/>
                <w:sz w:val="24"/>
              </w:rPr>
            </w:pPr>
            <w:r>
              <w:rPr>
                <w:rFonts w:ascii="Times New Roman" w:hAnsi="Times New Roman"/>
                <w:sz w:val="24"/>
              </w:rPr>
              <w:t>Pour autant que l’établissement ait affecté toutes ses pertes soit à une ligne d’activité figurant dans le tableau 2 de l’article 317, paragraphe 4, du CRR, soit à la ligne d'activité «éléments d’entreprises» visée à l'article 322, paragraphe 3, point b), du CRR, ou respectivement qu'il ait identifié tous les types d’évènement pour toutes les pertes, les conditions suivantes s'appliquent pour la colonne 080:</w:t>
            </w:r>
          </w:p>
          <w:p w:rsidR="00FD54FC" w:rsidRPr="00392FFD" w:rsidRDefault="00125707" w:rsidP="0023700C">
            <w:pPr>
              <w:ind w:left="360" w:hanging="360"/>
              <w:rPr>
                <w:rFonts w:ascii="Times New Roman" w:hAnsi="Times New Roman"/>
                <w:b/>
                <w:bCs/>
                <w:sz w:val="24"/>
                <w:u w:val="single"/>
              </w:rPr>
            </w:pPr>
            <w:r>
              <w:rPr>
                <w:rFonts w:ascii="Times New Roman" w:hAnsi="Times New Roman"/>
                <w:sz w:val="24"/>
              </w:rPr>
              <w:t>-</w:t>
            </w:r>
            <w:r>
              <w:tab/>
            </w:r>
            <w:r>
              <w:rPr>
                <w:rFonts w:ascii="Times New Roman" w:hAnsi="Times New Roman"/>
                <w:sz w:val="24"/>
              </w:rPr>
              <w:t>La perte individuelle maximale déclarée est égale à la plus élevée des valeurs déclarées dans les colonnes 010 – 070 de cette ligne.</w:t>
            </w:r>
          </w:p>
          <w:p w:rsidR="00FD54FC" w:rsidRPr="00392FFD" w:rsidRDefault="00125707" w:rsidP="0023700C">
            <w:pPr>
              <w:ind w:left="360" w:hanging="360"/>
              <w:rPr>
                <w:rStyle w:val="InstructionsTabelleberschrift"/>
                <w:rFonts w:ascii="Times New Roman" w:hAnsi="Times New Roman"/>
                <w:bCs w:val="0"/>
                <w:sz w:val="24"/>
              </w:rPr>
            </w:pPr>
            <w:r>
              <w:rPr>
                <w:rStyle w:val="InstructionsTabelleberschrift"/>
                <w:rFonts w:ascii="Times New Roman" w:hAnsi="Times New Roman"/>
                <w:b w:val="0"/>
                <w:sz w:val="24"/>
                <w:u w:val="none"/>
              </w:rPr>
              <w:t>-</w:t>
            </w:r>
            <w:r>
              <w:tab/>
            </w:r>
            <w:r>
              <w:rPr>
                <w:rFonts w:ascii="Times New Roman" w:hAnsi="Times New Roman"/>
                <w:sz w:val="24"/>
              </w:rPr>
              <w:t xml:space="preserve">S’il y a des évènements ayant une incidence sur plusieurs lignes d'activité, le montant déclaré dans {r950, c080} peut être supérieur aux montants de «perte individuelle maximale» par ligne d'activité déclarés dans les autres lignes de la colonne 080. </w:t>
            </w:r>
          </w:p>
        </w:tc>
      </w:tr>
      <w:tr w:rsidR="00FD54FC" w:rsidRPr="00392FFD" w:rsidTr="00FD54FC">
        <w:tc>
          <w:tcPr>
            <w:tcW w:w="1101" w:type="dxa"/>
            <w:tcBorders>
              <w:top w:val="single" w:sz="4" w:space="0" w:color="auto"/>
              <w:left w:val="single" w:sz="4" w:space="0" w:color="auto"/>
              <w:bottom w:val="single" w:sz="4" w:space="0" w:color="auto"/>
              <w:right w:val="single" w:sz="4" w:space="0" w:color="auto"/>
            </w:tcBorders>
          </w:tcPr>
          <w:p w:rsidR="00FD54FC" w:rsidRPr="00392FFD" w:rsidRDefault="00FD54FC" w:rsidP="00FD54FC">
            <w:pPr>
              <w:rPr>
                <w:rFonts w:ascii="Times New Roman" w:hAnsi="Times New Roman"/>
                <w:sz w:val="24"/>
              </w:rPr>
            </w:pPr>
            <w:r>
              <w:rPr>
                <w:rFonts w:ascii="Times New Roman" w:hAnsi="Times New Roman"/>
                <w:sz w:val="24"/>
              </w:rPr>
              <w:t>960</w:t>
            </w:r>
          </w:p>
        </w:tc>
        <w:tc>
          <w:tcPr>
            <w:tcW w:w="8079" w:type="dxa"/>
            <w:tcBorders>
              <w:top w:val="single" w:sz="4" w:space="0" w:color="auto"/>
              <w:left w:val="single" w:sz="4" w:space="0" w:color="auto"/>
              <w:bottom w:val="single" w:sz="4" w:space="0" w:color="auto"/>
              <w:right w:val="single" w:sz="4" w:space="0" w:color="auto"/>
            </w:tcBorders>
          </w:tcPr>
          <w:p w:rsidR="00FD54FC" w:rsidRPr="00392FFD"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Somme des cinq pertes les plus élevées</w:t>
            </w:r>
          </w:p>
          <w:p w:rsidR="00FD54FC" w:rsidRPr="00392FFD" w:rsidRDefault="00FD54FC" w:rsidP="00FD54FC">
            <w:pPr>
              <w:rPr>
                <w:rFonts w:ascii="Times New Roman" w:hAnsi="Times New Roman"/>
                <w:sz w:val="24"/>
              </w:rPr>
            </w:pPr>
            <w:r>
              <w:rPr>
                <w:rFonts w:ascii="Times New Roman" w:hAnsi="Times New Roman"/>
                <w:sz w:val="24"/>
              </w:rPr>
              <w:t>La somme des cinq pertes brutes les plus élevées pour chaque type d’événement et parmi toutes les lignes d’activité est déclarée. Cette somme peut être sup</w:t>
            </w:r>
            <w:r>
              <w:rPr>
                <w:rFonts w:ascii="Times New Roman" w:hAnsi="Times New Roman"/>
                <w:sz w:val="24"/>
              </w:rPr>
              <w:t>é</w:t>
            </w:r>
            <w:r>
              <w:rPr>
                <w:rFonts w:ascii="Times New Roman" w:hAnsi="Times New Roman"/>
                <w:sz w:val="24"/>
              </w:rPr>
              <w:lastRenderedPageBreak/>
              <w:t xml:space="preserve">rieure à la plus élevée des sommes des cinq pertes les plus élevées enregistrées dans chaque ligne d’activité. Cette somme doit être déclarée quel que soit le nombre de pertes. </w:t>
            </w:r>
          </w:p>
          <w:p w:rsidR="00FD54FC" w:rsidRPr="00392FFD" w:rsidRDefault="00FD54FC" w:rsidP="00FD54FC">
            <w:pPr>
              <w:rPr>
                <w:rStyle w:val="InstructionsTabelleberschrift"/>
                <w:rFonts w:ascii="Times New Roman" w:hAnsi="Times New Roman"/>
                <w:sz w:val="24"/>
              </w:rPr>
            </w:pPr>
            <w:r>
              <w:rPr>
                <w:rFonts w:ascii="Times New Roman" w:hAnsi="Times New Roman"/>
                <w:sz w:val="24"/>
              </w:rPr>
              <w:t>Pour autant que l’établissement ait affecté toutes ses pertes soit à une ligne d’activité figurant dans le tableau 2 de l’article 317, paragraphe 4, du CRR, soit à la ligne d'activité «éléments d’entreprises» visée à l'article 322, paragraphe 3, point b), du CRR, ou respectivement qu'il ait identifié tous les types d’évènement pour toutes les pertes, pour la colonne 080, la somme des cinq pertes les plus él</w:t>
            </w:r>
            <w:r>
              <w:rPr>
                <w:rFonts w:ascii="Times New Roman" w:hAnsi="Times New Roman"/>
                <w:sz w:val="24"/>
              </w:rPr>
              <w:t>e</w:t>
            </w:r>
            <w:r>
              <w:rPr>
                <w:rFonts w:ascii="Times New Roman" w:hAnsi="Times New Roman"/>
                <w:sz w:val="24"/>
              </w:rPr>
              <w:t>vées sera la somme des cinq pertes les plus élevées dans toute la matrice, ce qui signifie que cette valeur ne sera pas nécessairement égale à la valeur maximale de la «somme des cinq pertes les plus élevées» dans la ligne 960 ni à la valeur maximale de la «somme des cinq pertes les plus élevées» dans la colonne 080.</w:t>
            </w:r>
          </w:p>
        </w:tc>
      </w:tr>
      <w:tr w:rsidR="00FD54FC" w:rsidRPr="00392FFD" w:rsidTr="00FD54FC">
        <w:tc>
          <w:tcPr>
            <w:tcW w:w="1101" w:type="dxa"/>
            <w:tcBorders>
              <w:top w:val="single" w:sz="4" w:space="0" w:color="auto"/>
              <w:left w:val="single" w:sz="4" w:space="0" w:color="auto"/>
              <w:bottom w:val="single" w:sz="4" w:space="0" w:color="auto"/>
              <w:right w:val="single" w:sz="4" w:space="0" w:color="auto"/>
            </w:tcBorders>
          </w:tcPr>
          <w:p w:rsidR="00FD54FC" w:rsidRPr="00392FFD" w:rsidRDefault="00FD54FC" w:rsidP="00FD54FC">
            <w:pPr>
              <w:rPr>
                <w:rFonts w:ascii="Times New Roman" w:hAnsi="Times New Roman"/>
                <w:sz w:val="24"/>
              </w:rPr>
            </w:pPr>
            <w:r>
              <w:rPr>
                <w:rFonts w:ascii="Times New Roman" w:hAnsi="Times New Roman"/>
                <w:sz w:val="24"/>
              </w:rPr>
              <w:lastRenderedPageBreak/>
              <w:t>970</w:t>
            </w:r>
          </w:p>
        </w:tc>
        <w:tc>
          <w:tcPr>
            <w:tcW w:w="8079" w:type="dxa"/>
            <w:tcBorders>
              <w:top w:val="single" w:sz="4" w:space="0" w:color="auto"/>
              <w:left w:val="single" w:sz="4" w:space="0" w:color="auto"/>
              <w:bottom w:val="single" w:sz="4" w:space="0" w:color="auto"/>
              <w:right w:val="single" w:sz="4" w:space="0" w:color="auto"/>
            </w:tcBorders>
          </w:tcPr>
          <w:p w:rsidR="00FD54FC" w:rsidRPr="00392FFD"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Recouvrements de pertes directs totaux</w:t>
            </w:r>
          </w:p>
          <w:p w:rsidR="00FD54FC" w:rsidRPr="00392FFD" w:rsidRDefault="00FD54FC" w:rsidP="00FD54FC">
            <w:pPr>
              <w:rPr>
                <w:rStyle w:val="InstructionsTabelleberschrift"/>
                <w:rFonts w:ascii="Times New Roman" w:hAnsi="Times New Roman"/>
                <w:sz w:val="24"/>
              </w:rPr>
            </w:pPr>
            <w:r>
              <w:rPr>
                <w:rFonts w:ascii="Times New Roman" w:hAnsi="Times New Roman"/>
                <w:sz w:val="24"/>
              </w:rPr>
              <w:t>Pour autant que l’établissement ait affecté toutes ses pertes soit à une ligne d’activité figurant dans le tableau 2 de l’article 317, paragraphe 4, du CRR, soit à la ligne d'activité «éléments d’entreprises» visée à l'article 322, paragraphe 3, point b), du CRR, les recouvrements de pertes directs totaux correspondent à la simple agrégation des recouvrements de pertes directs totaux pour chaque ligne d'activité.</w:t>
            </w:r>
          </w:p>
        </w:tc>
      </w:tr>
      <w:tr w:rsidR="00FD54FC" w:rsidRPr="00392FFD" w:rsidTr="00FD54FC">
        <w:tc>
          <w:tcPr>
            <w:tcW w:w="1101" w:type="dxa"/>
            <w:tcBorders>
              <w:top w:val="single" w:sz="4" w:space="0" w:color="auto"/>
              <w:left w:val="single" w:sz="4" w:space="0" w:color="auto"/>
              <w:bottom w:val="single" w:sz="4" w:space="0" w:color="auto"/>
              <w:right w:val="single" w:sz="4" w:space="0" w:color="auto"/>
            </w:tcBorders>
          </w:tcPr>
          <w:p w:rsidR="00FD54FC" w:rsidRPr="00392FFD" w:rsidRDefault="00FD54FC" w:rsidP="00FD54FC">
            <w:pPr>
              <w:rPr>
                <w:rFonts w:ascii="Times New Roman" w:hAnsi="Times New Roman"/>
                <w:sz w:val="24"/>
              </w:rPr>
            </w:pPr>
            <w:r>
              <w:rPr>
                <w:rFonts w:ascii="Times New Roman" w:hAnsi="Times New Roman"/>
                <w:sz w:val="24"/>
              </w:rPr>
              <w:t>980</w:t>
            </w:r>
          </w:p>
        </w:tc>
        <w:tc>
          <w:tcPr>
            <w:tcW w:w="8079" w:type="dxa"/>
            <w:tcBorders>
              <w:top w:val="single" w:sz="4" w:space="0" w:color="auto"/>
              <w:left w:val="single" w:sz="4" w:space="0" w:color="auto"/>
              <w:bottom w:val="single" w:sz="4" w:space="0" w:color="auto"/>
              <w:right w:val="single" w:sz="4" w:space="0" w:color="auto"/>
            </w:tcBorders>
          </w:tcPr>
          <w:p w:rsidR="00FD54FC" w:rsidRPr="00392FFD"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Recouvrements totaux provenant des assurances et autres mécanismes de transfert du risque</w:t>
            </w:r>
          </w:p>
          <w:p w:rsidR="00FD54FC" w:rsidRPr="00392FFD" w:rsidRDefault="00FD54FC" w:rsidP="00FD54FC">
            <w:pPr>
              <w:rPr>
                <w:rFonts w:ascii="Times New Roman" w:hAnsi="Times New Roman"/>
                <w:b/>
                <w:bCs/>
                <w:sz w:val="24"/>
                <w:u w:val="single"/>
              </w:rPr>
            </w:pPr>
            <w:r>
              <w:rPr>
                <w:rFonts w:ascii="Times New Roman" w:hAnsi="Times New Roman"/>
                <w:sz w:val="24"/>
              </w:rPr>
              <w:t>Pour autant que l’établissement ait affecté toutes ses pertes soit à une ligne d’activité figurant dans le tableau 2 de l’article 317, paragraphe 4, du CRR, soit à la ligne d'activité «éléments d’entreprises» visée à l'article 322, paragraphe 3, point b), du CRR, les recouvrements totaux provenant des assurances et autres mécanismes de transfert du risque correspondent à la simple agrégation des r</w:t>
            </w:r>
            <w:r>
              <w:rPr>
                <w:rFonts w:ascii="Times New Roman" w:hAnsi="Times New Roman"/>
                <w:sz w:val="24"/>
              </w:rPr>
              <w:t>e</w:t>
            </w:r>
            <w:r>
              <w:rPr>
                <w:rFonts w:ascii="Times New Roman" w:hAnsi="Times New Roman"/>
                <w:sz w:val="24"/>
              </w:rPr>
              <w:t>couvrements de perte totaux provenant des assurances et autres mécanismes de transfert du risque pour chaque ligne d'activité.</w:t>
            </w:r>
          </w:p>
        </w:tc>
      </w:tr>
    </w:tbl>
    <w:p w:rsidR="00FD54FC" w:rsidRPr="00392FFD" w:rsidRDefault="00FD54FC" w:rsidP="00FD54FC">
      <w:pPr>
        <w:spacing w:before="0" w:after="0"/>
        <w:jc w:val="left"/>
        <w:rPr>
          <w:rStyle w:val="InstructionsTabelleText"/>
          <w:rFonts w:ascii="Times New Roman" w:hAnsi="Times New Roman"/>
          <w:sz w:val="24"/>
        </w:rPr>
      </w:pPr>
    </w:p>
    <w:p w:rsidR="00FD54FC" w:rsidRPr="00321A3B" w:rsidRDefault="00125707" w:rsidP="0023700C">
      <w:pPr>
        <w:pStyle w:val="Instructionsberschrift2"/>
        <w:numPr>
          <w:ilvl w:val="0"/>
          <w:numId w:val="0"/>
        </w:numPr>
        <w:ind w:left="357" w:hanging="357"/>
        <w:rPr>
          <w:rFonts w:ascii="Times New Roman" w:hAnsi="Times New Roman" w:cs="Times New Roman"/>
          <w:sz w:val="24"/>
        </w:rPr>
      </w:pPr>
      <w:bookmarkStart w:id="497" w:name="_Toc473561028"/>
      <w:bookmarkStart w:id="498" w:name="_Toc496022339"/>
      <w:r>
        <w:rPr>
          <w:rFonts w:ascii="Times New Roman" w:hAnsi="Times New Roman"/>
          <w:sz w:val="24"/>
          <w:u w:val="none"/>
        </w:rPr>
        <w:t>4.2.3.</w:t>
      </w:r>
      <w:r>
        <w:tab/>
      </w:r>
      <w:r>
        <w:rPr>
          <w:rFonts w:ascii="Times New Roman" w:hAnsi="Times New Roman"/>
          <w:sz w:val="24"/>
        </w:rPr>
        <w:t>C 17.02: Risque opérationnel: Informations détaillées sur les évènements de perte les plus importants du dernier exercice (OPR DETAILS 2)</w:t>
      </w:r>
      <w:bookmarkEnd w:id="497"/>
      <w:bookmarkEnd w:id="498"/>
    </w:p>
    <w:p w:rsidR="00FD54FC" w:rsidRPr="00321A3B" w:rsidRDefault="00125707" w:rsidP="0023700C">
      <w:pPr>
        <w:pStyle w:val="Instructionsberschrift2"/>
        <w:numPr>
          <w:ilvl w:val="0"/>
          <w:numId w:val="0"/>
        </w:numPr>
        <w:ind w:left="357" w:hanging="357"/>
        <w:rPr>
          <w:rFonts w:ascii="Times New Roman" w:hAnsi="Times New Roman" w:cs="Times New Roman"/>
          <w:sz w:val="24"/>
        </w:rPr>
      </w:pPr>
      <w:bookmarkStart w:id="499" w:name="_Toc473561029"/>
      <w:bookmarkStart w:id="500" w:name="_Toc496022340"/>
      <w:r>
        <w:rPr>
          <w:rFonts w:ascii="Times New Roman" w:hAnsi="Times New Roman"/>
          <w:sz w:val="24"/>
          <w:u w:val="none"/>
        </w:rPr>
        <w:t>4.2.3.1.</w:t>
      </w:r>
      <w:r>
        <w:tab/>
      </w:r>
      <w:r>
        <w:rPr>
          <w:rFonts w:ascii="Times New Roman" w:hAnsi="Times New Roman"/>
          <w:sz w:val="24"/>
        </w:rPr>
        <w:t>Remarques générales</w:t>
      </w:r>
      <w:bookmarkEnd w:id="499"/>
      <w:bookmarkEnd w:id="500"/>
    </w:p>
    <w:p w:rsidR="00FD54FC" w:rsidRPr="00392FFD" w:rsidRDefault="00125707" w:rsidP="0023700C">
      <w:pPr>
        <w:pStyle w:val="InstructionsText2"/>
        <w:numPr>
          <w:ilvl w:val="0"/>
          <w:numId w:val="0"/>
        </w:numPr>
        <w:ind w:left="1353" w:hanging="360"/>
      </w:pPr>
      <w:r>
        <w:t>134.</w:t>
      </w:r>
      <w:r>
        <w:tab/>
        <w:t>Dans le modèle C 17.02, des informations sur les évènements de perte indiv</w:t>
      </w:r>
      <w:r>
        <w:t>i</w:t>
      </w:r>
      <w:r>
        <w:t>duels seront fournies (une ligne par évènement).</w:t>
      </w:r>
    </w:p>
    <w:p w:rsidR="00FD54FC" w:rsidRPr="00392FFD" w:rsidRDefault="00125707" w:rsidP="0023700C">
      <w:pPr>
        <w:pStyle w:val="InstructionsText2"/>
        <w:numPr>
          <w:ilvl w:val="0"/>
          <w:numId w:val="0"/>
        </w:numPr>
        <w:ind w:left="1353" w:hanging="360"/>
      </w:pPr>
      <w:r>
        <w:t>135.</w:t>
      </w:r>
      <w:r>
        <w:tab/>
        <w:t>Les informations déclarées dans ce modèle se rapportent aux «nouveaux év</w:t>
      </w:r>
      <w:r>
        <w:t>è</w:t>
      </w:r>
      <w:r>
        <w:t>nements», c’est-à-dire aux évènements de risque opérationnel</w:t>
      </w:r>
      <w:r>
        <w:tab/>
      </w:r>
    </w:p>
    <w:p w:rsidR="00FD54FC" w:rsidRPr="00392FFD" w:rsidRDefault="00125707" w:rsidP="0023700C">
      <w:pPr>
        <w:pStyle w:val="InstructionsText2"/>
        <w:numPr>
          <w:ilvl w:val="0"/>
          <w:numId w:val="0"/>
        </w:numPr>
        <w:ind w:left="1440" w:hanging="360"/>
      </w:pPr>
      <w:r>
        <w:t>a)</w:t>
      </w:r>
      <w:r>
        <w:tab/>
        <w:t>«comptabilisés pour la première fois» au cours de la période de déclaration de référence ou</w:t>
      </w:r>
    </w:p>
    <w:p w:rsidR="00FD54FC" w:rsidRPr="00392FFD" w:rsidRDefault="00125707" w:rsidP="0023700C">
      <w:pPr>
        <w:pStyle w:val="InstructionsText2"/>
        <w:numPr>
          <w:ilvl w:val="0"/>
          <w:numId w:val="0"/>
        </w:numPr>
        <w:ind w:left="1440" w:hanging="360"/>
      </w:pPr>
      <w:r>
        <w:t>b)</w:t>
      </w:r>
      <w:r>
        <w:tab/>
        <w:t xml:space="preserve">«comptabilisés pour la première fois» au cours d’une période de déclaration de référence précédente, si l’évènement n’avait pas été inclus dans de précédents rapports prudentiels, par exemple parce que ce n’est qu’au cours de l’actuelle </w:t>
      </w:r>
      <w:r>
        <w:lastRenderedPageBreak/>
        <w:t>période de déclaration de référence qu’il a été identifié en tant qu’évènement de risque opérationnel ou que la perte accumulée attribuable à cet évènement (c’est-à-dire la perte initiale plus / moins tous les ajustements de perte effe</w:t>
      </w:r>
      <w:r>
        <w:t>c</w:t>
      </w:r>
      <w:r>
        <w:t>tués lors de périodes de déclaration de référence précédentes) a dépassé le seuil pour la collecte des données internes.</w:t>
      </w:r>
    </w:p>
    <w:p w:rsidR="00FD54FC" w:rsidRPr="00392FFD" w:rsidRDefault="00125707" w:rsidP="0023700C">
      <w:pPr>
        <w:pStyle w:val="InstructionsText2"/>
        <w:numPr>
          <w:ilvl w:val="0"/>
          <w:numId w:val="0"/>
        </w:numPr>
        <w:ind w:left="1353" w:hanging="360"/>
      </w:pPr>
      <w:r>
        <w:t>136.</w:t>
      </w:r>
      <w:r>
        <w:tab/>
        <w:t>Seuls les évènements comportant un montant de perte brute supérieur ou égal à 100 000 EUR seront déclarés.</w:t>
      </w:r>
      <w:r>
        <w:br/>
      </w:r>
      <w:r>
        <w:tab/>
        <w:t>Sous réserve de ce seuil, seront inclus dans le modèle</w:t>
      </w:r>
    </w:p>
    <w:p w:rsidR="00FD54FC" w:rsidRPr="00392FFD" w:rsidRDefault="00125707" w:rsidP="0023700C">
      <w:pPr>
        <w:pStyle w:val="InstructionsText2"/>
        <w:numPr>
          <w:ilvl w:val="0"/>
          <w:numId w:val="0"/>
        </w:numPr>
        <w:ind w:left="1440" w:hanging="360"/>
      </w:pPr>
      <w:r>
        <w:t>a)</w:t>
      </w:r>
      <w:r>
        <w:tab/>
        <w:t>l’évènement le plus important pour chaque type d’évènement, pour autant que l’établissement ait identifié les types d'évènement pour les pertes et</w:t>
      </w:r>
    </w:p>
    <w:p w:rsidR="00FD54FC" w:rsidRPr="00392FFD" w:rsidRDefault="00125707" w:rsidP="0023700C">
      <w:pPr>
        <w:pStyle w:val="InstructionsText2"/>
        <w:numPr>
          <w:ilvl w:val="0"/>
          <w:numId w:val="0"/>
        </w:numPr>
        <w:ind w:left="1440" w:hanging="360"/>
      </w:pPr>
      <w:r>
        <w:t>b)</w:t>
      </w:r>
      <w:r>
        <w:tab/>
        <w:t xml:space="preserve">au moins les dix évènements les plus importants parmi ceux restant avec ou sans le type d'évènement identifié par montant de perte brute. </w:t>
      </w:r>
    </w:p>
    <w:p w:rsidR="00FD54FC" w:rsidRPr="00392FFD" w:rsidRDefault="00125707" w:rsidP="0023700C">
      <w:pPr>
        <w:pStyle w:val="InstructionsText2"/>
        <w:numPr>
          <w:ilvl w:val="0"/>
          <w:numId w:val="0"/>
        </w:numPr>
        <w:ind w:left="1440" w:hanging="360"/>
      </w:pPr>
      <w:r>
        <w:t>c)</w:t>
      </w:r>
      <w:r>
        <w:tab/>
        <w:t xml:space="preserve">Les évènements sont classés en fonction de la perte brute qui leur est attribuée. </w:t>
      </w:r>
    </w:p>
    <w:p w:rsidR="00FD54FC" w:rsidRPr="00392FFD" w:rsidRDefault="00125707" w:rsidP="0023700C">
      <w:pPr>
        <w:pStyle w:val="InstructionsText2"/>
        <w:numPr>
          <w:ilvl w:val="0"/>
          <w:numId w:val="0"/>
        </w:numPr>
        <w:ind w:left="1440" w:hanging="360"/>
      </w:pPr>
      <w:r>
        <w:t>d)</w:t>
      </w:r>
      <w:r>
        <w:tab/>
        <w:t>Un évènement n’est pris en considération qu’une seule fois.</w:t>
      </w:r>
    </w:p>
    <w:p w:rsidR="00FD54FC" w:rsidRPr="00321A3B" w:rsidRDefault="00125707" w:rsidP="0023700C">
      <w:pPr>
        <w:pStyle w:val="Instructionsberschrift2"/>
        <w:numPr>
          <w:ilvl w:val="0"/>
          <w:numId w:val="0"/>
        </w:numPr>
        <w:ind w:left="357" w:hanging="357"/>
        <w:rPr>
          <w:rFonts w:ascii="Times New Roman" w:hAnsi="Times New Roman" w:cs="Times New Roman"/>
          <w:sz w:val="24"/>
        </w:rPr>
      </w:pPr>
      <w:bookmarkStart w:id="501" w:name="_Toc473561030"/>
      <w:bookmarkStart w:id="502" w:name="_Toc496022341"/>
      <w:r>
        <w:rPr>
          <w:rFonts w:ascii="Times New Roman" w:hAnsi="Times New Roman"/>
          <w:sz w:val="24"/>
          <w:u w:val="none"/>
        </w:rPr>
        <w:t>4.2.3.2.</w:t>
      </w:r>
      <w:r>
        <w:tab/>
      </w:r>
      <w:r>
        <w:rPr>
          <w:rFonts w:ascii="Times New Roman" w:hAnsi="Times New Roman"/>
          <w:sz w:val="24"/>
        </w:rPr>
        <w:t>Instructions concernant certaines positions</w:t>
      </w:r>
      <w:bookmarkEnd w:id="501"/>
      <w:bookmarkEnd w:id="5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8329"/>
      </w:tblGrid>
      <w:tr w:rsidR="00FD54FC" w:rsidRPr="00392FFD" w:rsidTr="00FD54FC">
        <w:tc>
          <w:tcPr>
            <w:tcW w:w="9288" w:type="dxa"/>
            <w:gridSpan w:val="2"/>
            <w:shd w:val="clear" w:color="auto" w:fill="BFBFBF"/>
          </w:tcPr>
          <w:p w:rsidR="00FD54FC" w:rsidRPr="00392FFD" w:rsidRDefault="00FD54FC" w:rsidP="00FD54FC">
            <w:pPr>
              <w:rPr>
                <w:rFonts w:ascii="Times New Roman" w:hAnsi="Times New Roman"/>
                <w:sz w:val="24"/>
              </w:rPr>
            </w:pPr>
            <w:r>
              <w:rPr>
                <w:rFonts w:ascii="Times New Roman" w:hAnsi="Times New Roman"/>
                <w:b/>
                <w:sz w:val="24"/>
              </w:rPr>
              <w:t>Colonnes</w:t>
            </w:r>
          </w:p>
        </w:tc>
      </w:tr>
      <w:tr w:rsidR="00FD54FC" w:rsidRPr="00392FFD" w:rsidTr="00FD54FC">
        <w:tc>
          <w:tcPr>
            <w:tcW w:w="959" w:type="dxa"/>
            <w:shd w:val="clear" w:color="auto" w:fill="auto"/>
          </w:tcPr>
          <w:p w:rsidR="00FD54FC" w:rsidRPr="00392FFD" w:rsidRDefault="00FD54FC" w:rsidP="00FD54FC">
            <w:pPr>
              <w:rPr>
                <w:rFonts w:ascii="Times New Roman" w:hAnsi="Times New Roman"/>
                <w:sz w:val="24"/>
              </w:rPr>
            </w:pPr>
            <w:r>
              <w:rPr>
                <w:rFonts w:ascii="Times New Roman" w:hAnsi="Times New Roman"/>
                <w:sz w:val="24"/>
              </w:rPr>
              <w:t>010</w:t>
            </w:r>
          </w:p>
        </w:tc>
        <w:tc>
          <w:tcPr>
            <w:tcW w:w="8329" w:type="dxa"/>
            <w:shd w:val="clear" w:color="auto" w:fill="auto"/>
          </w:tcPr>
          <w:p w:rsidR="00FD54FC" w:rsidRPr="00392FFD" w:rsidRDefault="00FD54FC" w:rsidP="00FD54FC">
            <w:pPr>
              <w:rPr>
                <w:rFonts w:ascii="Times New Roman" w:hAnsi="Times New Roman"/>
                <w:sz w:val="24"/>
              </w:rPr>
            </w:pPr>
            <w:r>
              <w:rPr>
                <w:rStyle w:val="InstructionsTabelleberschrift"/>
                <w:rFonts w:ascii="Times New Roman" w:hAnsi="Times New Roman"/>
                <w:sz w:val="24"/>
              </w:rPr>
              <w:t>Identifiant d’évènement</w:t>
            </w:r>
          </w:p>
          <w:p w:rsidR="00FD54FC" w:rsidRPr="00392FFD" w:rsidRDefault="00FD54FC" w:rsidP="00FD54FC">
            <w:pPr>
              <w:rPr>
                <w:rFonts w:ascii="Times New Roman" w:hAnsi="Times New Roman"/>
                <w:sz w:val="24"/>
              </w:rPr>
            </w:pPr>
            <w:r>
              <w:rPr>
                <w:rFonts w:ascii="Times New Roman" w:hAnsi="Times New Roman"/>
                <w:sz w:val="24"/>
              </w:rPr>
              <w:t xml:space="preserve">L’identifiant d’évènement est un identifiant de ligne et est propre à chaque ligne du tableau. </w:t>
            </w:r>
          </w:p>
          <w:p w:rsidR="00FD54FC" w:rsidRPr="00392FFD" w:rsidRDefault="00FD54FC" w:rsidP="00FD54FC">
            <w:pPr>
              <w:rPr>
                <w:rFonts w:ascii="Times New Roman" w:hAnsi="Times New Roman"/>
                <w:sz w:val="24"/>
              </w:rPr>
            </w:pPr>
            <w:r>
              <w:rPr>
                <w:rFonts w:ascii="Times New Roman" w:hAnsi="Times New Roman"/>
                <w:sz w:val="24"/>
              </w:rPr>
              <w:t>Lorsqu’un identifiant d’évènement interne est disponible, l’établissement fournira ce dernier. Autrement, l’identifiant déclaré suivra l’ordre numérique: 1, 2, 3, etc.</w:t>
            </w:r>
          </w:p>
        </w:tc>
      </w:tr>
      <w:tr w:rsidR="00FD54FC" w:rsidRPr="00392FFD" w:rsidTr="00FD54FC">
        <w:tc>
          <w:tcPr>
            <w:tcW w:w="959" w:type="dxa"/>
            <w:shd w:val="clear" w:color="auto" w:fill="auto"/>
          </w:tcPr>
          <w:p w:rsidR="00FD54FC" w:rsidRPr="00321A3B" w:rsidRDefault="00FD54FC" w:rsidP="00FD54FC">
            <w:pPr>
              <w:rPr>
                <w:rFonts w:ascii="Times New Roman" w:hAnsi="Times New Roman"/>
                <w:sz w:val="24"/>
              </w:rPr>
            </w:pPr>
            <w:r>
              <w:rPr>
                <w:rFonts w:ascii="Times New Roman" w:hAnsi="Times New Roman"/>
                <w:sz w:val="24"/>
              </w:rPr>
              <w:t>020</w:t>
            </w:r>
          </w:p>
        </w:tc>
        <w:tc>
          <w:tcPr>
            <w:tcW w:w="8329" w:type="dxa"/>
            <w:shd w:val="clear" w:color="auto" w:fill="auto"/>
          </w:tcPr>
          <w:p w:rsidR="00FD54FC" w:rsidRPr="00321A3B"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Date de comptabilisation</w:t>
            </w:r>
          </w:p>
          <w:p w:rsidR="00FD54FC" w:rsidRPr="00392FFD" w:rsidRDefault="00FD54FC" w:rsidP="00FD54FC">
            <w:pPr>
              <w:rPr>
                <w:rFonts w:ascii="Times New Roman" w:hAnsi="Times New Roman"/>
                <w:sz w:val="24"/>
              </w:rPr>
            </w:pPr>
            <w:r>
              <w:rPr>
                <w:rFonts w:ascii="Times New Roman" w:hAnsi="Times New Roman"/>
                <w:sz w:val="24"/>
              </w:rPr>
              <w:t>Par «date de comptabilisation», on entend la date à laquelle une perte ou des r</w:t>
            </w:r>
            <w:r>
              <w:rPr>
                <w:rFonts w:ascii="Times New Roman" w:hAnsi="Times New Roman"/>
                <w:sz w:val="24"/>
              </w:rPr>
              <w:t>é</w:t>
            </w:r>
            <w:r>
              <w:rPr>
                <w:rFonts w:ascii="Times New Roman" w:hAnsi="Times New Roman"/>
                <w:sz w:val="24"/>
              </w:rPr>
              <w:t xml:space="preserve">serves/provisions pour perte liée à un risque opérationnel ont été comptabilisées pour la première fois dans le compte de profits et pertes. </w:t>
            </w:r>
          </w:p>
        </w:tc>
      </w:tr>
      <w:tr w:rsidR="00FD54FC" w:rsidRPr="00392FFD" w:rsidTr="00FD54FC">
        <w:tc>
          <w:tcPr>
            <w:tcW w:w="959" w:type="dxa"/>
            <w:shd w:val="clear" w:color="auto" w:fill="auto"/>
          </w:tcPr>
          <w:p w:rsidR="00FD54FC" w:rsidRPr="00392FFD" w:rsidRDefault="00FD54FC" w:rsidP="00FD54FC">
            <w:pPr>
              <w:rPr>
                <w:rFonts w:ascii="Times New Roman" w:hAnsi="Times New Roman"/>
                <w:sz w:val="24"/>
              </w:rPr>
            </w:pPr>
            <w:r>
              <w:rPr>
                <w:rFonts w:ascii="Times New Roman" w:hAnsi="Times New Roman"/>
                <w:sz w:val="24"/>
              </w:rPr>
              <w:t>030</w:t>
            </w:r>
          </w:p>
        </w:tc>
        <w:tc>
          <w:tcPr>
            <w:tcW w:w="8329" w:type="dxa"/>
            <w:shd w:val="clear" w:color="auto" w:fill="auto"/>
          </w:tcPr>
          <w:p w:rsidR="00FD54FC" w:rsidRPr="00392FFD"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Date de survenance</w:t>
            </w:r>
          </w:p>
          <w:p w:rsidR="00FD54FC" w:rsidRPr="00392FFD" w:rsidRDefault="00FD54FC" w:rsidP="00871877">
            <w:pPr>
              <w:rPr>
                <w:rFonts w:ascii="Times New Roman" w:hAnsi="Times New Roman"/>
                <w:sz w:val="24"/>
              </w:rPr>
            </w:pPr>
            <w:r>
              <w:rPr>
                <w:rFonts w:ascii="Times New Roman" w:hAnsi="Times New Roman"/>
                <w:sz w:val="24"/>
              </w:rPr>
              <w:t>La date de survenance est la date à laquelle l’évènement de risque opérationnel est survenu ou a initialement débuté.</w:t>
            </w:r>
          </w:p>
        </w:tc>
      </w:tr>
      <w:tr w:rsidR="00FD54FC" w:rsidRPr="00392FFD" w:rsidTr="00FD54FC">
        <w:tc>
          <w:tcPr>
            <w:tcW w:w="959" w:type="dxa"/>
            <w:shd w:val="clear" w:color="auto" w:fill="auto"/>
          </w:tcPr>
          <w:p w:rsidR="00FD54FC" w:rsidRPr="00392FFD" w:rsidRDefault="00FD54FC" w:rsidP="00FD54FC">
            <w:pPr>
              <w:rPr>
                <w:rFonts w:ascii="Times New Roman" w:hAnsi="Times New Roman"/>
                <w:sz w:val="24"/>
              </w:rPr>
            </w:pPr>
            <w:r>
              <w:rPr>
                <w:rFonts w:ascii="Times New Roman" w:hAnsi="Times New Roman"/>
                <w:sz w:val="24"/>
              </w:rPr>
              <w:t>040</w:t>
            </w:r>
          </w:p>
        </w:tc>
        <w:tc>
          <w:tcPr>
            <w:tcW w:w="8329" w:type="dxa"/>
            <w:shd w:val="clear" w:color="auto" w:fill="auto"/>
          </w:tcPr>
          <w:p w:rsidR="00FD54FC" w:rsidRPr="00392FFD"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Date de détection</w:t>
            </w:r>
          </w:p>
          <w:p w:rsidR="00FD54FC" w:rsidRPr="00392FFD" w:rsidRDefault="00FD54FC" w:rsidP="00FD54FC">
            <w:pPr>
              <w:rPr>
                <w:rFonts w:ascii="Times New Roman" w:hAnsi="Times New Roman"/>
                <w:sz w:val="24"/>
              </w:rPr>
            </w:pPr>
            <w:r>
              <w:rPr>
                <w:rFonts w:ascii="Times New Roman" w:hAnsi="Times New Roman"/>
                <w:sz w:val="24"/>
              </w:rPr>
              <w:t>La date de détection est la date à laquelle l'établissement a eu connaissance de l'événement de risque opérationnel.</w:t>
            </w:r>
          </w:p>
        </w:tc>
      </w:tr>
      <w:tr w:rsidR="00FD54FC" w:rsidRPr="00392FFD" w:rsidTr="00FD54FC">
        <w:tc>
          <w:tcPr>
            <w:tcW w:w="959" w:type="dxa"/>
            <w:shd w:val="clear" w:color="auto" w:fill="auto"/>
          </w:tcPr>
          <w:p w:rsidR="00FD54FC" w:rsidRPr="00392FFD" w:rsidRDefault="00FD54FC" w:rsidP="00FD54FC">
            <w:pPr>
              <w:rPr>
                <w:rFonts w:ascii="Times New Roman" w:hAnsi="Times New Roman"/>
                <w:sz w:val="24"/>
              </w:rPr>
            </w:pPr>
            <w:r>
              <w:rPr>
                <w:rFonts w:ascii="Times New Roman" w:hAnsi="Times New Roman"/>
                <w:sz w:val="24"/>
              </w:rPr>
              <w:t>050</w:t>
            </w:r>
          </w:p>
        </w:tc>
        <w:tc>
          <w:tcPr>
            <w:tcW w:w="8329" w:type="dxa"/>
            <w:shd w:val="clear" w:color="auto" w:fill="auto"/>
          </w:tcPr>
          <w:p w:rsidR="00FD54FC" w:rsidRPr="00392FFD"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Type d'événement</w:t>
            </w:r>
          </w:p>
          <w:p w:rsidR="00FD54FC" w:rsidRPr="00392FFD" w:rsidRDefault="00FD54FC" w:rsidP="00FD54FC">
            <w:pPr>
              <w:rPr>
                <w:rFonts w:ascii="Times New Roman" w:hAnsi="Times New Roman"/>
                <w:sz w:val="24"/>
              </w:rPr>
            </w:pPr>
            <w:r>
              <w:rPr>
                <w:rFonts w:ascii="Times New Roman" w:hAnsi="Times New Roman"/>
                <w:sz w:val="24"/>
              </w:rPr>
              <w:t>Types d'évènement tels que définis à l’article 324 du CRR</w:t>
            </w:r>
          </w:p>
        </w:tc>
      </w:tr>
      <w:tr w:rsidR="00FD54FC" w:rsidRPr="00392FFD" w:rsidTr="00FD54FC">
        <w:tc>
          <w:tcPr>
            <w:tcW w:w="959" w:type="dxa"/>
            <w:shd w:val="clear" w:color="auto" w:fill="auto"/>
          </w:tcPr>
          <w:p w:rsidR="00FD54FC" w:rsidRPr="00392FFD" w:rsidRDefault="00FD54FC" w:rsidP="00FD54FC">
            <w:pPr>
              <w:rPr>
                <w:rFonts w:ascii="Times New Roman" w:hAnsi="Times New Roman"/>
                <w:sz w:val="24"/>
              </w:rPr>
            </w:pPr>
            <w:r>
              <w:rPr>
                <w:rFonts w:ascii="Times New Roman" w:hAnsi="Times New Roman"/>
                <w:sz w:val="24"/>
              </w:rPr>
              <w:t>060</w:t>
            </w:r>
          </w:p>
        </w:tc>
        <w:tc>
          <w:tcPr>
            <w:tcW w:w="8329" w:type="dxa"/>
            <w:shd w:val="clear" w:color="auto" w:fill="auto"/>
          </w:tcPr>
          <w:p w:rsidR="00FD54FC" w:rsidRPr="00392FFD"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Perte brute</w:t>
            </w:r>
          </w:p>
          <w:p w:rsidR="00FD54FC" w:rsidRPr="00392FFD" w:rsidRDefault="00FD54FC" w:rsidP="00FD54FC">
            <w:pPr>
              <w:rPr>
                <w:rFonts w:ascii="Times New Roman" w:hAnsi="Times New Roman"/>
                <w:sz w:val="24"/>
              </w:rPr>
            </w:pPr>
            <w:r>
              <w:rPr>
                <w:rFonts w:ascii="Times New Roman" w:hAnsi="Times New Roman"/>
                <w:sz w:val="24"/>
              </w:rPr>
              <w:t>Perte brute liée à l’évènement telle que définie pour les lignes 020, 120, etc. du mo</w:t>
            </w:r>
            <w:r>
              <w:rPr>
                <w:rFonts w:ascii="Times New Roman" w:hAnsi="Times New Roman"/>
                <w:sz w:val="24"/>
              </w:rPr>
              <w:lastRenderedPageBreak/>
              <w:t>dèle C 17.01 ci-dessus</w:t>
            </w:r>
          </w:p>
        </w:tc>
      </w:tr>
      <w:tr w:rsidR="00FD54FC" w:rsidRPr="00392FFD" w:rsidTr="00FD54FC">
        <w:tc>
          <w:tcPr>
            <w:tcW w:w="959" w:type="dxa"/>
            <w:shd w:val="clear" w:color="auto" w:fill="auto"/>
          </w:tcPr>
          <w:p w:rsidR="00FD54FC" w:rsidRPr="00392FFD" w:rsidRDefault="00FD54FC" w:rsidP="00FD54FC">
            <w:pPr>
              <w:rPr>
                <w:rFonts w:ascii="Times New Roman" w:hAnsi="Times New Roman"/>
                <w:sz w:val="24"/>
              </w:rPr>
            </w:pPr>
            <w:r>
              <w:rPr>
                <w:rFonts w:ascii="Times New Roman" w:hAnsi="Times New Roman"/>
                <w:sz w:val="24"/>
              </w:rPr>
              <w:lastRenderedPageBreak/>
              <w:t>070</w:t>
            </w:r>
          </w:p>
        </w:tc>
        <w:tc>
          <w:tcPr>
            <w:tcW w:w="8329" w:type="dxa"/>
            <w:shd w:val="clear" w:color="auto" w:fill="auto"/>
          </w:tcPr>
          <w:p w:rsidR="00FD54FC" w:rsidRPr="00392FFD"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Perte brute nette des recouvrements directs</w:t>
            </w:r>
          </w:p>
          <w:p w:rsidR="00FD54FC" w:rsidRPr="00392FFD" w:rsidRDefault="00FD54FC" w:rsidP="00FD54FC">
            <w:pPr>
              <w:rPr>
                <w:rFonts w:ascii="Times New Roman" w:hAnsi="Times New Roman"/>
                <w:sz w:val="24"/>
              </w:rPr>
            </w:pPr>
            <w:r>
              <w:rPr>
                <w:rFonts w:ascii="Times New Roman" w:hAnsi="Times New Roman"/>
                <w:sz w:val="24"/>
              </w:rPr>
              <w:t>Perte brute liée à l’évènement, telle que définie pour les lignes 020, 120, etc. du modèle C 17.01 ci-dessus, nette des recouvrements directs se rapportant à cet év</w:t>
            </w:r>
            <w:r>
              <w:rPr>
                <w:rFonts w:ascii="Times New Roman" w:hAnsi="Times New Roman"/>
                <w:sz w:val="24"/>
              </w:rPr>
              <w:t>è</w:t>
            </w:r>
            <w:r>
              <w:rPr>
                <w:rFonts w:ascii="Times New Roman" w:hAnsi="Times New Roman"/>
                <w:sz w:val="24"/>
              </w:rPr>
              <w:t>nement de perte</w:t>
            </w:r>
          </w:p>
        </w:tc>
      </w:tr>
      <w:tr w:rsidR="00FD54FC" w:rsidRPr="00392FFD" w:rsidTr="00FD54FC">
        <w:tc>
          <w:tcPr>
            <w:tcW w:w="959" w:type="dxa"/>
            <w:shd w:val="clear" w:color="auto" w:fill="auto"/>
          </w:tcPr>
          <w:p w:rsidR="00FD54FC" w:rsidRPr="00392FFD" w:rsidRDefault="00FD54FC" w:rsidP="00FD54FC">
            <w:pPr>
              <w:rPr>
                <w:rFonts w:ascii="Times New Roman" w:hAnsi="Times New Roman"/>
                <w:sz w:val="24"/>
              </w:rPr>
            </w:pPr>
            <w:r>
              <w:rPr>
                <w:rFonts w:ascii="Times New Roman" w:hAnsi="Times New Roman"/>
                <w:sz w:val="24"/>
              </w:rPr>
              <w:t>080 - 160</w:t>
            </w:r>
          </w:p>
        </w:tc>
        <w:tc>
          <w:tcPr>
            <w:tcW w:w="8329" w:type="dxa"/>
            <w:shd w:val="clear" w:color="auto" w:fill="auto"/>
          </w:tcPr>
          <w:p w:rsidR="00FD54FC" w:rsidRPr="00392FFD"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Perte brute par ligne d’activité</w:t>
            </w:r>
          </w:p>
          <w:p w:rsidR="00FD54FC" w:rsidRPr="00392FFD" w:rsidRDefault="00FD54FC" w:rsidP="00FD54FC">
            <w:pPr>
              <w:rPr>
                <w:rFonts w:ascii="Times New Roman" w:hAnsi="Times New Roman"/>
                <w:sz w:val="24"/>
              </w:rPr>
            </w:pPr>
            <w:r>
              <w:rPr>
                <w:rFonts w:ascii="Times New Roman" w:hAnsi="Times New Roman"/>
                <w:sz w:val="24"/>
              </w:rPr>
              <w:t>La perte brute telle que déclarée dans la colonne 060 sera affectée aux lignes d'a</w:t>
            </w:r>
            <w:r>
              <w:rPr>
                <w:rFonts w:ascii="Times New Roman" w:hAnsi="Times New Roman"/>
                <w:sz w:val="24"/>
              </w:rPr>
              <w:t>c</w:t>
            </w:r>
            <w:r>
              <w:rPr>
                <w:rFonts w:ascii="Times New Roman" w:hAnsi="Times New Roman"/>
                <w:sz w:val="24"/>
              </w:rPr>
              <w:t>tivité concernées telles que définies à l’article 317 et à l'article 322, paragraphe 3, point b), du CRR.</w:t>
            </w:r>
          </w:p>
        </w:tc>
      </w:tr>
      <w:tr w:rsidR="00FD54FC" w:rsidRPr="00392FFD" w:rsidTr="00FD54FC">
        <w:tc>
          <w:tcPr>
            <w:tcW w:w="959" w:type="dxa"/>
            <w:shd w:val="clear" w:color="auto" w:fill="auto"/>
          </w:tcPr>
          <w:p w:rsidR="00FD54FC" w:rsidRPr="00392FFD" w:rsidRDefault="00FD54FC" w:rsidP="00FD54FC">
            <w:pPr>
              <w:rPr>
                <w:rFonts w:ascii="Times New Roman" w:hAnsi="Times New Roman"/>
                <w:sz w:val="24"/>
              </w:rPr>
            </w:pPr>
            <w:r>
              <w:rPr>
                <w:rFonts w:ascii="Times New Roman" w:hAnsi="Times New Roman"/>
                <w:sz w:val="24"/>
              </w:rPr>
              <w:t>170</w:t>
            </w:r>
          </w:p>
        </w:tc>
        <w:tc>
          <w:tcPr>
            <w:tcW w:w="8329" w:type="dxa"/>
            <w:shd w:val="clear" w:color="auto" w:fill="auto"/>
          </w:tcPr>
          <w:p w:rsidR="00FD54FC" w:rsidRPr="00392FFD"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Nom de l’entité juridique</w:t>
            </w:r>
          </w:p>
          <w:p w:rsidR="00FD54FC" w:rsidRPr="00392FFD" w:rsidRDefault="00FD54FC" w:rsidP="00FD54FC">
            <w:pPr>
              <w:rPr>
                <w:rFonts w:ascii="Times New Roman" w:hAnsi="Times New Roman"/>
                <w:sz w:val="24"/>
              </w:rPr>
            </w:pPr>
            <w:r>
              <w:rPr>
                <w:rFonts w:ascii="Times New Roman" w:hAnsi="Times New Roman"/>
                <w:sz w:val="24"/>
              </w:rPr>
              <w:t>Nom de l’entité juridique, tel que déclaré dans la colonne 010 du modèle C 06.02, où la perte (ou la majeure partie de la perte si plusieurs entités étaient concernées) est survenue.</w:t>
            </w:r>
          </w:p>
        </w:tc>
      </w:tr>
      <w:tr w:rsidR="00FD54FC" w:rsidRPr="00392FFD" w:rsidTr="00FD54FC">
        <w:tc>
          <w:tcPr>
            <w:tcW w:w="959" w:type="dxa"/>
            <w:shd w:val="clear" w:color="auto" w:fill="auto"/>
          </w:tcPr>
          <w:p w:rsidR="00FD54FC" w:rsidRPr="00392FFD" w:rsidRDefault="00FD54FC" w:rsidP="00FD54FC">
            <w:pPr>
              <w:rPr>
                <w:rFonts w:ascii="Times New Roman" w:hAnsi="Times New Roman"/>
                <w:sz w:val="24"/>
              </w:rPr>
            </w:pPr>
            <w:r>
              <w:rPr>
                <w:rFonts w:ascii="Times New Roman" w:hAnsi="Times New Roman"/>
                <w:sz w:val="24"/>
              </w:rPr>
              <w:t>180</w:t>
            </w:r>
          </w:p>
        </w:tc>
        <w:tc>
          <w:tcPr>
            <w:tcW w:w="8329" w:type="dxa"/>
            <w:shd w:val="clear" w:color="auto" w:fill="auto"/>
          </w:tcPr>
          <w:p w:rsidR="00FD54FC" w:rsidRPr="00392FFD"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Identifiant d’entité légale</w:t>
            </w:r>
          </w:p>
          <w:p w:rsidR="00FD54FC" w:rsidRPr="00392FFD" w:rsidRDefault="00FD54FC" w:rsidP="00FD54FC">
            <w:pPr>
              <w:rPr>
                <w:rFonts w:ascii="Times New Roman" w:hAnsi="Times New Roman"/>
                <w:sz w:val="24"/>
              </w:rPr>
            </w:pPr>
            <w:r>
              <w:rPr>
                <w:rFonts w:ascii="Times New Roman" w:hAnsi="Times New Roman"/>
                <w:sz w:val="24"/>
              </w:rPr>
              <w:t>Code LEI, tel que déclaré dans la colonne 025 du modèle C 06.02, de l’entité jur</w:t>
            </w:r>
            <w:r>
              <w:rPr>
                <w:rFonts w:ascii="Times New Roman" w:hAnsi="Times New Roman"/>
                <w:sz w:val="24"/>
              </w:rPr>
              <w:t>i</w:t>
            </w:r>
            <w:r>
              <w:rPr>
                <w:rFonts w:ascii="Times New Roman" w:hAnsi="Times New Roman"/>
                <w:sz w:val="24"/>
              </w:rPr>
              <w:t>dique où la perte (ou la majeure partie de la perte si plusieurs entités étaient co</w:t>
            </w:r>
            <w:r>
              <w:rPr>
                <w:rFonts w:ascii="Times New Roman" w:hAnsi="Times New Roman"/>
                <w:sz w:val="24"/>
              </w:rPr>
              <w:t>n</w:t>
            </w:r>
            <w:r>
              <w:rPr>
                <w:rFonts w:ascii="Times New Roman" w:hAnsi="Times New Roman"/>
                <w:sz w:val="24"/>
              </w:rPr>
              <w:t>cernées) est survenue.</w:t>
            </w:r>
          </w:p>
        </w:tc>
      </w:tr>
      <w:tr w:rsidR="00FD54FC" w:rsidRPr="00392FFD" w:rsidTr="00FD54FC">
        <w:tc>
          <w:tcPr>
            <w:tcW w:w="959" w:type="dxa"/>
            <w:shd w:val="clear" w:color="auto" w:fill="auto"/>
          </w:tcPr>
          <w:p w:rsidR="00FD54FC" w:rsidRPr="00392FFD" w:rsidRDefault="00FD54FC" w:rsidP="00FD54FC">
            <w:pPr>
              <w:rPr>
                <w:rFonts w:ascii="Times New Roman" w:hAnsi="Times New Roman"/>
                <w:sz w:val="24"/>
              </w:rPr>
            </w:pPr>
            <w:r>
              <w:rPr>
                <w:rFonts w:ascii="Times New Roman" w:hAnsi="Times New Roman"/>
                <w:sz w:val="24"/>
              </w:rPr>
              <w:t>190</w:t>
            </w:r>
          </w:p>
        </w:tc>
        <w:tc>
          <w:tcPr>
            <w:tcW w:w="8329" w:type="dxa"/>
            <w:shd w:val="clear" w:color="auto" w:fill="auto"/>
          </w:tcPr>
          <w:p w:rsidR="00FD54FC" w:rsidRPr="00392FFD"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Unité opérationnelle</w:t>
            </w:r>
          </w:p>
          <w:p w:rsidR="00FD54FC" w:rsidRPr="00392FFD" w:rsidRDefault="00FD54FC" w:rsidP="00FD54FC">
            <w:pPr>
              <w:rPr>
                <w:rFonts w:ascii="Times New Roman" w:hAnsi="Times New Roman"/>
                <w:sz w:val="24"/>
              </w:rPr>
            </w:pPr>
            <w:r>
              <w:rPr>
                <w:rFonts w:ascii="Times New Roman" w:hAnsi="Times New Roman"/>
                <w:sz w:val="24"/>
              </w:rPr>
              <w:t>Unité opérationnelle ou division de l’établissement où la perte (ou la majeure pa</w:t>
            </w:r>
            <w:r>
              <w:rPr>
                <w:rFonts w:ascii="Times New Roman" w:hAnsi="Times New Roman"/>
                <w:sz w:val="24"/>
              </w:rPr>
              <w:t>r</w:t>
            </w:r>
            <w:r>
              <w:rPr>
                <w:rFonts w:ascii="Times New Roman" w:hAnsi="Times New Roman"/>
                <w:sz w:val="24"/>
              </w:rPr>
              <w:t>tie de la perte si plusieurs unités opérationnelles ou divisions étaient concernées) est survenue.</w:t>
            </w:r>
          </w:p>
        </w:tc>
      </w:tr>
      <w:tr w:rsidR="00FD54FC" w:rsidRPr="00392FFD" w:rsidTr="00FD54FC">
        <w:tc>
          <w:tcPr>
            <w:tcW w:w="959" w:type="dxa"/>
            <w:shd w:val="clear" w:color="auto" w:fill="auto"/>
          </w:tcPr>
          <w:p w:rsidR="00FD54FC" w:rsidRPr="00321A3B" w:rsidRDefault="00FD54FC" w:rsidP="00FD54FC">
            <w:pPr>
              <w:rPr>
                <w:rFonts w:ascii="Times New Roman" w:hAnsi="Times New Roman"/>
                <w:sz w:val="24"/>
              </w:rPr>
            </w:pPr>
            <w:r>
              <w:rPr>
                <w:rFonts w:ascii="Times New Roman" w:hAnsi="Times New Roman"/>
                <w:sz w:val="24"/>
              </w:rPr>
              <w:t>200</w:t>
            </w:r>
          </w:p>
        </w:tc>
        <w:tc>
          <w:tcPr>
            <w:tcW w:w="8329" w:type="dxa"/>
            <w:shd w:val="clear" w:color="auto" w:fill="auto"/>
          </w:tcPr>
          <w:p w:rsidR="00FD54FC" w:rsidRPr="00321A3B" w:rsidRDefault="00FD54FC" w:rsidP="00FD54FC">
            <w:pPr>
              <w:rPr>
                <w:rStyle w:val="InstructionsTabelleberschrift"/>
                <w:rFonts w:ascii="Times New Roman" w:hAnsi="Times New Roman"/>
                <w:sz w:val="24"/>
              </w:rPr>
            </w:pPr>
            <w:r>
              <w:rPr>
                <w:rStyle w:val="InstructionsTabelleberschrift"/>
                <w:rFonts w:ascii="Times New Roman" w:hAnsi="Times New Roman"/>
                <w:sz w:val="24"/>
              </w:rPr>
              <w:t>Description</w:t>
            </w:r>
          </w:p>
          <w:p w:rsidR="00FD54FC" w:rsidRPr="00392FFD" w:rsidRDefault="00FD54FC" w:rsidP="00FD54FC">
            <w:pPr>
              <w:rPr>
                <w:rFonts w:ascii="Times New Roman" w:hAnsi="Times New Roman"/>
                <w:sz w:val="24"/>
              </w:rPr>
            </w:pPr>
            <w:r>
              <w:rPr>
                <w:rFonts w:ascii="Times New Roman" w:hAnsi="Times New Roman"/>
                <w:sz w:val="24"/>
              </w:rPr>
              <w:t>Description circonstanciée de l’évènement, si nécessaire de manière généralisée et anonymisée, qui doit comprendre au moins des informations sur l'évènement même et des informations sur les facteurs ou causes de l’évènement, lorsqu’ils sont co</w:t>
            </w:r>
            <w:r>
              <w:rPr>
                <w:rFonts w:ascii="Times New Roman" w:hAnsi="Times New Roman"/>
                <w:sz w:val="24"/>
              </w:rPr>
              <w:t>n</w:t>
            </w:r>
            <w:r>
              <w:rPr>
                <w:rFonts w:ascii="Times New Roman" w:hAnsi="Times New Roman"/>
                <w:sz w:val="24"/>
              </w:rPr>
              <w:t>nus.</w:t>
            </w:r>
          </w:p>
        </w:tc>
      </w:tr>
    </w:tbl>
    <w:p w:rsidR="00FD54FC" w:rsidRPr="00392FFD" w:rsidRDefault="00FD54FC" w:rsidP="00AC6255">
      <w:pPr>
        <w:spacing w:after="0"/>
        <w:rPr>
          <w:rFonts w:ascii="Times New Roman" w:hAnsi="Times New Roman"/>
          <w:sz w:val="24"/>
        </w:rPr>
      </w:pPr>
    </w:p>
    <w:p w:rsidR="00AC6255" w:rsidRPr="00392FFD" w:rsidRDefault="00AC6255">
      <w:pPr>
        <w:spacing w:before="0" w:after="0"/>
        <w:jc w:val="left"/>
        <w:rPr>
          <w:rStyle w:val="InstructionsTabelleText"/>
          <w:rFonts w:ascii="Times New Roman" w:hAnsi="Times New Roman"/>
          <w:sz w:val="24"/>
        </w:rPr>
      </w:pPr>
      <w:r>
        <w:br w:type="page"/>
      </w:r>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503" w:name="_Toc295829995"/>
      <w:bookmarkStart w:id="504" w:name="_Toc262566425"/>
      <w:bookmarkStart w:id="505" w:name="_Toc308426671"/>
      <w:bookmarkStart w:id="506" w:name="_Toc310415056"/>
      <w:bookmarkStart w:id="507" w:name="_Toc360188391"/>
      <w:bookmarkStart w:id="508" w:name="_Toc473561031"/>
      <w:bookmarkStart w:id="509" w:name="_Toc496022342"/>
      <w:r>
        <w:rPr>
          <w:rFonts w:ascii="Times New Roman" w:hAnsi="Times New Roman"/>
          <w:sz w:val="24"/>
          <w:u w:val="none"/>
        </w:rPr>
        <w:lastRenderedPageBreak/>
        <w:t>5.</w:t>
      </w:r>
      <w:r>
        <w:tab/>
      </w:r>
      <w:r>
        <w:rPr>
          <w:rFonts w:ascii="Times New Roman" w:hAnsi="Times New Roman"/>
          <w:sz w:val="24"/>
        </w:rPr>
        <w:t>Modèles consacrés au risque de marché</w:t>
      </w:r>
      <w:bookmarkEnd w:id="503"/>
      <w:bookmarkEnd w:id="504"/>
      <w:bookmarkEnd w:id="505"/>
      <w:bookmarkEnd w:id="506"/>
      <w:bookmarkEnd w:id="507"/>
      <w:bookmarkEnd w:id="508"/>
      <w:bookmarkEnd w:id="509"/>
    </w:p>
    <w:p w:rsidR="000B0B09" w:rsidRPr="00392FFD" w:rsidRDefault="00125707" w:rsidP="0023700C">
      <w:pPr>
        <w:pStyle w:val="InstructionsText2"/>
        <w:numPr>
          <w:ilvl w:val="0"/>
          <w:numId w:val="0"/>
        </w:numPr>
        <w:ind w:left="1353" w:hanging="360"/>
      </w:pPr>
      <w:bookmarkStart w:id="510" w:name="_Toc308426672"/>
      <w:r>
        <w:t>137.</w:t>
      </w:r>
      <w:r>
        <w:tab/>
        <w:t>Ces instructions concernent les modèles de déclaration du calcul selon l’approche standard des exigences de fonds propres pour risque de change (MKR SA FX), risque sur matières premières (MKR SA COM), risque de taux d’intérêt (MKR SA TDI, MKR SA SEC, MKR SA CTP) et risque lié aux a</w:t>
      </w:r>
      <w:r>
        <w:t>c</w:t>
      </w:r>
      <w:r>
        <w:t xml:space="preserve">tions (MKR SA EQU). Cette partie reprend également les instructions pour le modèle de déclaration du calcul des exigences de fonds propres selon l’approche fondée sur les modèles internes (MKR IM). </w:t>
      </w:r>
    </w:p>
    <w:p w:rsidR="000B0B09" w:rsidRPr="00392FFD" w:rsidRDefault="00125707" w:rsidP="0023700C">
      <w:pPr>
        <w:pStyle w:val="InstructionsText2"/>
        <w:numPr>
          <w:ilvl w:val="0"/>
          <w:numId w:val="0"/>
        </w:numPr>
        <w:ind w:left="1353" w:hanging="360"/>
      </w:pPr>
      <w:r>
        <w:t>138.</w:t>
      </w:r>
      <w:r>
        <w:tab/>
        <w:t>Le risque de position sur un titre de créance négocié ou une action n</w:t>
      </w:r>
      <w:r>
        <w:t>é</w:t>
      </w:r>
      <w:r>
        <w:t>gociée (ou un instrument dérivé sur titre de créance négocié ou sur action) sera divisé en deux composantes pour le calcul des fonds propres requis pour y faire face. La première composante est la composante «risque spécifique», c’est-à-dire le risque d’une variation du prix de l’instrument concerné sous l’influence de fa</w:t>
      </w:r>
      <w:r>
        <w:t>c</w:t>
      </w:r>
      <w:r>
        <w:t>teurs liés à son émetteur ou, dans le cas d’un instrument dérivé, à l’émetteur de l’instrument sous-jacent. La seconde composante couvre le «risque général», c’est-à-dire le risque d’une variation du prix de l’instrument provoquée (dans le cas d’un titre de créance négocié ou d’un in</w:t>
      </w:r>
      <w:r>
        <w:t>s</w:t>
      </w:r>
      <w:r>
        <w:t>trument dérivé sur un titre de créance négocié) par une fluctuation du niveau des taux d’intérêt ou (dans le cas d’une action ou d’un instrument dérivé sur action) par un mouvement général du marché des actions non imputable à ce</w:t>
      </w:r>
      <w:r>
        <w:t>r</w:t>
      </w:r>
      <w:r>
        <w:t xml:space="preserve">taines caractéristiques spécifiques des titres concernés. </w:t>
      </w:r>
      <w:bookmarkEnd w:id="510"/>
      <w:r>
        <w:t xml:space="preserve">Le traitement général selon les instruments, ainsi que les procédures de compensation, sont décrits dans les articles 326 à 333 du CRR. </w:t>
      </w:r>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511" w:name="_Toc239157393"/>
      <w:bookmarkStart w:id="512" w:name="_Toc262566426"/>
      <w:bookmarkStart w:id="513" w:name="_Toc295829996"/>
      <w:bookmarkStart w:id="514" w:name="_Toc308426673"/>
      <w:bookmarkStart w:id="515" w:name="_Toc310415057"/>
      <w:bookmarkStart w:id="516" w:name="_Toc360188392"/>
      <w:bookmarkStart w:id="517" w:name="_Toc473561032"/>
      <w:bookmarkStart w:id="518" w:name="_Toc496022343"/>
      <w:r>
        <w:rPr>
          <w:rFonts w:ascii="Times New Roman" w:hAnsi="Times New Roman"/>
          <w:sz w:val="24"/>
          <w:u w:val="none"/>
        </w:rPr>
        <w:t>5.1.</w:t>
      </w:r>
      <w:r>
        <w:tab/>
      </w:r>
      <w:r>
        <w:rPr>
          <w:rFonts w:ascii="Times New Roman" w:hAnsi="Times New Roman"/>
          <w:sz w:val="24"/>
        </w:rPr>
        <w:t>C 18.00 – Risque de marché: approche standard des risques de position relatifs aux titres de créance négociés</w:t>
      </w:r>
      <w:bookmarkEnd w:id="511"/>
      <w:bookmarkEnd w:id="512"/>
      <w:bookmarkEnd w:id="513"/>
      <w:bookmarkEnd w:id="514"/>
      <w:bookmarkEnd w:id="515"/>
      <w:bookmarkEnd w:id="516"/>
      <w:r>
        <w:rPr>
          <w:rFonts w:ascii="Times New Roman" w:hAnsi="Times New Roman"/>
          <w:sz w:val="24"/>
        </w:rPr>
        <w:t xml:space="preserve"> (MKR SA TDI)</w:t>
      </w:r>
      <w:bookmarkEnd w:id="517"/>
      <w:bookmarkEnd w:id="518"/>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519" w:name="_Toc262566427"/>
      <w:bookmarkStart w:id="520" w:name="_Toc295829997"/>
      <w:bookmarkStart w:id="521" w:name="_Toc308426674"/>
      <w:bookmarkStart w:id="522" w:name="_Toc310415058"/>
      <w:bookmarkStart w:id="523" w:name="_Toc360188393"/>
      <w:bookmarkStart w:id="524" w:name="_Toc473561033"/>
      <w:bookmarkStart w:id="525" w:name="_Toc496022344"/>
      <w:r>
        <w:rPr>
          <w:rFonts w:ascii="Times New Roman" w:hAnsi="Times New Roman"/>
          <w:sz w:val="24"/>
          <w:u w:val="none"/>
        </w:rPr>
        <w:t>5.1.1.</w:t>
      </w:r>
      <w:r>
        <w:tab/>
      </w:r>
      <w:r>
        <w:rPr>
          <w:rFonts w:ascii="Times New Roman" w:hAnsi="Times New Roman"/>
          <w:sz w:val="24"/>
        </w:rPr>
        <w:t>Remarques générales</w:t>
      </w:r>
      <w:bookmarkEnd w:id="519"/>
      <w:bookmarkEnd w:id="520"/>
      <w:bookmarkEnd w:id="521"/>
      <w:bookmarkEnd w:id="522"/>
      <w:bookmarkEnd w:id="523"/>
      <w:bookmarkEnd w:id="524"/>
      <w:bookmarkEnd w:id="525"/>
    </w:p>
    <w:p w:rsidR="000B0B09" w:rsidRPr="00392FFD" w:rsidRDefault="00125707" w:rsidP="0023700C">
      <w:pPr>
        <w:pStyle w:val="InstructionsText2"/>
        <w:numPr>
          <w:ilvl w:val="0"/>
          <w:numId w:val="0"/>
        </w:numPr>
        <w:ind w:left="1353" w:hanging="360"/>
      </w:pPr>
      <w:r>
        <w:t>139.</w:t>
      </w:r>
      <w:r>
        <w:tab/>
        <w:t>Ce modèle traite des positions et des exigences de fonds propres correspo</w:t>
      </w:r>
      <w:r>
        <w:t>n</w:t>
      </w:r>
      <w:r>
        <w:t>dantes pour risque de position sur des titres de créance négociés selon l’approche standard (article 102 et article 105, paragraphe 1, du CRR). Les di</w:t>
      </w:r>
      <w:r>
        <w:t>f</w:t>
      </w:r>
      <w:r>
        <w:t>férents risques et les différentes méthodes applicables en vertu du CRR sont considérés par ligne. Le risque spécifique associé aux expositions figurant dans les modèles MKR SA SEC et MKR SA CTP ne doit être déclaré que dans le modèle MKR SA TDI Total. Les exigences de fonds propres déclarées dans ces modèles seront respectivement transférées vers la cellule {325;060} (titris</w:t>
      </w:r>
      <w:r>
        <w:t>a</w:t>
      </w:r>
      <w:r>
        <w:t>tions) et la cellule {330;060} (portefeuille de négociation en corrélation). .</w:t>
      </w:r>
    </w:p>
    <w:p w:rsidR="000B0B09" w:rsidRPr="00392FFD" w:rsidRDefault="00125707" w:rsidP="0023700C">
      <w:pPr>
        <w:pStyle w:val="InstructionsText2"/>
        <w:numPr>
          <w:ilvl w:val="0"/>
          <w:numId w:val="0"/>
        </w:numPr>
        <w:ind w:left="1353" w:hanging="360"/>
      </w:pPr>
      <w:r>
        <w:t>140.</w:t>
      </w:r>
      <w:r>
        <w:tab/>
        <w:t>Le modèle doit être rempli séparément pour le «Total» et pour une liste préd</w:t>
      </w:r>
      <w:r>
        <w:t>é</w:t>
      </w:r>
      <w:r>
        <w:t xml:space="preserve">finie des devises suivantes: </w:t>
      </w:r>
      <w:bookmarkStart w:id="526" w:name="OLE_LINK1"/>
      <w:r>
        <w:t xml:space="preserve">EUR, ALL, BGN, CZK, DKK, EGP, GBP, HRK, HUF, ISK, JPY, MKD, NOK, PLN, RON, RUB, RSD, SEK, CHF, TRY, UAH, USD </w:t>
      </w:r>
      <w:bookmarkEnd w:id="526"/>
      <w:r>
        <w:t xml:space="preserve">et un modèle supplémentaire pour toutes les autres devises. </w:t>
      </w:r>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527" w:name="_Toc262566428"/>
      <w:bookmarkStart w:id="528" w:name="_Toc295829998"/>
      <w:bookmarkStart w:id="529" w:name="_Toc308426675"/>
      <w:bookmarkStart w:id="530" w:name="_Toc310415059"/>
      <w:bookmarkStart w:id="531" w:name="_Toc360188394"/>
      <w:bookmarkStart w:id="532" w:name="_Toc473561034"/>
      <w:bookmarkStart w:id="533" w:name="_Toc496022345"/>
      <w:r>
        <w:rPr>
          <w:rFonts w:ascii="Times New Roman" w:hAnsi="Times New Roman"/>
          <w:sz w:val="24"/>
          <w:u w:val="none"/>
        </w:rPr>
        <w:t>5.1.2.</w:t>
      </w:r>
      <w:r>
        <w:tab/>
      </w:r>
      <w:r>
        <w:rPr>
          <w:rFonts w:ascii="Times New Roman" w:hAnsi="Times New Roman"/>
          <w:sz w:val="24"/>
        </w:rPr>
        <w:t>Instructions concernant certaines positions</w:t>
      </w:r>
      <w:bookmarkEnd w:id="527"/>
      <w:bookmarkEnd w:id="528"/>
      <w:bookmarkEnd w:id="529"/>
      <w:bookmarkEnd w:id="530"/>
      <w:bookmarkEnd w:id="531"/>
      <w:bookmarkEnd w:id="532"/>
      <w:bookmarkEnd w:id="5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8"/>
        <w:gridCol w:w="7874"/>
      </w:tblGrid>
      <w:tr w:rsidR="000B0B09" w:rsidRPr="00392FFD" w:rsidTr="000B0B09">
        <w:trPr>
          <w:trHeight w:val="569"/>
        </w:trPr>
        <w:tc>
          <w:tcPr>
            <w:tcW w:w="8862" w:type="dxa"/>
            <w:gridSpan w:val="2"/>
            <w:shd w:val="clear" w:color="auto" w:fill="CCCCCC"/>
          </w:tcPr>
          <w:p w:rsidR="000B0B09" w:rsidRPr="00392FFD" w:rsidRDefault="000B0B09" w:rsidP="000B0B09">
            <w:pPr>
              <w:autoSpaceDE w:val="0"/>
              <w:autoSpaceDN w:val="0"/>
              <w:adjustRightInd w:val="0"/>
              <w:spacing w:after="0"/>
              <w:rPr>
                <w:rFonts w:ascii="Times New Roman" w:hAnsi="Times New Roman"/>
                <w:b/>
                <w:sz w:val="24"/>
              </w:rPr>
            </w:pPr>
            <w:r>
              <w:rPr>
                <w:rFonts w:ascii="Times New Roman" w:hAnsi="Times New Roman"/>
                <w:b/>
                <w:sz w:val="24"/>
              </w:rPr>
              <w:t>Colonnes</w:t>
            </w:r>
          </w:p>
        </w:tc>
      </w:tr>
      <w:tr w:rsidR="000B0B09" w:rsidRPr="00392FFD" w:rsidTr="000B0B09">
        <w:tc>
          <w:tcPr>
            <w:tcW w:w="988" w:type="dxa"/>
          </w:tcPr>
          <w:p w:rsidR="000B0B09" w:rsidRPr="00392FFD" w:rsidRDefault="000B0B09" w:rsidP="000F70EC">
            <w:pPr>
              <w:autoSpaceDE w:val="0"/>
              <w:autoSpaceDN w:val="0"/>
              <w:adjustRightInd w:val="0"/>
              <w:spacing w:before="0" w:after="0"/>
              <w:rPr>
                <w:rFonts w:ascii="Times New Roman" w:hAnsi="Times New Roman"/>
                <w:sz w:val="24"/>
              </w:rPr>
            </w:pPr>
            <w:r>
              <w:rPr>
                <w:rFonts w:ascii="Times New Roman" w:hAnsi="Times New Roman"/>
                <w:sz w:val="24"/>
              </w:rPr>
              <w:t>010-020</w:t>
            </w:r>
          </w:p>
        </w:tc>
        <w:tc>
          <w:tcPr>
            <w:tcW w:w="787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TOUTES LES POSITIONS (LONGUES ET COURTES)</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lastRenderedPageBreak/>
              <w:t>Article 102 et article 105, paragraphe 1, du CRR. Il s’agit de positions brutes qui ne sont pas compensées par des instruments, à l’exclusion des positions de prise ferme souscrites ou reprises par des tiers (article 345, deuxième phrase, du CRR). En ce qui concerne la distinction entre les positions longues et courtes, également applicable à ces positions brutes, voir l’article 328, par</w:t>
            </w:r>
            <w:r>
              <w:rPr>
                <w:rFonts w:ascii="Times New Roman" w:hAnsi="Times New Roman"/>
                <w:sz w:val="24"/>
              </w:rPr>
              <w:t>a</w:t>
            </w:r>
            <w:r>
              <w:rPr>
                <w:rFonts w:ascii="Times New Roman" w:hAnsi="Times New Roman"/>
                <w:sz w:val="24"/>
              </w:rPr>
              <w:t>graphe 2, du CRR.</w:t>
            </w:r>
          </w:p>
          <w:p w:rsidR="000B0B09" w:rsidRPr="00392FFD" w:rsidRDefault="000B0B09" w:rsidP="000B0B09">
            <w:pPr>
              <w:autoSpaceDE w:val="0"/>
              <w:autoSpaceDN w:val="0"/>
              <w:adjustRightInd w:val="0"/>
              <w:spacing w:before="0" w:after="0"/>
              <w:rPr>
                <w:rFonts w:ascii="Times New Roman" w:hAnsi="Times New Roman"/>
                <w:sz w:val="24"/>
              </w:rPr>
            </w:pPr>
          </w:p>
        </w:tc>
      </w:tr>
      <w:tr w:rsidR="000B0B09" w:rsidRPr="00392FFD" w:rsidTr="000B0B09">
        <w:tc>
          <w:tcPr>
            <w:tcW w:w="988" w:type="dxa"/>
          </w:tcPr>
          <w:p w:rsidR="000B0B09" w:rsidRPr="00392FFD" w:rsidRDefault="000B0B09" w:rsidP="000F70EC">
            <w:pPr>
              <w:autoSpaceDE w:val="0"/>
              <w:autoSpaceDN w:val="0"/>
              <w:adjustRightInd w:val="0"/>
              <w:spacing w:before="0" w:after="0"/>
              <w:rPr>
                <w:rFonts w:ascii="Times New Roman" w:hAnsi="Times New Roman"/>
                <w:sz w:val="24"/>
              </w:rPr>
            </w:pPr>
            <w:r>
              <w:rPr>
                <w:rFonts w:ascii="Times New Roman" w:hAnsi="Times New Roman"/>
                <w:sz w:val="24"/>
              </w:rPr>
              <w:lastRenderedPageBreak/>
              <w:t>030-040</w:t>
            </w:r>
          </w:p>
        </w:tc>
        <w:tc>
          <w:tcPr>
            <w:tcW w:w="787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POSITIONS NETTES (LONGUES ET COURTES)</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Articles 327 à 329 et article 334 du CRR. En ce qui concerne la distinction entre les positions longues et courtes, voir l’article 328, paragraphe 2, du CRR.</w:t>
            </w:r>
          </w:p>
          <w:p w:rsidR="000B0B09" w:rsidRPr="00392FFD" w:rsidRDefault="000B0B09" w:rsidP="000B0B09">
            <w:pPr>
              <w:autoSpaceDE w:val="0"/>
              <w:autoSpaceDN w:val="0"/>
              <w:adjustRightInd w:val="0"/>
              <w:spacing w:before="0" w:after="0"/>
              <w:rPr>
                <w:rFonts w:ascii="Times New Roman" w:hAnsi="Times New Roman"/>
                <w:sz w:val="24"/>
              </w:rPr>
            </w:pPr>
          </w:p>
        </w:tc>
      </w:tr>
      <w:tr w:rsidR="000B0B09" w:rsidRPr="00392FFD" w:rsidTr="000B0B09">
        <w:tc>
          <w:tcPr>
            <w:tcW w:w="98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050</w:t>
            </w:r>
          </w:p>
        </w:tc>
        <w:tc>
          <w:tcPr>
            <w:tcW w:w="787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POSITIONS SOUMISES AUX EXIGENCES DE FONDS PROPRES</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sz w:val="24"/>
              </w:rPr>
              <w:t>Positions nettes qui, selon les différentes approches envisagées dans la tro</w:t>
            </w:r>
            <w:r>
              <w:rPr>
                <w:rFonts w:ascii="Times New Roman" w:hAnsi="Times New Roman"/>
                <w:sz w:val="24"/>
              </w:rPr>
              <w:t>i</w:t>
            </w:r>
            <w:r>
              <w:rPr>
                <w:rFonts w:ascii="Times New Roman" w:hAnsi="Times New Roman"/>
                <w:sz w:val="24"/>
              </w:rPr>
              <w:t>sième partie, titre IV, chapitre 2 du CRR, reçoivent une exigence de fonds propres.</w:t>
            </w:r>
          </w:p>
        </w:tc>
      </w:tr>
      <w:tr w:rsidR="000B0B09" w:rsidRPr="00392FFD" w:rsidTr="000B0B09">
        <w:tc>
          <w:tcPr>
            <w:tcW w:w="98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060</w:t>
            </w:r>
          </w:p>
        </w:tc>
        <w:tc>
          <w:tcPr>
            <w:tcW w:w="7874" w:type="dxa"/>
          </w:tcPr>
          <w:p w:rsidR="000B0B09" w:rsidRPr="00392FFD" w:rsidRDefault="000B0B09" w:rsidP="000B0B09">
            <w:pPr>
              <w:tabs>
                <w:tab w:val="left" w:pos="1665"/>
              </w:tabs>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EXIGENCES DE FONDS PROPRES</w:t>
            </w:r>
          </w:p>
          <w:p w:rsidR="000B0B09" w:rsidRPr="00392FFD" w:rsidRDefault="000B0B09" w:rsidP="000B0B09">
            <w:pPr>
              <w:tabs>
                <w:tab w:val="left" w:pos="1665"/>
              </w:tabs>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sz w:val="24"/>
              </w:rPr>
              <w:t>Exigences de fonds propres pour toute position pertinente, conformément à la troisième partie, titre IV, chapitre 2 du CRR.</w:t>
            </w:r>
          </w:p>
        </w:tc>
      </w:tr>
      <w:tr w:rsidR="000B0B09" w:rsidRPr="00392FFD" w:rsidTr="000B0B09">
        <w:tc>
          <w:tcPr>
            <w:tcW w:w="98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070</w:t>
            </w:r>
          </w:p>
        </w:tc>
        <w:tc>
          <w:tcPr>
            <w:tcW w:w="7874" w:type="dxa"/>
          </w:tcPr>
          <w:p w:rsidR="000B0B09" w:rsidRPr="00392FFD" w:rsidRDefault="000B0B09" w:rsidP="000B0B09">
            <w:pPr>
              <w:tabs>
                <w:tab w:val="left" w:pos="1665"/>
              </w:tabs>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MONTANT TOTAL D'EXPOSITION AU RISQUE</w:t>
            </w:r>
          </w:p>
          <w:p w:rsidR="000B0B09" w:rsidRPr="00392FFD" w:rsidRDefault="000B0B09" w:rsidP="000B0B09">
            <w:pPr>
              <w:tabs>
                <w:tab w:val="left" w:pos="1665"/>
              </w:tabs>
              <w:autoSpaceDE w:val="0"/>
              <w:autoSpaceDN w:val="0"/>
              <w:adjustRightInd w:val="0"/>
              <w:spacing w:before="0" w:after="0"/>
              <w:rPr>
                <w:rFonts w:ascii="Times New Roman" w:hAnsi="Times New Roman"/>
                <w:b/>
                <w:bCs/>
                <w:sz w:val="24"/>
                <w:u w:val="single"/>
              </w:rPr>
            </w:pPr>
          </w:p>
          <w:p w:rsidR="000B0B09" w:rsidRPr="00392FFD" w:rsidRDefault="000B0B09" w:rsidP="000B0B09">
            <w:pPr>
              <w:tabs>
                <w:tab w:val="left" w:pos="1665"/>
              </w:tabs>
              <w:autoSpaceDE w:val="0"/>
              <w:autoSpaceDN w:val="0"/>
              <w:adjustRightInd w:val="0"/>
              <w:spacing w:before="0" w:after="0"/>
              <w:rPr>
                <w:rFonts w:ascii="Times New Roman" w:hAnsi="Times New Roman"/>
                <w:b/>
                <w:bCs/>
                <w:sz w:val="24"/>
                <w:u w:val="single"/>
              </w:rPr>
            </w:pPr>
            <w:r>
              <w:rPr>
                <w:rFonts w:ascii="Times New Roman" w:hAnsi="Times New Roman"/>
                <w:sz w:val="24"/>
              </w:rPr>
              <w:t xml:space="preserve">Article 92, paragraphe 4, point b) du CRR. Résultat de la multiplication par 12,5 des exigences de fonds propres. </w:t>
            </w:r>
          </w:p>
        </w:tc>
      </w:tr>
    </w:tbl>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
        <w:gridCol w:w="7875"/>
      </w:tblGrid>
      <w:tr w:rsidR="000B0B09" w:rsidRPr="00392FFD" w:rsidTr="000B0B09">
        <w:trPr>
          <w:trHeight w:val="533"/>
        </w:trPr>
        <w:tc>
          <w:tcPr>
            <w:tcW w:w="8862" w:type="dxa"/>
            <w:gridSpan w:val="2"/>
            <w:shd w:val="clear" w:color="auto" w:fill="CCCCCC"/>
          </w:tcPr>
          <w:p w:rsidR="000B0B09" w:rsidRPr="00392FFD" w:rsidRDefault="000B0B09" w:rsidP="000B0B09">
            <w:pPr>
              <w:autoSpaceDE w:val="0"/>
              <w:autoSpaceDN w:val="0"/>
              <w:adjustRightInd w:val="0"/>
              <w:spacing w:after="0"/>
              <w:rPr>
                <w:rFonts w:ascii="Times New Roman" w:hAnsi="Times New Roman"/>
                <w:b/>
                <w:sz w:val="24"/>
              </w:rPr>
            </w:pPr>
            <w:r>
              <w:rPr>
                <w:rFonts w:ascii="Times New Roman" w:hAnsi="Times New Roman"/>
                <w:b/>
                <w:sz w:val="24"/>
              </w:rPr>
              <w:t>Lignes</w:t>
            </w:r>
          </w:p>
        </w:tc>
      </w:tr>
      <w:tr w:rsidR="000B0B09" w:rsidRPr="00392FFD" w:rsidTr="000B0B09">
        <w:trPr>
          <w:trHeight w:val="1168"/>
        </w:trPr>
        <w:tc>
          <w:tcPr>
            <w:tcW w:w="987"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010-350</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p>
        </w:tc>
        <w:tc>
          <w:tcPr>
            <w:tcW w:w="7875"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TITRES DE CRÉANCE NÉGOCIÉS DANS LE PORTEFEUILLE DE NÉGOCIATION</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Les positions sur titres de créance négociés, dans le portefeuille de négoci</w:t>
            </w:r>
            <w:r>
              <w:rPr>
                <w:rFonts w:ascii="Times New Roman" w:hAnsi="Times New Roman"/>
                <w:sz w:val="24"/>
              </w:rPr>
              <w:t>a</w:t>
            </w:r>
            <w:r>
              <w:rPr>
                <w:rFonts w:ascii="Times New Roman" w:hAnsi="Times New Roman"/>
                <w:sz w:val="24"/>
              </w:rPr>
              <w:t>tion, et les exigences de fonds propres correspondantes pour risque de pos</w:t>
            </w:r>
            <w:r>
              <w:rPr>
                <w:rFonts w:ascii="Times New Roman" w:hAnsi="Times New Roman"/>
                <w:sz w:val="24"/>
              </w:rPr>
              <w:t>i</w:t>
            </w:r>
            <w:r>
              <w:rPr>
                <w:rFonts w:ascii="Times New Roman" w:hAnsi="Times New Roman"/>
                <w:sz w:val="24"/>
              </w:rPr>
              <w:t>tion, conformément à l’article 92, paragraphe 3, point b) i) du CRR et à la troisième partie, titre IV, chapitre 2 du CRR, sont déclarées en fonction de leur catégorie de risque, de leur échéance et de l’approche utilisée.</w:t>
            </w:r>
          </w:p>
        </w:tc>
      </w:tr>
      <w:tr w:rsidR="000B0B09" w:rsidRPr="00392FFD" w:rsidTr="000B0B09">
        <w:tc>
          <w:tcPr>
            <w:tcW w:w="987" w:type="dxa"/>
          </w:tcPr>
          <w:p w:rsidR="000B0B09" w:rsidRPr="00392FFD" w:rsidRDefault="000B0B09" w:rsidP="000F70EC">
            <w:pPr>
              <w:autoSpaceDE w:val="0"/>
              <w:autoSpaceDN w:val="0"/>
              <w:adjustRightInd w:val="0"/>
              <w:spacing w:before="0" w:after="0"/>
              <w:rPr>
                <w:rFonts w:ascii="Times New Roman" w:hAnsi="Times New Roman"/>
                <w:sz w:val="24"/>
              </w:rPr>
            </w:pPr>
            <w:r>
              <w:rPr>
                <w:rFonts w:ascii="Times New Roman" w:hAnsi="Times New Roman"/>
                <w:sz w:val="24"/>
              </w:rPr>
              <w:t>011</w:t>
            </w:r>
          </w:p>
        </w:tc>
        <w:tc>
          <w:tcPr>
            <w:tcW w:w="7875"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b/>
                <w:sz w:val="24"/>
                <w:u w:val="single"/>
              </w:rPr>
              <w:t xml:space="preserve">RISQUE GÉNÉRAL </w:t>
            </w:r>
          </w:p>
        </w:tc>
      </w:tr>
      <w:tr w:rsidR="000B0B09" w:rsidRPr="00392FFD" w:rsidTr="000B0B09">
        <w:tc>
          <w:tcPr>
            <w:tcW w:w="987"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012</w:t>
            </w:r>
          </w:p>
        </w:tc>
        <w:tc>
          <w:tcPr>
            <w:tcW w:w="7875"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Dérivés</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sz w:val="24"/>
              </w:rPr>
              <w:t>Dérivés inclus dans le calcul du risque de taux d’intérêt des positions du po</w:t>
            </w:r>
            <w:r>
              <w:rPr>
                <w:rFonts w:ascii="Times New Roman" w:hAnsi="Times New Roman"/>
                <w:sz w:val="24"/>
              </w:rPr>
              <w:t>r</w:t>
            </w:r>
            <w:r>
              <w:rPr>
                <w:rFonts w:ascii="Times New Roman" w:hAnsi="Times New Roman"/>
                <w:sz w:val="24"/>
              </w:rPr>
              <w:t>tefeuille de négociation, compte tenu des articles 328 à 331, le cas échéant.</w:t>
            </w:r>
          </w:p>
        </w:tc>
      </w:tr>
      <w:tr w:rsidR="000B0B09" w:rsidRPr="00392FFD" w:rsidTr="000B0B09">
        <w:tc>
          <w:tcPr>
            <w:tcW w:w="987"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013</w:t>
            </w:r>
          </w:p>
        </w:tc>
        <w:tc>
          <w:tcPr>
            <w:tcW w:w="7875"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Autres éléments d’actif et de passif</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sz w:val="24"/>
              </w:rPr>
              <w:t xml:space="preserve">Instruments autres que les dérivés inclus dans le calcul du risque de taux d’intérêt des positions du portefeuille de négociation. </w:t>
            </w:r>
          </w:p>
        </w:tc>
      </w:tr>
      <w:tr w:rsidR="000B0B09" w:rsidRPr="00392FFD" w:rsidTr="000B0B09">
        <w:tc>
          <w:tcPr>
            <w:tcW w:w="987"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020-200</w:t>
            </w:r>
          </w:p>
        </w:tc>
        <w:tc>
          <w:tcPr>
            <w:tcW w:w="7875"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APPROCHE BASÉE SUR L’ÉCHÉANCE</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sz w:val="24"/>
              </w:rPr>
              <w:t>Positions sur titres de créance négociés soumis à l’approche fondée sur l’échéance conformément à l’article 339, paragraphes 1 à 8, du CRR et les exi</w:t>
            </w:r>
            <w:r>
              <w:rPr>
                <w:rFonts w:ascii="Times New Roman" w:hAnsi="Times New Roman"/>
                <w:sz w:val="24"/>
              </w:rPr>
              <w:lastRenderedPageBreak/>
              <w:t>gences de fonds propres correspondantes fixées à l’article 339, paragraphe 9, du CRR. La position sera divisée en zones 1, 2 et 3, et celles-ci selon l’échéance des instruments.</w:t>
            </w:r>
          </w:p>
        </w:tc>
      </w:tr>
      <w:tr w:rsidR="000B0B09" w:rsidRPr="00392FFD" w:rsidTr="000B0B09">
        <w:tc>
          <w:tcPr>
            <w:tcW w:w="987" w:type="dxa"/>
          </w:tcPr>
          <w:p w:rsidR="000B0B09" w:rsidRPr="00392FFD" w:rsidRDefault="000B0B09" w:rsidP="000F70EC">
            <w:pPr>
              <w:autoSpaceDE w:val="0"/>
              <w:autoSpaceDN w:val="0"/>
              <w:adjustRightInd w:val="0"/>
              <w:spacing w:before="0" w:after="0"/>
              <w:rPr>
                <w:rFonts w:ascii="Times New Roman" w:hAnsi="Times New Roman"/>
                <w:sz w:val="24"/>
              </w:rPr>
            </w:pPr>
            <w:r>
              <w:rPr>
                <w:rFonts w:ascii="Times New Roman" w:hAnsi="Times New Roman"/>
                <w:sz w:val="24"/>
              </w:rPr>
              <w:lastRenderedPageBreak/>
              <w:t>210-240</w:t>
            </w:r>
          </w:p>
        </w:tc>
        <w:tc>
          <w:tcPr>
            <w:tcW w:w="7875"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b/>
                <w:sz w:val="24"/>
                <w:u w:val="single"/>
              </w:rPr>
              <w:t>RISQUE GÉNÉRAL APPROCHE BASÉE SUR LA DURATION</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Positions sur des titres de créance négociés soumis à l’approche fondée sur la duration conformément à l’article 340, paragraphes 1 à 6, du CRR et les ex</w:t>
            </w:r>
            <w:r>
              <w:rPr>
                <w:rFonts w:ascii="Times New Roman" w:hAnsi="Times New Roman"/>
                <w:sz w:val="24"/>
              </w:rPr>
              <w:t>i</w:t>
            </w:r>
            <w:r>
              <w:rPr>
                <w:rFonts w:ascii="Times New Roman" w:hAnsi="Times New Roman"/>
                <w:sz w:val="24"/>
              </w:rPr>
              <w:t>gences de fonds propres correspondantes fixées à l’article 340, paragraphe 7, du CRR. La position sera divisée en zones 1, 2 et 3.</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87" w:type="dxa"/>
          </w:tcPr>
          <w:p w:rsidR="000B0B09" w:rsidRPr="00392FFD" w:rsidRDefault="000B0B09" w:rsidP="000F70EC">
            <w:pPr>
              <w:autoSpaceDE w:val="0"/>
              <w:autoSpaceDN w:val="0"/>
              <w:adjustRightInd w:val="0"/>
              <w:spacing w:before="0" w:after="0"/>
              <w:rPr>
                <w:rFonts w:ascii="Times New Roman" w:hAnsi="Times New Roman"/>
                <w:sz w:val="24"/>
              </w:rPr>
            </w:pPr>
            <w:r>
              <w:rPr>
                <w:rFonts w:ascii="Times New Roman" w:hAnsi="Times New Roman"/>
                <w:sz w:val="24"/>
              </w:rPr>
              <w:t>250</w:t>
            </w:r>
          </w:p>
        </w:tc>
        <w:tc>
          <w:tcPr>
            <w:tcW w:w="7875"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RISQUE SPÉCIFIQUE</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 xml:space="preserve">Somme des montants déclarés aux lignes 251, 325 et 330. </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sz w:val="24"/>
              </w:rPr>
              <w:t>Positions sur des titres de créance négociés soumis aux exigences de fonds propres pour risque spécifique, et les exigences de fonds propres correspo</w:t>
            </w:r>
            <w:r>
              <w:rPr>
                <w:rFonts w:ascii="Times New Roman" w:hAnsi="Times New Roman"/>
                <w:sz w:val="24"/>
              </w:rPr>
              <w:t>n</w:t>
            </w:r>
            <w:r>
              <w:rPr>
                <w:rFonts w:ascii="Times New Roman" w:hAnsi="Times New Roman"/>
                <w:sz w:val="24"/>
              </w:rPr>
              <w:t>dantes, conformément à l’article 92, paragraphe 3, point b), à l’article 335, à l’article 336, paragraphes 1 à 3, et aux articles 337 et 338 du CRR. Il faut ég</w:t>
            </w:r>
            <w:r>
              <w:rPr>
                <w:rFonts w:ascii="Times New Roman" w:hAnsi="Times New Roman"/>
                <w:sz w:val="24"/>
              </w:rPr>
              <w:t>a</w:t>
            </w:r>
            <w:r>
              <w:rPr>
                <w:rFonts w:ascii="Times New Roman" w:hAnsi="Times New Roman"/>
                <w:sz w:val="24"/>
              </w:rPr>
              <w:t>lement tenir compte de la dernière phrase de l’article 327, paragraphe 1, du CRR.</w:t>
            </w:r>
          </w:p>
        </w:tc>
      </w:tr>
      <w:tr w:rsidR="000B0B09" w:rsidRPr="00392FFD" w:rsidTr="000B0B09">
        <w:tc>
          <w:tcPr>
            <w:tcW w:w="987" w:type="dxa"/>
          </w:tcPr>
          <w:p w:rsidR="000B0B09" w:rsidRPr="00392FFD" w:rsidRDefault="000B0B09" w:rsidP="000F70EC">
            <w:pPr>
              <w:autoSpaceDE w:val="0"/>
              <w:autoSpaceDN w:val="0"/>
              <w:adjustRightInd w:val="0"/>
              <w:spacing w:before="0" w:after="0"/>
              <w:rPr>
                <w:rFonts w:ascii="Times New Roman" w:hAnsi="Times New Roman"/>
                <w:sz w:val="24"/>
              </w:rPr>
            </w:pPr>
            <w:r>
              <w:rPr>
                <w:rFonts w:ascii="Times New Roman" w:hAnsi="Times New Roman"/>
                <w:sz w:val="24"/>
              </w:rPr>
              <w:t>251-321</w:t>
            </w:r>
          </w:p>
        </w:tc>
        <w:tc>
          <w:tcPr>
            <w:tcW w:w="7875"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Exigences de fonds propres applicables aux titres de créances autres que des positions de titrisation</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Somme des montants déclarés aux lignes 260 à 321.</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L'exigence de fonds propres des dérivés de crédit au nième défaut qui ne b</w:t>
            </w:r>
            <w:r>
              <w:rPr>
                <w:rFonts w:ascii="Times New Roman" w:hAnsi="Times New Roman"/>
                <w:sz w:val="24"/>
              </w:rPr>
              <w:t>é</w:t>
            </w:r>
            <w:r>
              <w:rPr>
                <w:rFonts w:ascii="Times New Roman" w:hAnsi="Times New Roman"/>
                <w:sz w:val="24"/>
              </w:rPr>
              <w:t>néficient pas d'une notation externe doit être calculée en additionnant les po</w:t>
            </w:r>
            <w:r>
              <w:rPr>
                <w:rFonts w:ascii="Times New Roman" w:hAnsi="Times New Roman"/>
                <w:sz w:val="24"/>
              </w:rPr>
              <w:t>n</w:t>
            </w:r>
            <w:r>
              <w:rPr>
                <w:rFonts w:ascii="Times New Roman" w:hAnsi="Times New Roman"/>
                <w:sz w:val="24"/>
              </w:rPr>
              <w:t>dérations de risque des entités de référence (article 332, paragraphe 1, point e), premier et deuxième alinéas, du CRR - «Transparence»). Les dérivés de crédit au nième défaut qui bénéficient d'une notation externe (article 332, p</w:t>
            </w:r>
            <w:r>
              <w:rPr>
                <w:rFonts w:ascii="Times New Roman" w:hAnsi="Times New Roman"/>
                <w:sz w:val="24"/>
              </w:rPr>
              <w:t>a</w:t>
            </w:r>
            <w:r>
              <w:rPr>
                <w:rFonts w:ascii="Times New Roman" w:hAnsi="Times New Roman"/>
                <w:sz w:val="24"/>
              </w:rPr>
              <w:t xml:space="preserve">ragraphe 1, point e), paragraphe 3, du CRR) seront déclarés séparément à la ligne 321. </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u w:val="single"/>
              </w:rPr>
              <w:t>Déclaration de positions soumises à l'article 336, paragraphe 3, du CRR</w:t>
            </w:r>
            <w:r>
              <w:rPr>
                <w:rFonts w:ascii="Times New Roman" w:hAnsi="Times New Roman"/>
                <w:sz w:val="24"/>
              </w:rPr>
              <w:t>:</w:t>
            </w: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Il existe un traitement spécial pour les obligations remplissant les conditions pour recevoir une pondération de risque de 10 % dans le portefeuille d’intermédiation bancaire, conformément à l’article 129, paragraphe 3, du CRR (obligations garanties). Les exigences de fonds propres spécifiques r</w:t>
            </w:r>
            <w:r>
              <w:rPr>
                <w:rFonts w:ascii="Times New Roman" w:hAnsi="Times New Roman"/>
                <w:sz w:val="24"/>
              </w:rPr>
              <w:t>e</w:t>
            </w:r>
            <w:r>
              <w:rPr>
                <w:rFonts w:ascii="Times New Roman" w:hAnsi="Times New Roman"/>
                <w:sz w:val="24"/>
              </w:rPr>
              <w:t>présentent la moitié du pourcentage de la deuxième catégorie du tableau 1 de l’article 336 du CRR. Ces positions doivent être affectées aux lignes 280 à 300 en fonction de la durée résiduelle jusqu’à l’échéance finale.</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 xml:space="preserve">Lorsque le risque général des positions liées aux taux d’intérêt est couvert par un dérivé de crédit, les articles 346 et 347 s’appliquent. </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87" w:type="dxa"/>
          </w:tcPr>
          <w:p w:rsidR="000B0B09" w:rsidRPr="00392FFD" w:rsidDel="00F27BD6"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325</w:t>
            </w:r>
          </w:p>
        </w:tc>
        <w:tc>
          <w:tcPr>
            <w:tcW w:w="7875"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Exigences de fonds propres applicables aux positions de titrisation</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Del="00F27BD6"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sz w:val="24"/>
              </w:rPr>
              <w:t>Total des exigences de fonds propres déclaré dans la colonne 610 du modèle MKR SA SEC. Cette valeur ne figurera que dans le niveau Total du modèle MKR SA TDI.</w:t>
            </w:r>
          </w:p>
        </w:tc>
      </w:tr>
      <w:tr w:rsidR="000B0B09" w:rsidRPr="00392FFD" w:rsidTr="000B0B09">
        <w:tc>
          <w:tcPr>
            <w:tcW w:w="987" w:type="dxa"/>
          </w:tcPr>
          <w:p w:rsidR="000B0B09" w:rsidRPr="00392FFD" w:rsidDel="00F27BD6"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330</w:t>
            </w:r>
          </w:p>
        </w:tc>
        <w:tc>
          <w:tcPr>
            <w:tcW w:w="7875"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 xml:space="preserve">Exigences de fonds propres applicables au portefeuille de négociation en </w:t>
            </w:r>
            <w:r>
              <w:rPr>
                <w:rFonts w:ascii="Times New Roman" w:hAnsi="Times New Roman"/>
                <w:b/>
                <w:sz w:val="24"/>
                <w:u w:val="single"/>
              </w:rPr>
              <w:lastRenderedPageBreak/>
              <w:t>corrélation</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Del="00F27BD6"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sz w:val="24"/>
              </w:rPr>
              <w:t>Total des exigences de fonds propres déclaré dans la colonne 450 du modèle MKR SA CTP. Cette valeur ne figurera que dans le niveau Total du modèle MKR SA TDI.</w:t>
            </w:r>
          </w:p>
        </w:tc>
      </w:tr>
      <w:tr w:rsidR="000B0B09" w:rsidRPr="00392FFD" w:rsidTr="000B0B09">
        <w:tc>
          <w:tcPr>
            <w:tcW w:w="987" w:type="dxa"/>
          </w:tcPr>
          <w:p w:rsidR="000B0B09" w:rsidRPr="00392FFD" w:rsidRDefault="000B0B09" w:rsidP="000F70EC">
            <w:pPr>
              <w:autoSpaceDE w:val="0"/>
              <w:autoSpaceDN w:val="0"/>
              <w:adjustRightInd w:val="0"/>
              <w:spacing w:before="0" w:after="0"/>
              <w:rPr>
                <w:rFonts w:ascii="Times New Roman" w:hAnsi="Times New Roman"/>
                <w:sz w:val="24"/>
              </w:rPr>
            </w:pPr>
            <w:r>
              <w:rPr>
                <w:rFonts w:ascii="Times New Roman" w:hAnsi="Times New Roman"/>
                <w:sz w:val="24"/>
              </w:rPr>
              <w:lastRenderedPageBreak/>
              <w:t>350-390</w:t>
            </w:r>
          </w:p>
        </w:tc>
        <w:tc>
          <w:tcPr>
            <w:tcW w:w="7875" w:type="dxa"/>
          </w:tcPr>
          <w:p w:rsidR="000B0B09" w:rsidRPr="00392FFD" w:rsidRDefault="000B0B09" w:rsidP="000B0B09">
            <w:pPr>
              <w:autoSpaceDE w:val="0"/>
              <w:autoSpaceDN w:val="0"/>
              <w:adjustRightInd w:val="0"/>
              <w:spacing w:before="0" w:after="0"/>
              <w:rPr>
                <w:rStyle w:val="InstructionsTabelleberschrift"/>
                <w:rFonts w:ascii="Times New Roman" w:hAnsi="Times New Roman"/>
                <w:sz w:val="24"/>
              </w:rPr>
            </w:pPr>
            <w:r>
              <w:rPr>
                <w:rStyle w:val="InstructionsTabelleberschrift"/>
                <w:rFonts w:ascii="Times New Roman" w:hAnsi="Times New Roman"/>
                <w:sz w:val="24"/>
              </w:rPr>
              <w:t xml:space="preserve">EXIGENCES SUPPLÉMENTAIRES POUR RISQUES SUR OPTIONS (RISQUES NON DELTA) </w:t>
            </w:r>
          </w:p>
          <w:p w:rsidR="000B0B09" w:rsidRPr="00392FFD" w:rsidRDefault="000B0B09" w:rsidP="000B0B09">
            <w:pPr>
              <w:autoSpaceDE w:val="0"/>
              <w:autoSpaceDN w:val="0"/>
              <w:adjustRightInd w:val="0"/>
              <w:spacing w:before="0" w:after="0"/>
              <w:rPr>
                <w:rStyle w:val="InstructionsTabelleberschrift"/>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Article 329, paragraphe 3, du CRR.</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Les exigences supplémentaires pour les options liées aux risques autres que le risque delta seront déclarées dans la méthode appliquée pour leur calcul.</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bCs/>
                <w:sz w:val="24"/>
              </w:rPr>
            </w:pPr>
            <w:r>
              <w:rPr>
                <w:rFonts w:ascii="Times New Roman" w:hAnsi="Times New Roman"/>
                <w:sz w:val="24"/>
              </w:rPr>
              <w:t xml:space="preserve">. </w:t>
            </w:r>
          </w:p>
        </w:tc>
      </w:tr>
    </w:tbl>
    <w:p w:rsidR="000B0B09" w:rsidRPr="00392FFD" w:rsidRDefault="000B0B09" w:rsidP="000B0B09">
      <w:pPr>
        <w:autoSpaceDE w:val="0"/>
        <w:autoSpaceDN w:val="0"/>
        <w:adjustRightInd w:val="0"/>
        <w:spacing w:before="0" w:after="0"/>
        <w:rPr>
          <w:rFonts w:ascii="Times New Roman" w:hAnsi="Times New Roman"/>
          <w:bCs/>
          <w:sz w:val="24"/>
        </w:rPr>
      </w:pPr>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534" w:name="_Toc294172370"/>
      <w:bookmarkStart w:id="535" w:name="_Toc295829999"/>
      <w:bookmarkStart w:id="536" w:name="_Toc308426676"/>
      <w:bookmarkStart w:id="537" w:name="_Toc310415060"/>
      <w:bookmarkStart w:id="538" w:name="_Toc360188395"/>
      <w:bookmarkStart w:id="539" w:name="_Toc473561035"/>
      <w:bookmarkStart w:id="540" w:name="_Toc496022346"/>
      <w:r>
        <w:rPr>
          <w:rFonts w:ascii="Times New Roman" w:hAnsi="Times New Roman"/>
          <w:sz w:val="24"/>
          <w:u w:val="none"/>
        </w:rPr>
        <w:t>5.2.</w:t>
      </w:r>
      <w:r>
        <w:tab/>
      </w:r>
      <w:r>
        <w:rPr>
          <w:rFonts w:ascii="Times New Roman" w:hAnsi="Times New Roman"/>
          <w:sz w:val="24"/>
        </w:rPr>
        <w:t>C 19.00 - RISQUE DE MARCHÉ: APPROCHE STANDARD DU RISQUE SPÉC</w:t>
      </w:r>
      <w:r>
        <w:rPr>
          <w:rFonts w:ascii="Times New Roman" w:hAnsi="Times New Roman"/>
          <w:sz w:val="24"/>
        </w:rPr>
        <w:t>I</w:t>
      </w:r>
      <w:r>
        <w:rPr>
          <w:rFonts w:ascii="Times New Roman" w:hAnsi="Times New Roman"/>
          <w:sz w:val="24"/>
        </w:rPr>
        <w:t>FIQUE EN TITRISATION (MKR SA SEC)</w:t>
      </w:r>
      <w:bookmarkEnd w:id="534"/>
      <w:bookmarkEnd w:id="535"/>
      <w:bookmarkEnd w:id="536"/>
      <w:bookmarkEnd w:id="537"/>
      <w:bookmarkEnd w:id="538"/>
      <w:bookmarkEnd w:id="539"/>
      <w:bookmarkEnd w:id="540"/>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541" w:name="_Toc294172371"/>
      <w:bookmarkStart w:id="542" w:name="_Toc295830000"/>
      <w:bookmarkStart w:id="543" w:name="_Toc308426677"/>
      <w:bookmarkStart w:id="544" w:name="_Toc310415061"/>
      <w:bookmarkStart w:id="545" w:name="_Toc360188396"/>
      <w:bookmarkStart w:id="546" w:name="_Toc473561036"/>
      <w:bookmarkStart w:id="547" w:name="_Toc496022347"/>
      <w:r>
        <w:rPr>
          <w:rFonts w:ascii="Times New Roman" w:hAnsi="Times New Roman"/>
          <w:sz w:val="24"/>
          <w:u w:val="none"/>
        </w:rPr>
        <w:t>5.2.1.</w:t>
      </w:r>
      <w:r>
        <w:tab/>
      </w:r>
      <w:r>
        <w:rPr>
          <w:rFonts w:ascii="Times New Roman" w:hAnsi="Times New Roman"/>
          <w:sz w:val="24"/>
        </w:rPr>
        <w:t>Remarques générales</w:t>
      </w:r>
      <w:bookmarkEnd w:id="541"/>
      <w:bookmarkEnd w:id="542"/>
      <w:bookmarkEnd w:id="543"/>
      <w:bookmarkEnd w:id="544"/>
      <w:bookmarkEnd w:id="545"/>
      <w:bookmarkEnd w:id="546"/>
      <w:bookmarkEnd w:id="547"/>
    </w:p>
    <w:p w:rsidR="000B0B09" w:rsidRPr="00392FFD" w:rsidRDefault="00125707" w:rsidP="0023700C">
      <w:pPr>
        <w:pStyle w:val="InstructionsText2"/>
        <w:numPr>
          <w:ilvl w:val="0"/>
          <w:numId w:val="0"/>
        </w:numPr>
        <w:ind w:left="1353" w:hanging="360"/>
      </w:pPr>
      <w:r>
        <w:t>141.</w:t>
      </w:r>
      <w:r>
        <w:tab/>
        <w:t>Ce modèle rassemble des informations sur les positions (toutes/nettes et longues/courtes) et les exigences de fonds propres associées pour la composante «risque spécifique» du risque de position dans les titrisations/retitrisations dét</w:t>
      </w:r>
      <w:r>
        <w:t>e</w:t>
      </w:r>
      <w:r>
        <w:t>nues dans le portefeuille de négociation (non éligibles pour le portefeuille de négociation en corrélation), selon l’approche standard.</w:t>
      </w:r>
    </w:p>
    <w:p w:rsidR="000B0B09" w:rsidRPr="00392FFD" w:rsidRDefault="00125707" w:rsidP="0023700C">
      <w:pPr>
        <w:pStyle w:val="InstructionsText2"/>
        <w:numPr>
          <w:ilvl w:val="0"/>
          <w:numId w:val="0"/>
        </w:numPr>
        <w:ind w:left="1353" w:hanging="360"/>
      </w:pPr>
      <w:r>
        <w:t>142.</w:t>
      </w:r>
      <w:r>
        <w:tab/>
        <w:t>Le modèle MKR SA SEC détermine l’exigence de fonds propres pour le seul risque spécifique des positions de titrisation conformément à l’article 335 en liaison avec l’article 337 du CRR. Lorsque les positions de titrisation du port</w:t>
      </w:r>
      <w:r>
        <w:t>e</w:t>
      </w:r>
      <w:r>
        <w:t>feuille de négociation sont couvertes par des dérivés de crédit, les articles 346 et 347 s’appliquent. Il n’existe qu’un modèle pour toutes les positions du port</w:t>
      </w:r>
      <w:r>
        <w:t>e</w:t>
      </w:r>
      <w:r>
        <w:t>feuille de négociation, que l’établissement recoure à l’approche standard ou à l’approche NI pour calculer la pondération de risque de chacune des positions, conformément à la troisième partie, titre II, chapitre 5 du CRR. La déclaration des exigences de fonds propres pour le risque général de ces positions est effe</w:t>
      </w:r>
      <w:r>
        <w:t>c</w:t>
      </w:r>
      <w:r>
        <w:t>tuée dans les modèles MKR SA TDI ou MKR IM.</w:t>
      </w:r>
    </w:p>
    <w:p w:rsidR="00606885" w:rsidRPr="00392FFD" w:rsidRDefault="00125707" w:rsidP="0023700C">
      <w:pPr>
        <w:pStyle w:val="InstructionsText2"/>
        <w:numPr>
          <w:ilvl w:val="0"/>
          <w:numId w:val="0"/>
        </w:numPr>
        <w:ind w:left="1353" w:hanging="360"/>
      </w:pPr>
      <w:r>
        <w:t>143.</w:t>
      </w:r>
      <w:r>
        <w:tab/>
        <w:t>Les positions qui reçoivent une pondération de risque de 1 250 % peuvent aussi être déduites des fonds propres de base de catégorie 1 (CET1) (voir l’article 243, paragraphe 1, point b), l’article 244, paragraphe 1, point b), et l’article 258 du CRR). Le cas échéant, ces positions doivent être déclarées dans la ligne 460 du modèle CA1.</w:t>
      </w:r>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548" w:name="_Toc294172372"/>
      <w:bookmarkStart w:id="549" w:name="_Toc295830001"/>
      <w:bookmarkStart w:id="550" w:name="_Toc308426678"/>
      <w:bookmarkStart w:id="551" w:name="_Toc310415062"/>
      <w:bookmarkStart w:id="552" w:name="_Toc360188397"/>
      <w:bookmarkStart w:id="553" w:name="_Toc473561037"/>
      <w:bookmarkStart w:id="554" w:name="_Toc496022348"/>
      <w:r>
        <w:rPr>
          <w:rFonts w:ascii="Times New Roman" w:hAnsi="Times New Roman"/>
          <w:sz w:val="24"/>
          <w:u w:val="none"/>
        </w:rPr>
        <w:t>5.2.2.</w:t>
      </w:r>
      <w:r>
        <w:tab/>
      </w:r>
      <w:r>
        <w:rPr>
          <w:rFonts w:ascii="Times New Roman" w:hAnsi="Times New Roman"/>
          <w:sz w:val="24"/>
        </w:rPr>
        <w:t>Instructions concernant certaines positions</w:t>
      </w:r>
      <w:bookmarkEnd w:id="548"/>
      <w:bookmarkEnd w:id="549"/>
      <w:bookmarkEnd w:id="550"/>
      <w:bookmarkEnd w:id="551"/>
      <w:bookmarkEnd w:id="552"/>
      <w:bookmarkEnd w:id="553"/>
      <w:bookmarkEnd w:id="5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8"/>
        <w:gridCol w:w="7874"/>
      </w:tblGrid>
      <w:tr w:rsidR="000B0B09" w:rsidRPr="00392FFD" w:rsidTr="000B0B09">
        <w:trPr>
          <w:trHeight w:val="631"/>
        </w:trPr>
        <w:tc>
          <w:tcPr>
            <w:tcW w:w="8862" w:type="dxa"/>
            <w:gridSpan w:val="2"/>
            <w:shd w:val="clear" w:color="auto" w:fill="CCCCCC"/>
          </w:tcPr>
          <w:p w:rsidR="000B0B09" w:rsidRPr="00392FFD" w:rsidRDefault="000B0B09" w:rsidP="000B0B09">
            <w:pPr>
              <w:autoSpaceDE w:val="0"/>
              <w:autoSpaceDN w:val="0"/>
              <w:adjustRightInd w:val="0"/>
              <w:spacing w:after="0"/>
              <w:rPr>
                <w:rFonts w:ascii="Times New Roman" w:hAnsi="Times New Roman"/>
                <w:b/>
                <w:sz w:val="24"/>
              </w:rPr>
            </w:pPr>
            <w:r>
              <w:rPr>
                <w:rFonts w:ascii="Times New Roman" w:hAnsi="Times New Roman"/>
                <w:b/>
                <w:sz w:val="24"/>
              </w:rPr>
              <w:t>Colonnes</w:t>
            </w:r>
          </w:p>
        </w:tc>
      </w:tr>
      <w:tr w:rsidR="000B0B09" w:rsidRPr="00392FFD" w:rsidTr="000B0B09">
        <w:tc>
          <w:tcPr>
            <w:tcW w:w="988" w:type="dxa"/>
          </w:tcPr>
          <w:p w:rsidR="000B0B09" w:rsidRPr="00392FFD" w:rsidRDefault="000B0B09" w:rsidP="000F70EC">
            <w:pPr>
              <w:autoSpaceDE w:val="0"/>
              <w:autoSpaceDN w:val="0"/>
              <w:adjustRightInd w:val="0"/>
              <w:spacing w:before="0" w:after="0"/>
              <w:rPr>
                <w:rFonts w:ascii="Times New Roman" w:hAnsi="Times New Roman"/>
                <w:sz w:val="24"/>
              </w:rPr>
            </w:pPr>
            <w:r>
              <w:rPr>
                <w:rFonts w:ascii="Times New Roman" w:hAnsi="Times New Roman"/>
                <w:sz w:val="24"/>
              </w:rPr>
              <w:t>010-020</w:t>
            </w:r>
          </w:p>
        </w:tc>
        <w:tc>
          <w:tcPr>
            <w:tcW w:w="787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TOUTES LES POSITIONS (LONGUES ET COURTES)</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Style w:val="InstructionsTabelleText"/>
                <w:rFonts w:ascii="Times New Roman" w:hAnsi="Times New Roman"/>
                <w:sz w:val="24"/>
              </w:rPr>
            </w:pPr>
            <w:r>
              <w:rPr>
                <w:rStyle w:val="InstructionsTabelleText"/>
                <w:rFonts w:ascii="Times New Roman" w:hAnsi="Times New Roman"/>
                <w:sz w:val="24"/>
              </w:rPr>
              <w:t xml:space="preserve">Article 102 et article 105, paragraphe 1, du CRR, en liaison avec l’article 337 </w:t>
            </w:r>
            <w:r>
              <w:rPr>
                <w:rStyle w:val="InstructionsTabelleText"/>
                <w:rFonts w:ascii="Times New Roman" w:hAnsi="Times New Roman"/>
                <w:sz w:val="24"/>
              </w:rPr>
              <w:lastRenderedPageBreak/>
              <w:t>du CRR (positions de titrisation). En ce qui concerne la distinction entre les p</w:t>
            </w:r>
            <w:r>
              <w:rPr>
                <w:rStyle w:val="InstructionsTabelleText"/>
                <w:rFonts w:ascii="Times New Roman" w:hAnsi="Times New Roman"/>
                <w:sz w:val="24"/>
              </w:rPr>
              <w:t>o</w:t>
            </w:r>
            <w:r>
              <w:rPr>
                <w:rStyle w:val="InstructionsTabelleText"/>
                <w:rFonts w:ascii="Times New Roman" w:hAnsi="Times New Roman"/>
                <w:sz w:val="24"/>
              </w:rPr>
              <w:t xml:space="preserve">sitions longues et courtes, également applicable à ces positions brutes, voir l’article 328, paragraphe 2, du CRR. </w:t>
            </w:r>
          </w:p>
          <w:p w:rsidR="000B0B09" w:rsidRPr="00392FFD" w:rsidRDefault="000B0B09" w:rsidP="000B0B09">
            <w:pPr>
              <w:autoSpaceDE w:val="0"/>
              <w:autoSpaceDN w:val="0"/>
              <w:adjustRightInd w:val="0"/>
              <w:spacing w:before="0" w:after="0"/>
              <w:rPr>
                <w:rFonts w:ascii="Times New Roman" w:hAnsi="Times New Roman"/>
                <w:sz w:val="24"/>
              </w:rPr>
            </w:pPr>
          </w:p>
        </w:tc>
      </w:tr>
      <w:tr w:rsidR="000B0B09" w:rsidRPr="00392FFD" w:rsidTr="000B0B09">
        <w:tc>
          <w:tcPr>
            <w:tcW w:w="988" w:type="dxa"/>
          </w:tcPr>
          <w:p w:rsidR="000B0B09" w:rsidRPr="00392FFD" w:rsidRDefault="000B0B09" w:rsidP="000F70EC">
            <w:pPr>
              <w:autoSpaceDE w:val="0"/>
              <w:autoSpaceDN w:val="0"/>
              <w:adjustRightInd w:val="0"/>
              <w:spacing w:before="0" w:after="0"/>
              <w:rPr>
                <w:rFonts w:ascii="Times New Roman" w:hAnsi="Times New Roman"/>
                <w:sz w:val="24"/>
              </w:rPr>
            </w:pPr>
            <w:r>
              <w:rPr>
                <w:rFonts w:ascii="Times New Roman" w:hAnsi="Times New Roman"/>
                <w:sz w:val="24"/>
              </w:rPr>
              <w:lastRenderedPageBreak/>
              <w:t>030-040</w:t>
            </w:r>
          </w:p>
        </w:tc>
        <w:tc>
          <w:tcPr>
            <w:tcW w:w="787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 POSITIONS DÉDUITES DES FONDS PROPRES</w:t>
            </w:r>
            <w:r>
              <w:rPr>
                <w:rFonts w:ascii="Times New Roman" w:hAnsi="Times New Roman"/>
                <w:b/>
                <w:sz w:val="24"/>
                <w:u w:val="single"/>
              </w:rPr>
              <w:t xml:space="preserve"> (LONGUES ET COURTES)</w:t>
            </w:r>
          </w:p>
          <w:p w:rsidR="000B0B09" w:rsidRPr="00392FFD" w:rsidRDefault="000B0B09" w:rsidP="000B0B09">
            <w:pPr>
              <w:autoSpaceDE w:val="0"/>
              <w:autoSpaceDN w:val="0"/>
              <w:adjustRightInd w:val="0"/>
              <w:spacing w:before="0" w:after="0"/>
              <w:rPr>
                <w:rStyle w:val="InstructionsTabelleText"/>
                <w:rFonts w:ascii="Times New Roman" w:hAnsi="Times New Roman"/>
                <w:sz w:val="24"/>
              </w:rPr>
            </w:pPr>
            <w:r>
              <w:rPr>
                <w:rStyle w:val="InstructionsTabelleText"/>
                <w:rFonts w:ascii="Times New Roman" w:hAnsi="Times New Roman"/>
                <w:sz w:val="24"/>
              </w:rPr>
              <w:t>Article 258 du CRR.</w:t>
            </w:r>
          </w:p>
        </w:tc>
      </w:tr>
      <w:tr w:rsidR="000B0B09" w:rsidRPr="00392FFD" w:rsidTr="000B0B09">
        <w:tc>
          <w:tcPr>
            <w:tcW w:w="988" w:type="dxa"/>
          </w:tcPr>
          <w:p w:rsidR="000B0B09" w:rsidRPr="00392FFD" w:rsidRDefault="000B0B09" w:rsidP="000F70EC">
            <w:pPr>
              <w:autoSpaceDE w:val="0"/>
              <w:autoSpaceDN w:val="0"/>
              <w:adjustRightInd w:val="0"/>
              <w:spacing w:before="0" w:after="0"/>
              <w:rPr>
                <w:rFonts w:ascii="Times New Roman" w:hAnsi="Times New Roman"/>
                <w:sz w:val="24"/>
              </w:rPr>
            </w:pPr>
            <w:r>
              <w:rPr>
                <w:rFonts w:ascii="Times New Roman" w:hAnsi="Times New Roman"/>
                <w:sz w:val="24"/>
              </w:rPr>
              <w:t>050-060</w:t>
            </w:r>
          </w:p>
        </w:tc>
        <w:tc>
          <w:tcPr>
            <w:tcW w:w="787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POSITIONS NETTES</w:t>
            </w:r>
            <w:r>
              <w:rPr>
                <w:rFonts w:ascii="Times New Roman" w:hAnsi="Times New Roman"/>
                <w:b/>
                <w:sz w:val="24"/>
                <w:u w:val="single"/>
              </w:rPr>
              <w:t xml:space="preserve"> (LONGUES ET COURTES)</w:t>
            </w:r>
          </w:p>
          <w:p w:rsidR="000B0B09" w:rsidRPr="00392FFD" w:rsidRDefault="000B0B09" w:rsidP="000B0B09">
            <w:pPr>
              <w:autoSpaceDE w:val="0"/>
              <w:autoSpaceDN w:val="0"/>
              <w:adjustRightInd w:val="0"/>
              <w:spacing w:before="0" w:after="0"/>
              <w:rPr>
                <w:rStyle w:val="InstructionsTabelleText"/>
                <w:rFonts w:ascii="Times New Roman" w:hAnsi="Times New Roman"/>
                <w:sz w:val="24"/>
              </w:rPr>
            </w:pPr>
            <w:r>
              <w:rPr>
                <w:rStyle w:val="InstructionsTabelleText"/>
                <w:rFonts w:ascii="Times New Roman" w:hAnsi="Times New Roman"/>
                <w:sz w:val="24"/>
              </w:rPr>
              <w:t>Articles 327 à 329 et article 334 du CRR. En ce qui concerne la distinction entre les positions longues et courtes, voir l’article 328, paragraphe 2, du CRR.</w:t>
            </w:r>
          </w:p>
        </w:tc>
      </w:tr>
      <w:tr w:rsidR="000B0B09" w:rsidRPr="00392FFD" w:rsidTr="000B0B09">
        <w:tc>
          <w:tcPr>
            <w:tcW w:w="988" w:type="dxa"/>
          </w:tcPr>
          <w:p w:rsidR="000B0B09" w:rsidRPr="00392FFD" w:rsidRDefault="000B0B09" w:rsidP="000F70EC">
            <w:pPr>
              <w:autoSpaceDE w:val="0"/>
              <w:autoSpaceDN w:val="0"/>
              <w:adjustRightInd w:val="0"/>
              <w:spacing w:before="0" w:after="0"/>
              <w:rPr>
                <w:rFonts w:ascii="Times New Roman" w:hAnsi="Times New Roman"/>
                <w:sz w:val="24"/>
              </w:rPr>
            </w:pPr>
            <w:r>
              <w:rPr>
                <w:rFonts w:ascii="Times New Roman" w:hAnsi="Times New Roman"/>
                <w:sz w:val="24"/>
              </w:rPr>
              <w:t>070-520</w:t>
            </w:r>
          </w:p>
        </w:tc>
        <w:tc>
          <w:tcPr>
            <w:tcW w:w="787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RÉPARTITION DES POSITIONS NETTES SELON LES PONDÉR</w:t>
            </w:r>
            <w:r>
              <w:rPr>
                <w:rFonts w:ascii="Times New Roman" w:hAnsi="Times New Roman"/>
                <w:b/>
                <w:sz w:val="24"/>
                <w:u w:val="single"/>
              </w:rPr>
              <w:t>A</w:t>
            </w:r>
            <w:r>
              <w:rPr>
                <w:rFonts w:ascii="Times New Roman" w:hAnsi="Times New Roman"/>
                <w:b/>
                <w:sz w:val="24"/>
                <w:u w:val="single"/>
              </w:rPr>
              <w:t>TIONS</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Style w:val="InstructionsTabelleText"/>
                <w:rFonts w:ascii="Times New Roman" w:hAnsi="Times New Roman"/>
                <w:sz w:val="24"/>
              </w:rPr>
            </w:pPr>
            <w:r>
              <w:rPr>
                <w:rStyle w:val="InstructionsTabelleText"/>
                <w:rFonts w:ascii="Times New Roman" w:hAnsi="Times New Roman"/>
                <w:sz w:val="24"/>
              </w:rPr>
              <w:t>Article 251 (tableau 1) et article 261, paragraphe 1 (tableau 4), du CRR. La r</w:t>
            </w:r>
            <w:r>
              <w:rPr>
                <w:rStyle w:val="InstructionsTabelleText"/>
                <w:rFonts w:ascii="Times New Roman" w:hAnsi="Times New Roman"/>
                <w:sz w:val="24"/>
              </w:rPr>
              <w:t>é</w:t>
            </w:r>
            <w:r>
              <w:rPr>
                <w:rStyle w:val="InstructionsTabelleText"/>
                <w:rFonts w:ascii="Times New Roman" w:hAnsi="Times New Roman"/>
                <w:sz w:val="24"/>
              </w:rPr>
              <w:t>partition s’effectue séparément pour les positions longues et les positions courtes.</w:t>
            </w:r>
          </w:p>
        </w:tc>
      </w:tr>
      <w:tr w:rsidR="000B0B09" w:rsidRPr="00392FFD" w:rsidTr="000B0B09">
        <w:tc>
          <w:tcPr>
            <w:tcW w:w="98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230-240 et 460-470</w:t>
            </w:r>
          </w:p>
        </w:tc>
        <w:tc>
          <w:tcPr>
            <w:tcW w:w="787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1250 %</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Style w:val="InstructionsTabelleText"/>
                <w:rFonts w:ascii="Times New Roman" w:hAnsi="Times New Roman"/>
                <w:sz w:val="24"/>
              </w:rPr>
            </w:pPr>
            <w:r>
              <w:rPr>
                <w:rStyle w:val="InstructionsTabelleText"/>
                <w:rFonts w:ascii="Times New Roman" w:hAnsi="Times New Roman"/>
                <w:sz w:val="24"/>
              </w:rPr>
              <w:t>Article 251 (tableau 1) et article 261, paragraphe 1 (tableau 4), du CRR.</w:t>
            </w:r>
          </w:p>
        </w:tc>
      </w:tr>
      <w:tr w:rsidR="000B0B09" w:rsidRPr="00392FFD" w:rsidTr="000B0B09">
        <w:trPr>
          <w:trHeight w:val="1706"/>
        </w:trPr>
        <w:tc>
          <w:tcPr>
            <w:tcW w:w="988" w:type="dxa"/>
          </w:tcPr>
          <w:p w:rsidR="000B0B09" w:rsidRPr="00392FFD" w:rsidRDefault="000B0B09" w:rsidP="000B0B09">
            <w:pPr>
              <w:rPr>
                <w:rFonts w:ascii="Times New Roman" w:hAnsi="Times New Roman"/>
                <w:sz w:val="24"/>
              </w:rPr>
            </w:pPr>
            <w:r>
              <w:rPr>
                <w:rFonts w:ascii="Times New Roman" w:hAnsi="Times New Roman"/>
                <w:sz w:val="24"/>
              </w:rPr>
              <w:t>250-260 et 480-490</w:t>
            </w:r>
          </w:p>
          <w:p w:rsidR="000B0B09" w:rsidRPr="00392FFD" w:rsidRDefault="000B0B09" w:rsidP="000B0B09">
            <w:pPr>
              <w:autoSpaceDE w:val="0"/>
              <w:autoSpaceDN w:val="0"/>
              <w:adjustRightInd w:val="0"/>
              <w:spacing w:before="0" w:after="0"/>
              <w:rPr>
                <w:rFonts w:ascii="Times New Roman" w:hAnsi="Times New Roman"/>
                <w:sz w:val="24"/>
              </w:rPr>
            </w:pPr>
          </w:p>
        </w:tc>
        <w:tc>
          <w:tcPr>
            <w:tcW w:w="7874" w:type="dxa"/>
          </w:tcPr>
          <w:p w:rsidR="000B0B09" w:rsidRPr="00392FFD" w:rsidRDefault="000B0B09" w:rsidP="000B0B09">
            <w:pPr>
              <w:autoSpaceDE w:val="0"/>
              <w:autoSpaceDN w:val="0"/>
              <w:adjustRightInd w:val="0"/>
              <w:spacing w:before="0" w:after="0"/>
              <w:rPr>
                <w:rStyle w:val="InstructionsTabelleberschrift"/>
                <w:rFonts w:ascii="Times New Roman" w:hAnsi="Times New Roman"/>
                <w:sz w:val="24"/>
              </w:rPr>
            </w:pPr>
            <w:r>
              <w:rPr>
                <w:rStyle w:val="InstructionsTabelleberschrift"/>
                <w:rFonts w:ascii="Times New Roman" w:hAnsi="Times New Roman"/>
                <w:sz w:val="24"/>
              </w:rPr>
              <w:t>MÉTHODE DE LA FORMULE PRUDENTIELLE</w:t>
            </w:r>
          </w:p>
          <w:p w:rsidR="000B0B09" w:rsidRPr="00392FFD" w:rsidRDefault="000B0B09" w:rsidP="000B0B09">
            <w:pPr>
              <w:autoSpaceDE w:val="0"/>
              <w:autoSpaceDN w:val="0"/>
              <w:adjustRightInd w:val="0"/>
              <w:spacing w:before="0" w:after="0"/>
              <w:rPr>
                <w:rStyle w:val="InstructionsTabelleText"/>
                <w:rFonts w:ascii="Times New Roman" w:hAnsi="Times New Roman"/>
                <w:sz w:val="24"/>
              </w:rPr>
            </w:pPr>
            <w:r>
              <w:rPr>
                <w:rStyle w:val="InstructionsTabelleText"/>
                <w:rFonts w:ascii="Times New Roman" w:hAnsi="Times New Roman"/>
                <w:sz w:val="24"/>
              </w:rPr>
              <w:t xml:space="preserve">Article 337, paragraphe 2, du CRR, en liaison avec l’article 262 du CRR. </w:t>
            </w:r>
          </w:p>
          <w:p w:rsidR="000B0B09" w:rsidRPr="00392FFD" w:rsidRDefault="000B0B09" w:rsidP="000B0B09">
            <w:pPr>
              <w:autoSpaceDE w:val="0"/>
              <w:autoSpaceDN w:val="0"/>
              <w:adjustRightInd w:val="0"/>
              <w:spacing w:before="0" w:after="0"/>
              <w:rPr>
                <w:rStyle w:val="InstructionsTabelleText"/>
                <w:rFonts w:ascii="Times New Roman" w:hAnsi="Times New Roman"/>
                <w:sz w:val="24"/>
              </w:rPr>
            </w:pPr>
          </w:p>
          <w:p w:rsidR="000B0B09" w:rsidRPr="00392FFD" w:rsidRDefault="000B0B09" w:rsidP="000B0B09">
            <w:pPr>
              <w:autoSpaceDE w:val="0"/>
              <w:autoSpaceDN w:val="0"/>
              <w:adjustRightInd w:val="0"/>
              <w:spacing w:before="0" w:after="0"/>
              <w:rPr>
                <w:rStyle w:val="InstructionsTabelleText"/>
                <w:rFonts w:ascii="Times New Roman" w:hAnsi="Times New Roman"/>
                <w:sz w:val="24"/>
              </w:rPr>
            </w:pPr>
            <w:r>
              <w:rPr>
                <w:rStyle w:val="InstructionsTabelleText"/>
                <w:rFonts w:ascii="Times New Roman" w:hAnsi="Times New Roman"/>
                <w:sz w:val="24"/>
              </w:rPr>
              <w:t>Ces colonnes seront utilisées par les établissements qui recourent à la m</w:t>
            </w:r>
            <w:r>
              <w:rPr>
                <w:rStyle w:val="InstructionsTabelleText"/>
                <w:rFonts w:ascii="Times New Roman" w:hAnsi="Times New Roman"/>
                <w:sz w:val="24"/>
              </w:rPr>
              <w:t>é</w:t>
            </w:r>
            <w:r>
              <w:rPr>
                <w:rStyle w:val="InstructionsTabelleText"/>
                <w:rFonts w:ascii="Times New Roman" w:hAnsi="Times New Roman"/>
                <w:sz w:val="24"/>
              </w:rPr>
              <w:t>thode de la formule prudentielle (SFA), laquelle détermine les exigences de fonds propres en fonction des caractéristiques du panier de sûretés et des pr</w:t>
            </w:r>
            <w:r>
              <w:rPr>
                <w:rStyle w:val="InstructionsTabelleText"/>
                <w:rFonts w:ascii="Times New Roman" w:hAnsi="Times New Roman"/>
                <w:sz w:val="24"/>
              </w:rPr>
              <w:t>o</w:t>
            </w:r>
            <w:r>
              <w:rPr>
                <w:rStyle w:val="InstructionsTabelleText"/>
                <w:rFonts w:ascii="Times New Roman" w:hAnsi="Times New Roman"/>
                <w:sz w:val="24"/>
              </w:rPr>
              <w:t xml:space="preserve">priétés contractuelles de la tranche. </w:t>
            </w:r>
          </w:p>
          <w:p w:rsidR="000B0B09" w:rsidRPr="00392FFD" w:rsidRDefault="000B0B09" w:rsidP="000B0B09">
            <w:pPr>
              <w:autoSpaceDE w:val="0"/>
              <w:autoSpaceDN w:val="0"/>
              <w:adjustRightInd w:val="0"/>
              <w:spacing w:before="0" w:after="0"/>
              <w:rPr>
                <w:rFonts w:ascii="Times New Roman" w:hAnsi="Times New Roman"/>
                <w:bCs/>
                <w:sz w:val="24"/>
                <w:u w:val="single"/>
              </w:rPr>
            </w:pPr>
          </w:p>
        </w:tc>
      </w:tr>
      <w:tr w:rsidR="000B0B09" w:rsidRPr="00392FFD" w:rsidTr="000B0B09">
        <w:trPr>
          <w:trHeight w:val="2254"/>
        </w:trPr>
        <w:tc>
          <w:tcPr>
            <w:tcW w:w="98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270 et 500</w:t>
            </w:r>
          </w:p>
        </w:tc>
        <w:tc>
          <w:tcPr>
            <w:tcW w:w="787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APPROCHE PAR TRANSPARENCE</w:t>
            </w:r>
          </w:p>
          <w:p w:rsidR="000B0B09" w:rsidRPr="00392FFD" w:rsidRDefault="000B0B09" w:rsidP="000B0B09">
            <w:pPr>
              <w:autoSpaceDE w:val="0"/>
              <w:autoSpaceDN w:val="0"/>
              <w:adjustRightInd w:val="0"/>
              <w:spacing w:before="0" w:after="0"/>
              <w:rPr>
                <w:rStyle w:val="InstructionsTabelleText"/>
                <w:rFonts w:ascii="Times New Roman" w:hAnsi="Times New Roman"/>
                <w:sz w:val="24"/>
              </w:rPr>
            </w:pPr>
            <w:r>
              <w:rPr>
                <w:rStyle w:val="InstructionsTabelleText"/>
                <w:rFonts w:ascii="Times New Roman" w:hAnsi="Times New Roman"/>
                <w:sz w:val="24"/>
              </w:rPr>
              <w:t>Approche standard: Articles 253 et 254 et article 256, paragraphe 5, du CRR. Les colonnes consacrées à la méthode par transparence rassemblent tous les cas d’expositions non notées pour lesquelles la pondération de risque est o</w:t>
            </w:r>
            <w:r>
              <w:rPr>
                <w:rStyle w:val="InstructionsTabelleText"/>
                <w:rFonts w:ascii="Times New Roman" w:hAnsi="Times New Roman"/>
                <w:sz w:val="24"/>
              </w:rPr>
              <w:t>b</w:t>
            </w:r>
            <w:r>
              <w:rPr>
                <w:rStyle w:val="InstructionsTabelleText"/>
                <w:rFonts w:ascii="Times New Roman" w:hAnsi="Times New Roman"/>
                <w:sz w:val="24"/>
              </w:rPr>
              <w:t>tenue à partir du portefeuille d’expositions sous-jacent (pondération moyenne du p</w:t>
            </w:r>
            <w:r>
              <w:rPr>
                <w:rStyle w:val="InstructionsTabelleText"/>
                <w:rFonts w:ascii="Times New Roman" w:hAnsi="Times New Roman"/>
                <w:sz w:val="24"/>
              </w:rPr>
              <w:t>a</w:t>
            </w:r>
            <w:r>
              <w:rPr>
                <w:rStyle w:val="InstructionsTabelleText"/>
                <w:rFonts w:ascii="Times New Roman" w:hAnsi="Times New Roman"/>
                <w:sz w:val="24"/>
              </w:rPr>
              <w:t>nier, pondération maximale du panier, ou recours au ratio de concentr</w:t>
            </w:r>
            <w:r>
              <w:rPr>
                <w:rStyle w:val="InstructionsTabelleText"/>
                <w:rFonts w:ascii="Times New Roman" w:hAnsi="Times New Roman"/>
                <w:sz w:val="24"/>
              </w:rPr>
              <w:t>a</w:t>
            </w:r>
            <w:r>
              <w:rPr>
                <w:rStyle w:val="InstructionsTabelleText"/>
                <w:rFonts w:ascii="Times New Roman" w:hAnsi="Times New Roman"/>
                <w:sz w:val="24"/>
              </w:rPr>
              <w:t>tion).</w:t>
            </w:r>
          </w:p>
          <w:p w:rsidR="000B0B09" w:rsidRPr="00392FFD" w:rsidRDefault="000B0B09" w:rsidP="000B0B09">
            <w:pPr>
              <w:autoSpaceDE w:val="0"/>
              <w:autoSpaceDN w:val="0"/>
              <w:adjustRightInd w:val="0"/>
              <w:spacing w:before="0" w:after="0"/>
              <w:rPr>
                <w:rStyle w:val="InstructionsTabelleText"/>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b/>
                <w:bCs/>
                <w:sz w:val="24"/>
                <w:u w:val="single"/>
              </w:rPr>
            </w:pPr>
            <w:r>
              <w:rPr>
                <w:rStyle w:val="InstructionsTabelleText"/>
                <w:rFonts w:ascii="Times New Roman" w:hAnsi="Times New Roman"/>
                <w:sz w:val="24"/>
              </w:rPr>
              <w:t>Approche NI: Article 263, paragraphes 2 et 3, du CRR Pour les rembours</w:t>
            </w:r>
            <w:r>
              <w:rPr>
                <w:rStyle w:val="InstructionsTabelleText"/>
                <w:rFonts w:ascii="Times New Roman" w:hAnsi="Times New Roman"/>
                <w:sz w:val="24"/>
              </w:rPr>
              <w:t>e</w:t>
            </w:r>
            <w:r>
              <w:rPr>
                <w:rStyle w:val="InstructionsTabelleText"/>
                <w:rFonts w:ascii="Times New Roman" w:hAnsi="Times New Roman"/>
                <w:sz w:val="24"/>
              </w:rPr>
              <w:t>ments anticipés, voir l'article 265, paragraphe 1, et l'article 256, paragraphe 5, du CRR.</w:t>
            </w:r>
          </w:p>
        </w:tc>
      </w:tr>
      <w:tr w:rsidR="000B0B09" w:rsidRPr="00392FFD" w:rsidTr="000B0B09">
        <w:tc>
          <w:tcPr>
            <w:tcW w:w="98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280-290 / 510-520</w:t>
            </w:r>
          </w:p>
        </w:tc>
        <w:tc>
          <w:tcPr>
            <w:tcW w:w="787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APPROCHE PAR ÉVALUATION INTERNE</w:t>
            </w:r>
          </w:p>
          <w:p w:rsidR="000B0B09" w:rsidRPr="00392FFD" w:rsidRDefault="000B0B09" w:rsidP="000B0B09">
            <w:pPr>
              <w:autoSpaceDE w:val="0"/>
              <w:autoSpaceDN w:val="0"/>
              <w:adjustRightInd w:val="0"/>
              <w:jc w:val="left"/>
              <w:rPr>
                <w:rStyle w:val="InstructionsTabelleText"/>
                <w:rFonts w:ascii="Times New Roman" w:hAnsi="Times New Roman"/>
                <w:sz w:val="24"/>
              </w:rPr>
            </w:pPr>
            <w:r>
              <w:rPr>
                <w:rStyle w:val="InstructionsTabelleText"/>
                <w:rFonts w:ascii="Times New Roman" w:hAnsi="Times New Roman"/>
                <w:sz w:val="24"/>
              </w:rPr>
              <w:t>Article 109, paragraphe 1, deuxième phrase et article 259, paragraphes 3 et 4, du CRR.</w:t>
            </w:r>
          </w:p>
          <w:p w:rsidR="000B0B09" w:rsidRPr="00392FFD" w:rsidRDefault="000B0B09" w:rsidP="000B0B09">
            <w:pPr>
              <w:autoSpaceDE w:val="0"/>
              <w:autoSpaceDN w:val="0"/>
              <w:adjustRightInd w:val="0"/>
              <w:jc w:val="left"/>
              <w:rPr>
                <w:rFonts w:ascii="Times New Roman" w:hAnsi="Times New Roman"/>
                <w:bCs/>
                <w:sz w:val="24"/>
                <w:u w:val="single"/>
              </w:rPr>
            </w:pPr>
            <w:r>
              <w:rPr>
                <w:rStyle w:val="InstructionsTabelleText"/>
                <w:rFonts w:ascii="Times New Roman" w:hAnsi="Times New Roman"/>
                <w:sz w:val="24"/>
              </w:rPr>
              <w:t>Ces colonnes seront remplies lorsque l’établissement utilise l’approche par év</w:t>
            </w:r>
            <w:r>
              <w:rPr>
                <w:rStyle w:val="InstructionsTabelleText"/>
                <w:rFonts w:ascii="Times New Roman" w:hAnsi="Times New Roman"/>
                <w:sz w:val="24"/>
              </w:rPr>
              <w:t>a</w:t>
            </w:r>
            <w:r>
              <w:rPr>
                <w:rStyle w:val="InstructionsTabelleText"/>
                <w:rFonts w:ascii="Times New Roman" w:hAnsi="Times New Roman"/>
                <w:sz w:val="24"/>
              </w:rPr>
              <w:t>luation interne pour déterminer les exigences de fonds propres pour les f</w:t>
            </w:r>
            <w:r>
              <w:rPr>
                <w:rStyle w:val="InstructionsTabelleText"/>
                <w:rFonts w:ascii="Times New Roman" w:hAnsi="Times New Roman"/>
                <w:sz w:val="24"/>
              </w:rPr>
              <w:t>a</w:t>
            </w:r>
            <w:r>
              <w:rPr>
                <w:rStyle w:val="InstructionsTabelleText"/>
                <w:rFonts w:ascii="Times New Roman" w:hAnsi="Times New Roman"/>
                <w:sz w:val="24"/>
              </w:rPr>
              <w:t>cilités de trésorerie et les rehaussements de crédit que les banques (y compris les banques tierces) accordent aux conduits ABCP. Basée sur les méthodes de l’OEEC, l’approche par évaluation interne ne s’applique que pour les expos</w:t>
            </w:r>
            <w:r>
              <w:rPr>
                <w:rStyle w:val="InstructionsTabelleText"/>
                <w:rFonts w:ascii="Times New Roman" w:hAnsi="Times New Roman"/>
                <w:sz w:val="24"/>
              </w:rPr>
              <w:t>i</w:t>
            </w:r>
            <w:r>
              <w:rPr>
                <w:rStyle w:val="InstructionsTabelleText"/>
                <w:rFonts w:ascii="Times New Roman" w:hAnsi="Times New Roman"/>
                <w:sz w:val="24"/>
              </w:rPr>
              <w:t xml:space="preserve">tions aux conduits ABCP qui bénéficient d’une notation interne équivalente à </w:t>
            </w:r>
            <w:r>
              <w:rPr>
                <w:rStyle w:val="InstructionsTabelleText"/>
                <w:rFonts w:ascii="Times New Roman" w:hAnsi="Times New Roman"/>
                <w:sz w:val="24"/>
              </w:rPr>
              <w:lastRenderedPageBreak/>
              <w:t>«investment grade» (de premier ordre) à la date d’initiation.</w:t>
            </w:r>
          </w:p>
        </w:tc>
      </w:tr>
      <w:tr w:rsidR="000B0B09" w:rsidRPr="00392FFD" w:rsidTr="000B0B09">
        <w:tc>
          <w:tcPr>
            <w:tcW w:w="988" w:type="dxa"/>
          </w:tcPr>
          <w:p w:rsidR="000B0B09" w:rsidRPr="00392FFD" w:rsidRDefault="000B0B09" w:rsidP="000F70EC">
            <w:pPr>
              <w:autoSpaceDE w:val="0"/>
              <w:autoSpaceDN w:val="0"/>
              <w:adjustRightInd w:val="0"/>
              <w:spacing w:before="0" w:after="0"/>
              <w:rPr>
                <w:rFonts w:ascii="Times New Roman" w:hAnsi="Times New Roman"/>
                <w:sz w:val="24"/>
              </w:rPr>
            </w:pPr>
            <w:r>
              <w:rPr>
                <w:rFonts w:ascii="Times New Roman" w:hAnsi="Times New Roman"/>
                <w:sz w:val="24"/>
              </w:rPr>
              <w:lastRenderedPageBreak/>
              <w:t>530-540</w:t>
            </w:r>
          </w:p>
        </w:tc>
        <w:tc>
          <w:tcPr>
            <w:tcW w:w="787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EFFET GLOBAL (AJUSTEMENT) LIÉ AU MANQUEMENT AUX DI</w:t>
            </w:r>
            <w:r>
              <w:rPr>
                <w:rFonts w:ascii="Times New Roman" w:hAnsi="Times New Roman"/>
                <w:b/>
                <w:sz w:val="24"/>
                <w:u w:val="single"/>
              </w:rPr>
              <w:t>S</w:t>
            </w:r>
            <w:r>
              <w:rPr>
                <w:rFonts w:ascii="Times New Roman" w:hAnsi="Times New Roman"/>
                <w:b/>
                <w:sz w:val="24"/>
                <w:u w:val="single"/>
              </w:rPr>
              <w:t>POSITIONS EN MATIÈRE DE DILIGENCE APPROPRIÉE</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104A65">
            <w:pPr>
              <w:autoSpaceDE w:val="0"/>
              <w:autoSpaceDN w:val="0"/>
              <w:adjustRightInd w:val="0"/>
              <w:spacing w:before="0" w:after="0"/>
              <w:rPr>
                <w:rStyle w:val="InstructionsTabelleText"/>
                <w:rFonts w:ascii="Times New Roman" w:hAnsi="Times New Roman"/>
                <w:sz w:val="24"/>
              </w:rPr>
            </w:pPr>
            <w:r>
              <w:rPr>
                <w:rStyle w:val="InstructionsTabelleText"/>
                <w:rFonts w:ascii="Times New Roman" w:hAnsi="Times New Roman"/>
                <w:sz w:val="24"/>
              </w:rPr>
              <w:t>Article 337, paragraphe 3, du CRR, en liaison avec l’article 407 du CRR. A</w:t>
            </w:r>
            <w:r>
              <w:rPr>
                <w:rStyle w:val="InstructionsTabelleText"/>
                <w:rFonts w:ascii="Times New Roman" w:hAnsi="Times New Roman"/>
                <w:sz w:val="24"/>
              </w:rPr>
              <w:t>r</w:t>
            </w:r>
            <w:r>
              <w:rPr>
                <w:rStyle w:val="InstructionsTabelleText"/>
                <w:rFonts w:ascii="Times New Roman" w:hAnsi="Times New Roman"/>
                <w:sz w:val="24"/>
              </w:rPr>
              <w:t>ticle 14, paragraphe 2, du CRR</w:t>
            </w:r>
          </w:p>
        </w:tc>
      </w:tr>
      <w:tr w:rsidR="000B0B09" w:rsidRPr="00392FFD" w:rsidTr="000B0B09">
        <w:tc>
          <w:tcPr>
            <w:tcW w:w="988" w:type="dxa"/>
          </w:tcPr>
          <w:p w:rsidR="000B0B09" w:rsidRPr="00392FFD" w:rsidRDefault="000B0B09" w:rsidP="000F70EC">
            <w:pPr>
              <w:autoSpaceDE w:val="0"/>
              <w:autoSpaceDN w:val="0"/>
              <w:adjustRightInd w:val="0"/>
              <w:spacing w:before="0" w:after="0"/>
              <w:rPr>
                <w:rFonts w:ascii="Times New Roman" w:hAnsi="Times New Roman"/>
                <w:sz w:val="24"/>
              </w:rPr>
            </w:pPr>
            <w:r>
              <w:rPr>
                <w:rFonts w:ascii="Times New Roman" w:hAnsi="Times New Roman"/>
                <w:sz w:val="24"/>
              </w:rPr>
              <w:t>550-570</w:t>
            </w:r>
          </w:p>
        </w:tc>
        <w:tc>
          <w:tcPr>
            <w:tcW w:w="787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AVANT APPLICATION DU PLAFOND - POSITIONS LONGUES/COURTES NETTES PONDÉRÉES ET SOMME DES POS</w:t>
            </w:r>
            <w:r>
              <w:rPr>
                <w:rFonts w:ascii="Times New Roman" w:hAnsi="Times New Roman"/>
                <w:b/>
                <w:sz w:val="24"/>
                <w:u w:val="single"/>
              </w:rPr>
              <w:t>I</w:t>
            </w:r>
            <w:r>
              <w:rPr>
                <w:rFonts w:ascii="Times New Roman" w:hAnsi="Times New Roman"/>
                <w:b/>
                <w:sz w:val="24"/>
                <w:u w:val="single"/>
              </w:rPr>
              <w:t>TONS LONGUES ET COURTES NETTES PONDÉRÉES</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bCs/>
                <w:sz w:val="24"/>
              </w:rPr>
            </w:pPr>
            <w:r>
              <w:rPr>
                <w:rFonts w:ascii="Times New Roman" w:hAnsi="Times New Roman"/>
                <w:sz w:val="24"/>
              </w:rPr>
              <w:t>Article 337 du CRR, sans tenir compte de la marge d’appréciation de l’article 335 du CRR, permettant à un établissement de plafonner le produit de la po</w:t>
            </w:r>
            <w:r>
              <w:rPr>
                <w:rFonts w:ascii="Times New Roman" w:hAnsi="Times New Roman"/>
                <w:sz w:val="24"/>
              </w:rPr>
              <w:t>n</w:t>
            </w:r>
            <w:r>
              <w:rPr>
                <w:rFonts w:ascii="Times New Roman" w:hAnsi="Times New Roman"/>
                <w:sz w:val="24"/>
              </w:rPr>
              <w:t>dération et de la position nette à la perte maximale possible liée à un défaut.</w:t>
            </w:r>
          </w:p>
        </w:tc>
      </w:tr>
      <w:tr w:rsidR="000B0B09" w:rsidRPr="00392FFD" w:rsidTr="000B0B09">
        <w:tc>
          <w:tcPr>
            <w:tcW w:w="988" w:type="dxa"/>
          </w:tcPr>
          <w:p w:rsidR="000B0B09" w:rsidRPr="00392FFD" w:rsidRDefault="000B0B09" w:rsidP="000F70EC">
            <w:pPr>
              <w:autoSpaceDE w:val="0"/>
              <w:autoSpaceDN w:val="0"/>
              <w:adjustRightInd w:val="0"/>
              <w:spacing w:before="0" w:after="0"/>
              <w:rPr>
                <w:rFonts w:ascii="Times New Roman" w:hAnsi="Times New Roman"/>
                <w:sz w:val="24"/>
              </w:rPr>
            </w:pPr>
            <w:r>
              <w:rPr>
                <w:rFonts w:ascii="Times New Roman" w:hAnsi="Times New Roman"/>
                <w:sz w:val="24"/>
              </w:rPr>
              <w:t>580-600</w:t>
            </w:r>
          </w:p>
        </w:tc>
        <w:tc>
          <w:tcPr>
            <w:tcW w:w="787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APRÈS APPLICATION DU PLAFOND - POSITIONS LONGUES/COURTES NETTES PONDÉRÉES ET SOMME DES POS</w:t>
            </w:r>
            <w:r>
              <w:rPr>
                <w:rFonts w:ascii="Times New Roman" w:hAnsi="Times New Roman"/>
                <w:b/>
                <w:sz w:val="24"/>
                <w:u w:val="single"/>
              </w:rPr>
              <w:t>I</w:t>
            </w:r>
            <w:r>
              <w:rPr>
                <w:rFonts w:ascii="Times New Roman" w:hAnsi="Times New Roman"/>
                <w:b/>
                <w:sz w:val="24"/>
                <w:u w:val="single"/>
              </w:rPr>
              <w:t>TONS LONGUES ET COURTES NETTES PONDÉRÉES</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bCs/>
                <w:sz w:val="24"/>
              </w:rPr>
            </w:pPr>
            <w:r>
              <w:rPr>
                <w:rFonts w:ascii="Times New Roman" w:hAnsi="Times New Roman"/>
                <w:sz w:val="24"/>
              </w:rPr>
              <w:t>Article 337 du CRR, compte tenu de la marge d’appréciation de l’article 335 du CRR.</w:t>
            </w:r>
          </w:p>
        </w:tc>
      </w:tr>
      <w:tr w:rsidR="000B0B09" w:rsidRPr="00392FFD" w:rsidTr="000B0B09">
        <w:trPr>
          <w:trHeight w:val="416"/>
        </w:trPr>
        <w:tc>
          <w:tcPr>
            <w:tcW w:w="98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610</w:t>
            </w:r>
          </w:p>
        </w:tc>
        <w:tc>
          <w:tcPr>
            <w:tcW w:w="787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TOTAL DES EXIGENCES DE FONDS PROPRES</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bCs/>
                <w:sz w:val="24"/>
              </w:rPr>
            </w:pPr>
            <w:r>
              <w:rPr>
                <w:rFonts w:ascii="Times New Roman" w:hAnsi="Times New Roman"/>
                <w:sz w:val="24"/>
              </w:rPr>
              <w:t>Conformément à l'article 337, paragraphe 4, du CRR, pour une période trans</w:t>
            </w:r>
            <w:r>
              <w:rPr>
                <w:rFonts w:ascii="Times New Roman" w:hAnsi="Times New Roman"/>
                <w:sz w:val="24"/>
              </w:rPr>
              <w:t>i</w:t>
            </w:r>
            <w:r>
              <w:rPr>
                <w:rFonts w:ascii="Times New Roman" w:hAnsi="Times New Roman"/>
                <w:sz w:val="24"/>
              </w:rPr>
              <w:t>toire s'achevant le 31 décembre 2014, l'établissement additionne séparément ses positions longues nettes pondérées (colonne 580) et ses positions courtes nettes pondérées (colonne 590). Le plus important de ces montants (après pl</w:t>
            </w:r>
            <w:r>
              <w:rPr>
                <w:rFonts w:ascii="Times New Roman" w:hAnsi="Times New Roman"/>
                <w:sz w:val="24"/>
              </w:rPr>
              <w:t>a</w:t>
            </w:r>
            <w:r>
              <w:rPr>
                <w:rFonts w:ascii="Times New Roman" w:hAnsi="Times New Roman"/>
                <w:sz w:val="24"/>
              </w:rPr>
              <w:t>fonnement) constitue l’exigence de fonds propres. À partir de 2015, confo</w:t>
            </w:r>
            <w:r>
              <w:rPr>
                <w:rFonts w:ascii="Times New Roman" w:hAnsi="Times New Roman"/>
                <w:sz w:val="24"/>
              </w:rPr>
              <w:t>r</w:t>
            </w:r>
            <w:r>
              <w:rPr>
                <w:rFonts w:ascii="Times New Roman" w:hAnsi="Times New Roman"/>
                <w:sz w:val="24"/>
              </w:rPr>
              <w:t>mément à l'article 337, paragraphe 4, du CRR, l'établissement additionnera ses positions nettes pondérées, que celles-ci soient longues ou courtes (colonne 600), pour déterminer ses exigences de fonds propres.</w:t>
            </w:r>
          </w:p>
        </w:tc>
      </w:tr>
    </w:tbl>
    <w:p w:rsidR="000B0B09" w:rsidRPr="00392FFD" w:rsidRDefault="000B0B09" w:rsidP="000B0B09">
      <w:pPr>
        <w:autoSpaceDE w:val="0"/>
        <w:autoSpaceDN w:val="0"/>
        <w:adjustRightInd w:val="0"/>
        <w:spacing w:before="0" w:after="0"/>
        <w:rPr>
          <w:rFonts w:ascii="Times New Roman" w:hAnsi="Times New Roman"/>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
        <w:gridCol w:w="7894"/>
      </w:tblGrid>
      <w:tr w:rsidR="000B0B09" w:rsidRPr="00392FFD" w:rsidTr="000B0B09">
        <w:trPr>
          <w:trHeight w:val="537"/>
        </w:trPr>
        <w:tc>
          <w:tcPr>
            <w:tcW w:w="8862" w:type="dxa"/>
            <w:gridSpan w:val="2"/>
            <w:shd w:val="clear" w:color="auto" w:fill="BFBFBF"/>
          </w:tcPr>
          <w:p w:rsidR="000B0B09" w:rsidRPr="00392FFD" w:rsidRDefault="000B0B09" w:rsidP="000B0B09">
            <w:pPr>
              <w:autoSpaceDE w:val="0"/>
              <w:autoSpaceDN w:val="0"/>
              <w:adjustRightInd w:val="0"/>
              <w:spacing w:after="0"/>
              <w:rPr>
                <w:rFonts w:ascii="Times New Roman" w:hAnsi="Times New Roman"/>
                <w:b/>
                <w:sz w:val="24"/>
              </w:rPr>
            </w:pPr>
            <w:r>
              <w:rPr>
                <w:rFonts w:ascii="Times New Roman" w:hAnsi="Times New Roman"/>
                <w:b/>
                <w:sz w:val="24"/>
              </w:rPr>
              <w:t>Lignes</w:t>
            </w:r>
          </w:p>
        </w:tc>
      </w:tr>
      <w:tr w:rsidR="000B0B09" w:rsidRPr="00392FFD" w:rsidTr="000B0B09">
        <w:tc>
          <w:tcPr>
            <w:tcW w:w="96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010</w:t>
            </w:r>
          </w:p>
        </w:tc>
        <w:tc>
          <w:tcPr>
            <w:tcW w:w="7894" w:type="dxa"/>
          </w:tcPr>
          <w:p w:rsidR="000B0B09" w:rsidRPr="00392FFD" w:rsidRDefault="000B0B09" w:rsidP="000B0B09">
            <w:pPr>
              <w:rPr>
                <w:rFonts w:ascii="Times New Roman" w:hAnsi="Times New Roman"/>
                <w:sz w:val="24"/>
              </w:rPr>
            </w:pPr>
            <w:r>
              <w:rPr>
                <w:rStyle w:val="InstructionsTabelleberschrift"/>
                <w:rFonts w:ascii="Times New Roman" w:hAnsi="Times New Roman"/>
                <w:sz w:val="24"/>
              </w:rPr>
              <w:t>TOTAL DES EXPOSITIONS</w:t>
            </w: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Encours total des titrisations (détenues dans le portefeuille de négociation) d</w:t>
            </w:r>
            <w:r>
              <w:rPr>
                <w:rFonts w:ascii="Times New Roman" w:hAnsi="Times New Roman"/>
                <w:sz w:val="24"/>
              </w:rPr>
              <w:t>é</w:t>
            </w:r>
            <w:r>
              <w:rPr>
                <w:rFonts w:ascii="Times New Roman" w:hAnsi="Times New Roman"/>
                <w:sz w:val="24"/>
              </w:rPr>
              <w:t>claré par l’établissement qui joue le rôle d’initiateur et/ou d’investisseur et/ou de sponsor.</w:t>
            </w:r>
          </w:p>
          <w:p w:rsidR="000B0B09" w:rsidRPr="00392FFD" w:rsidRDefault="000B0B09" w:rsidP="000B0B09">
            <w:pPr>
              <w:autoSpaceDE w:val="0"/>
              <w:autoSpaceDN w:val="0"/>
              <w:adjustRightInd w:val="0"/>
              <w:spacing w:before="0" w:after="0"/>
              <w:rPr>
                <w:rFonts w:ascii="Times New Roman" w:hAnsi="Times New Roman"/>
                <w:sz w:val="24"/>
              </w:rPr>
            </w:pPr>
          </w:p>
        </w:tc>
      </w:tr>
      <w:tr w:rsidR="000B0B09" w:rsidRPr="00392FFD" w:rsidTr="000B0B09">
        <w:tc>
          <w:tcPr>
            <w:tcW w:w="96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040, 070 et</w:t>
            </w: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100</w:t>
            </w:r>
          </w:p>
        </w:tc>
        <w:tc>
          <w:tcPr>
            <w:tcW w:w="789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TITRISATIONS</w:t>
            </w:r>
          </w:p>
          <w:p w:rsidR="000B0B09" w:rsidRPr="00392FFD" w:rsidRDefault="000B0B09" w:rsidP="00BB73C8">
            <w:pPr>
              <w:autoSpaceDE w:val="0"/>
              <w:autoSpaceDN w:val="0"/>
              <w:adjustRightInd w:val="0"/>
              <w:spacing w:before="0" w:after="0"/>
              <w:rPr>
                <w:rFonts w:ascii="Times New Roman" w:hAnsi="Times New Roman"/>
                <w:bCs/>
                <w:sz w:val="24"/>
              </w:rPr>
            </w:pPr>
            <w:r>
              <w:rPr>
                <w:rFonts w:ascii="Times New Roman" w:hAnsi="Times New Roman"/>
                <w:sz w:val="24"/>
              </w:rPr>
              <w:t>Article 4, points 61 et 62, du CRR.</w:t>
            </w:r>
          </w:p>
        </w:tc>
      </w:tr>
      <w:tr w:rsidR="000B0B09" w:rsidRPr="00392FFD" w:rsidTr="000B0B09">
        <w:tc>
          <w:tcPr>
            <w:tcW w:w="96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020, 050,</w:t>
            </w: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080 et 110</w:t>
            </w:r>
          </w:p>
        </w:tc>
        <w:tc>
          <w:tcPr>
            <w:tcW w:w="789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RETITRISATIONS</w:t>
            </w:r>
          </w:p>
          <w:p w:rsidR="000B0B09" w:rsidRPr="00392FFD" w:rsidRDefault="000B0B09" w:rsidP="00E871FE">
            <w:pPr>
              <w:autoSpaceDE w:val="0"/>
              <w:autoSpaceDN w:val="0"/>
              <w:adjustRightInd w:val="0"/>
              <w:spacing w:before="0" w:after="0"/>
              <w:rPr>
                <w:rFonts w:ascii="Times New Roman" w:hAnsi="Times New Roman"/>
                <w:bCs/>
                <w:sz w:val="24"/>
              </w:rPr>
            </w:pPr>
            <w:r>
              <w:rPr>
                <w:rFonts w:ascii="Times New Roman" w:hAnsi="Times New Roman"/>
                <w:sz w:val="24"/>
              </w:rPr>
              <w:t>Article 4, point 63, du CRR.</w:t>
            </w:r>
          </w:p>
        </w:tc>
      </w:tr>
      <w:tr w:rsidR="000B0B09" w:rsidRPr="00392FFD" w:rsidTr="000B0B09">
        <w:tc>
          <w:tcPr>
            <w:tcW w:w="96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030-050</w:t>
            </w:r>
          </w:p>
        </w:tc>
        <w:tc>
          <w:tcPr>
            <w:tcW w:w="789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INITIATEUR</w:t>
            </w:r>
          </w:p>
          <w:p w:rsidR="000B0B09" w:rsidRPr="00392FFD" w:rsidRDefault="000B0B09" w:rsidP="00104A65">
            <w:pPr>
              <w:autoSpaceDE w:val="0"/>
              <w:autoSpaceDN w:val="0"/>
              <w:adjustRightInd w:val="0"/>
              <w:spacing w:before="0" w:after="0"/>
              <w:rPr>
                <w:rFonts w:ascii="Times New Roman" w:hAnsi="Times New Roman"/>
                <w:bCs/>
                <w:sz w:val="24"/>
              </w:rPr>
            </w:pPr>
            <w:r>
              <w:rPr>
                <w:rFonts w:ascii="Times New Roman" w:hAnsi="Times New Roman"/>
                <w:sz w:val="24"/>
              </w:rPr>
              <w:t>Article 4, point 13, du CRR</w:t>
            </w:r>
          </w:p>
        </w:tc>
      </w:tr>
      <w:tr w:rsidR="000B0B09" w:rsidRPr="00392FFD" w:rsidTr="000B0B09">
        <w:tc>
          <w:tcPr>
            <w:tcW w:w="96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060-080</w:t>
            </w:r>
          </w:p>
        </w:tc>
        <w:tc>
          <w:tcPr>
            <w:tcW w:w="789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INVESTISSEUR</w:t>
            </w:r>
          </w:p>
          <w:p w:rsidR="000B0B09" w:rsidRPr="00392FFD" w:rsidRDefault="000B0B09" w:rsidP="000B0B09">
            <w:pPr>
              <w:autoSpaceDE w:val="0"/>
              <w:autoSpaceDN w:val="0"/>
              <w:adjustRightInd w:val="0"/>
              <w:spacing w:before="0" w:after="0"/>
              <w:rPr>
                <w:rFonts w:ascii="Times New Roman" w:hAnsi="Times New Roman"/>
                <w:bCs/>
                <w:sz w:val="24"/>
              </w:rPr>
            </w:pPr>
            <w:r>
              <w:rPr>
                <w:rFonts w:ascii="Times New Roman" w:hAnsi="Times New Roman"/>
                <w:sz w:val="24"/>
              </w:rPr>
              <w:lastRenderedPageBreak/>
              <w:t>Établissement de crédit qui détient une position de titrisation dans le cadre d’une opération de titrisation pour laquelle il n’est ni initiateur ni sponsor.</w:t>
            </w:r>
          </w:p>
        </w:tc>
      </w:tr>
      <w:tr w:rsidR="000B0B09" w:rsidRPr="00392FFD" w:rsidTr="000B0B09">
        <w:tc>
          <w:tcPr>
            <w:tcW w:w="96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lastRenderedPageBreak/>
              <w:t>090-110</w:t>
            </w:r>
          </w:p>
        </w:tc>
        <w:tc>
          <w:tcPr>
            <w:tcW w:w="789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SPONSOR:</w:t>
            </w:r>
          </w:p>
          <w:p w:rsidR="000B0B09" w:rsidRPr="00392FFD" w:rsidRDefault="000B0B09" w:rsidP="00E871FE">
            <w:pPr>
              <w:autoSpaceDE w:val="0"/>
              <w:autoSpaceDN w:val="0"/>
              <w:adjustRightInd w:val="0"/>
              <w:spacing w:before="0" w:after="0"/>
              <w:rPr>
                <w:rStyle w:val="InstructionsTabelleText"/>
                <w:rFonts w:ascii="Times New Roman" w:hAnsi="Times New Roman"/>
                <w:sz w:val="24"/>
              </w:rPr>
            </w:pPr>
            <w:r>
              <w:rPr>
                <w:rStyle w:val="InstructionsTabelleText"/>
                <w:rFonts w:ascii="Times New Roman" w:hAnsi="Times New Roman"/>
                <w:sz w:val="24"/>
              </w:rPr>
              <w:t>Article 4, point 14, du CRR. Si un sponsor titrise également ses propres actifs, il devra indiquer, dans les lignes sur l’initiateur, les données relatives à ses propres actifs titrisés.</w:t>
            </w:r>
          </w:p>
        </w:tc>
      </w:tr>
      <w:tr w:rsidR="000B0B09" w:rsidRPr="00392FFD" w:rsidTr="000B0B09">
        <w:tc>
          <w:tcPr>
            <w:tcW w:w="96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120-210</w:t>
            </w:r>
          </w:p>
        </w:tc>
        <w:tc>
          <w:tcPr>
            <w:tcW w:w="789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RÉPARTITION DE LA SOMME TOTALE DES POSITIONS LONGUES NETTES ET COURTES NETTES PONDÉRÉES PAR TYPE D’ACTIFS SOUS-JACENTS:</w:t>
            </w:r>
          </w:p>
          <w:p w:rsidR="000B0B09" w:rsidRPr="00392FFD" w:rsidRDefault="000B0B09" w:rsidP="000B0B09">
            <w:pPr>
              <w:autoSpaceDE w:val="0"/>
              <w:autoSpaceDN w:val="0"/>
              <w:adjustRightInd w:val="0"/>
              <w:spacing w:before="0" w:after="0"/>
              <w:rPr>
                <w:rStyle w:val="InstructionsTabelleText"/>
                <w:rFonts w:ascii="Times New Roman" w:hAnsi="Times New Roman"/>
                <w:sz w:val="24"/>
              </w:rPr>
            </w:pPr>
            <w:r>
              <w:rPr>
                <w:rStyle w:val="InstructionsTabelleText"/>
                <w:rFonts w:ascii="Times New Roman" w:hAnsi="Times New Roman"/>
                <w:sz w:val="24"/>
              </w:rPr>
              <w:t>Article 337, paragraphe 4, dernière phrase du CRR.</w:t>
            </w:r>
          </w:p>
          <w:p w:rsidR="000B0B09" w:rsidRPr="00392FFD" w:rsidRDefault="000B0B09" w:rsidP="000B0B09">
            <w:pPr>
              <w:autoSpaceDE w:val="0"/>
              <w:autoSpaceDN w:val="0"/>
              <w:adjustRightInd w:val="0"/>
              <w:spacing w:before="0" w:after="0"/>
              <w:rPr>
                <w:rStyle w:val="InstructionsTabelleText"/>
                <w:rFonts w:ascii="Times New Roman" w:hAnsi="Times New Roman"/>
                <w:sz w:val="24"/>
              </w:rPr>
            </w:pPr>
          </w:p>
          <w:p w:rsidR="000B0B09" w:rsidRPr="00392FFD" w:rsidRDefault="000B0B09" w:rsidP="000B0B09">
            <w:pPr>
              <w:autoSpaceDE w:val="0"/>
              <w:autoSpaceDN w:val="0"/>
              <w:adjustRightInd w:val="0"/>
              <w:spacing w:before="0" w:after="0"/>
              <w:rPr>
                <w:rStyle w:val="InstructionsTabelleText"/>
                <w:rFonts w:ascii="Times New Roman" w:hAnsi="Times New Roman"/>
                <w:sz w:val="24"/>
              </w:rPr>
            </w:pPr>
            <w:r>
              <w:rPr>
                <w:rStyle w:val="InstructionsTabelleText"/>
                <w:rFonts w:ascii="Times New Roman" w:hAnsi="Times New Roman"/>
                <w:sz w:val="24"/>
              </w:rPr>
              <w:t>La ventilation des actifs sous-jacents respecte la classification utilisée dans le modèle SEC Details (colonne «Type»):</w:t>
            </w:r>
          </w:p>
          <w:p w:rsidR="000B0B09" w:rsidRPr="00125707" w:rsidRDefault="00125707" w:rsidP="0023700C">
            <w:pPr>
              <w:autoSpaceDE w:val="0"/>
              <w:autoSpaceDN w:val="0"/>
              <w:adjustRightInd w:val="0"/>
              <w:spacing w:before="0" w:after="0"/>
              <w:ind w:left="720" w:hanging="360"/>
              <w:contextualSpacing/>
              <w:rPr>
                <w:rStyle w:val="InstructionsTabelleText"/>
                <w:rFonts w:ascii="Symbol" w:hAnsi="Symbol"/>
                <w:b/>
                <w:bCs/>
                <w:sz w:val="24"/>
                <w:u w:val="single"/>
              </w:rPr>
            </w:pPr>
            <w:r>
              <w:tab/>
            </w:r>
            <w:r>
              <w:rPr>
                <w:rStyle w:val="InstructionsTabelleText"/>
                <w:rFonts w:ascii="Times New Roman" w:hAnsi="Times New Roman"/>
                <w:sz w:val="24"/>
              </w:rPr>
              <w:t xml:space="preserve">1-hypothèques sur un bien immobilier résidentiel; </w:t>
            </w:r>
          </w:p>
          <w:p w:rsidR="000B0B09" w:rsidRPr="00125707" w:rsidRDefault="00125707" w:rsidP="0023700C">
            <w:pPr>
              <w:autoSpaceDE w:val="0"/>
              <w:autoSpaceDN w:val="0"/>
              <w:adjustRightInd w:val="0"/>
              <w:spacing w:before="0" w:after="0"/>
              <w:ind w:left="720" w:hanging="360"/>
              <w:contextualSpacing/>
              <w:rPr>
                <w:rStyle w:val="InstructionsTabelleText"/>
                <w:rFonts w:ascii="Symbol" w:hAnsi="Symbol"/>
                <w:b/>
                <w:bCs/>
                <w:sz w:val="24"/>
                <w:u w:val="single"/>
              </w:rPr>
            </w:pPr>
            <w:r>
              <w:tab/>
            </w:r>
            <w:r>
              <w:rPr>
                <w:rStyle w:val="InstructionsTabelleText"/>
                <w:rFonts w:ascii="Times New Roman" w:hAnsi="Times New Roman"/>
                <w:sz w:val="24"/>
              </w:rPr>
              <w:t xml:space="preserve">2-hypothèques sur un bien immobilier commercial; </w:t>
            </w:r>
          </w:p>
          <w:p w:rsidR="000B0B09" w:rsidRPr="00125707" w:rsidRDefault="00125707" w:rsidP="0023700C">
            <w:pPr>
              <w:autoSpaceDE w:val="0"/>
              <w:autoSpaceDN w:val="0"/>
              <w:adjustRightInd w:val="0"/>
              <w:spacing w:before="0" w:after="0"/>
              <w:ind w:left="720" w:hanging="360"/>
              <w:contextualSpacing/>
              <w:rPr>
                <w:rStyle w:val="InstructionsTabelleText"/>
                <w:rFonts w:ascii="Symbol" w:hAnsi="Symbol"/>
                <w:b/>
                <w:bCs/>
                <w:sz w:val="24"/>
                <w:u w:val="single"/>
              </w:rPr>
            </w:pPr>
            <w:r>
              <w:tab/>
            </w:r>
            <w:r>
              <w:rPr>
                <w:rStyle w:val="InstructionsTabelleText"/>
                <w:rFonts w:ascii="Times New Roman" w:hAnsi="Times New Roman"/>
                <w:sz w:val="24"/>
              </w:rPr>
              <w:t xml:space="preserve">3-créances sur cartes de crédit; </w:t>
            </w:r>
          </w:p>
          <w:p w:rsidR="000B0B09" w:rsidRPr="00125707" w:rsidRDefault="00125707" w:rsidP="0023700C">
            <w:pPr>
              <w:autoSpaceDE w:val="0"/>
              <w:autoSpaceDN w:val="0"/>
              <w:adjustRightInd w:val="0"/>
              <w:spacing w:before="0" w:after="0"/>
              <w:ind w:left="720" w:hanging="360"/>
              <w:contextualSpacing/>
              <w:rPr>
                <w:rStyle w:val="InstructionsTabelleText"/>
                <w:rFonts w:ascii="Symbol" w:hAnsi="Symbol"/>
                <w:b/>
                <w:bCs/>
                <w:sz w:val="24"/>
                <w:u w:val="single"/>
              </w:rPr>
            </w:pPr>
            <w:r>
              <w:tab/>
            </w:r>
            <w:r>
              <w:rPr>
                <w:rStyle w:val="InstructionsTabelleText"/>
                <w:rFonts w:ascii="Times New Roman" w:hAnsi="Times New Roman"/>
                <w:sz w:val="24"/>
              </w:rPr>
              <w:t xml:space="preserve">4-locations ou crédits-bails; </w:t>
            </w:r>
          </w:p>
          <w:p w:rsidR="000B0B09" w:rsidRPr="00125707" w:rsidRDefault="00125707" w:rsidP="0023700C">
            <w:pPr>
              <w:autoSpaceDE w:val="0"/>
              <w:autoSpaceDN w:val="0"/>
              <w:adjustRightInd w:val="0"/>
              <w:spacing w:before="0" w:after="0"/>
              <w:ind w:left="720" w:hanging="360"/>
              <w:contextualSpacing/>
              <w:rPr>
                <w:rStyle w:val="InstructionsTabelleText"/>
                <w:rFonts w:ascii="Symbol" w:hAnsi="Symbol"/>
                <w:b/>
                <w:bCs/>
                <w:sz w:val="24"/>
                <w:u w:val="single"/>
              </w:rPr>
            </w:pPr>
            <w:r>
              <w:tab/>
            </w:r>
            <w:r>
              <w:rPr>
                <w:rStyle w:val="InstructionsTabelleText"/>
                <w:rFonts w:ascii="Times New Roman" w:hAnsi="Times New Roman"/>
                <w:sz w:val="24"/>
              </w:rPr>
              <w:t>5-prêts à des entreprises ou des PME (considérées comme des entr</w:t>
            </w:r>
            <w:r>
              <w:rPr>
                <w:rStyle w:val="InstructionsTabelleText"/>
                <w:rFonts w:ascii="Times New Roman" w:hAnsi="Times New Roman"/>
                <w:sz w:val="24"/>
              </w:rPr>
              <w:t>e</w:t>
            </w:r>
            <w:r>
              <w:rPr>
                <w:rStyle w:val="InstructionsTabelleText"/>
                <w:rFonts w:ascii="Times New Roman" w:hAnsi="Times New Roman"/>
                <w:sz w:val="24"/>
              </w:rPr>
              <w:t xml:space="preserve">prises); </w:t>
            </w:r>
          </w:p>
          <w:p w:rsidR="000B0B09" w:rsidRPr="00125707" w:rsidRDefault="00125707" w:rsidP="0023700C">
            <w:pPr>
              <w:autoSpaceDE w:val="0"/>
              <w:autoSpaceDN w:val="0"/>
              <w:adjustRightInd w:val="0"/>
              <w:spacing w:before="0" w:after="0"/>
              <w:ind w:left="720" w:hanging="360"/>
              <w:contextualSpacing/>
              <w:rPr>
                <w:rStyle w:val="InstructionsTabelleText"/>
                <w:rFonts w:ascii="Symbol" w:hAnsi="Symbol"/>
                <w:b/>
                <w:bCs/>
                <w:sz w:val="24"/>
                <w:u w:val="single"/>
              </w:rPr>
            </w:pPr>
            <w:r>
              <w:tab/>
            </w:r>
            <w:r>
              <w:rPr>
                <w:rStyle w:val="InstructionsTabelleText"/>
                <w:rFonts w:ascii="Times New Roman" w:hAnsi="Times New Roman"/>
                <w:sz w:val="24"/>
              </w:rPr>
              <w:t xml:space="preserve">6-prêts à la consommation; </w:t>
            </w:r>
          </w:p>
          <w:p w:rsidR="000B0B09" w:rsidRPr="00125707" w:rsidRDefault="00125707" w:rsidP="0023700C">
            <w:pPr>
              <w:autoSpaceDE w:val="0"/>
              <w:autoSpaceDN w:val="0"/>
              <w:adjustRightInd w:val="0"/>
              <w:spacing w:before="0" w:after="0"/>
              <w:ind w:left="720" w:hanging="360"/>
              <w:contextualSpacing/>
              <w:rPr>
                <w:rStyle w:val="InstructionsTabelleText"/>
                <w:rFonts w:ascii="Symbol" w:hAnsi="Symbol"/>
                <w:b/>
                <w:bCs/>
                <w:sz w:val="24"/>
                <w:u w:val="single"/>
              </w:rPr>
            </w:pPr>
            <w:r>
              <w:tab/>
            </w:r>
            <w:r>
              <w:rPr>
                <w:rStyle w:val="InstructionsTabelleText"/>
                <w:rFonts w:ascii="Times New Roman" w:hAnsi="Times New Roman"/>
                <w:sz w:val="24"/>
              </w:rPr>
              <w:t xml:space="preserve">7-créances commerciales; </w:t>
            </w:r>
          </w:p>
          <w:p w:rsidR="000B0B09" w:rsidRPr="00125707" w:rsidRDefault="00125707" w:rsidP="0023700C">
            <w:pPr>
              <w:autoSpaceDE w:val="0"/>
              <w:autoSpaceDN w:val="0"/>
              <w:adjustRightInd w:val="0"/>
              <w:spacing w:before="0" w:after="0"/>
              <w:ind w:left="720" w:hanging="360"/>
              <w:contextualSpacing/>
              <w:rPr>
                <w:rStyle w:val="InstructionsTabelleText"/>
                <w:rFonts w:ascii="Symbol" w:hAnsi="Symbol"/>
                <w:b/>
                <w:bCs/>
                <w:sz w:val="24"/>
                <w:u w:val="single"/>
              </w:rPr>
            </w:pPr>
            <w:r>
              <w:tab/>
            </w:r>
            <w:r>
              <w:rPr>
                <w:rStyle w:val="InstructionsTabelleText"/>
                <w:rFonts w:ascii="Times New Roman" w:hAnsi="Times New Roman"/>
                <w:sz w:val="24"/>
              </w:rPr>
              <w:t xml:space="preserve">8-autres actifs; </w:t>
            </w:r>
          </w:p>
          <w:p w:rsidR="000B0B09" w:rsidRPr="00125707" w:rsidRDefault="00125707" w:rsidP="0023700C">
            <w:pPr>
              <w:autoSpaceDE w:val="0"/>
              <w:autoSpaceDN w:val="0"/>
              <w:adjustRightInd w:val="0"/>
              <w:spacing w:before="0" w:after="0"/>
              <w:ind w:left="720" w:hanging="360"/>
              <w:contextualSpacing/>
              <w:rPr>
                <w:rStyle w:val="InstructionsTabelleText"/>
                <w:rFonts w:ascii="Symbol" w:hAnsi="Symbol"/>
                <w:b/>
                <w:bCs/>
                <w:sz w:val="24"/>
                <w:u w:val="single"/>
              </w:rPr>
            </w:pPr>
            <w:r>
              <w:tab/>
            </w:r>
            <w:r>
              <w:rPr>
                <w:rStyle w:val="InstructionsTabelleText"/>
                <w:rFonts w:ascii="Times New Roman" w:hAnsi="Times New Roman"/>
                <w:sz w:val="24"/>
              </w:rPr>
              <w:t xml:space="preserve">9-obligations garanties; </w:t>
            </w:r>
          </w:p>
          <w:p w:rsidR="000B0B09" w:rsidRPr="00125707" w:rsidRDefault="00125707" w:rsidP="0023700C">
            <w:pPr>
              <w:autoSpaceDE w:val="0"/>
              <w:autoSpaceDN w:val="0"/>
              <w:adjustRightInd w:val="0"/>
              <w:spacing w:before="0" w:after="0"/>
              <w:ind w:left="720" w:hanging="360"/>
              <w:contextualSpacing/>
              <w:rPr>
                <w:rStyle w:val="InstructionsTabelleText"/>
                <w:rFonts w:ascii="Symbol" w:hAnsi="Symbol"/>
                <w:b/>
                <w:bCs/>
                <w:sz w:val="24"/>
                <w:u w:val="single"/>
              </w:rPr>
            </w:pPr>
            <w:r>
              <w:tab/>
            </w:r>
            <w:r>
              <w:rPr>
                <w:rStyle w:val="InstructionsTabelleText"/>
                <w:rFonts w:ascii="Times New Roman" w:hAnsi="Times New Roman"/>
                <w:sz w:val="24"/>
              </w:rPr>
              <w:t xml:space="preserve">10-autres passifs. </w:t>
            </w:r>
          </w:p>
          <w:p w:rsidR="000B0B09" w:rsidRPr="00392FFD" w:rsidRDefault="000B0B09" w:rsidP="000B0B09">
            <w:pPr>
              <w:autoSpaceDE w:val="0"/>
              <w:autoSpaceDN w:val="0"/>
              <w:adjustRightInd w:val="0"/>
              <w:spacing w:before="0" w:after="0"/>
              <w:rPr>
                <w:rFonts w:ascii="Times New Roman" w:hAnsi="Times New Roman"/>
                <w:b/>
                <w:bCs/>
                <w:sz w:val="24"/>
                <w:u w:val="single"/>
              </w:rPr>
            </w:pPr>
            <w:r>
              <w:rPr>
                <w:rStyle w:val="InstructionsTabelleText"/>
                <w:rFonts w:ascii="Times New Roman" w:hAnsi="Times New Roman"/>
                <w:sz w:val="24"/>
              </w:rPr>
              <w:t>Pour chaque titrisation, lorsque le panier consiste en plusieurs types d’actifs, l’établissement tiendra compte du type le plus important.</w:t>
            </w:r>
          </w:p>
        </w:tc>
      </w:tr>
    </w:tbl>
    <w:p w:rsidR="000B0B09" w:rsidRPr="00392FFD" w:rsidRDefault="000B0B09" w:rsidP="000B0B09">
      <w:pPr>
        <w:autoSpaceDE w:val="0"/>
        <w:autoSpaceDN w:val="0"/>
        <w:adjustRightInd w:val="0"/>
        <w:spacing w:before="0" w:after="0"/>
        <w:rPr>
          <w:rFonts w:ascii="Times New Roman" w:hAnsi="Times New Roman"/>
          <w:sz w:val="24"/>
        </w:rPr>
      </w:pPr>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555" w:name="_Toc294172373"/>
      <w:bookmarkStart w:id="556" w:name="_Toc295830002"/>
      <w:bookmarkStart w:id="557" w:name="_Toc308426679"/>
      <w:bookmarkStart w:id="558" w:name="_Toc310415063"/>
      <w:bookmarkStart w:id="559" w:name="_Toc360188398"/>
      <w:bookmarkStart w:id="560" w:name="_Toc473561038"/>
      <w:bookmarkStart w:id="561" w:name="_Toc496022349"/>
      <w:r>
        <w:rPr>
          <w:rFonts w:ascii="Times New Roman" w:hAnsi="Times New Roman"/>
          <w:sz w:val="24"/>
          <w:u w:val="none"/>
        </w:rPr>
        <w:t>5.3.</w:t>
      </w:r>
      <w:r>
        <w:tab/>
      </w:r>
      <w:r>
        <w:rPr>
          <w:rFonts w:ascii="Times New Roman" w:hAnsi="Times New Roman"/>
          <w:sz w:val="24"/>
        </w:rPr>
        <w:t>C 20.00 - RISQUE DE MARCHÉ: APPROCHE STANDARD DU RISQUE SPÉC</w:t>
      </w:r>
      <w:r>
        <w:rPr>
          <w:rFonts w:ascii="Times New Roman" w:hAnsi="Times New Roman"/>
          <w:sz w:val="24"/>
        </w:rPr>
        <w:t>I</w:t>
      </w:r>
      <w:r>
        <w:rPr>
          <w:rFonts w:ascii="Times New Roman" w:hAnsi="Times New Roman"/>
          <w:sz w:val="24"/>
        </w:rPr>
        <w:t>FIQUE POUR LES POSITIONS DU PORTEFEUILLE DE NÉGOCIATION EN CO</w:t>
      </w:r>
      <w:r>
        <w:rPr>
          <w:rFonts w:ascii="Times New Roman" w:hAnsi="Times New Roman"/>
          <w:sz w:val="24"/>
        </w:rPr>
        <w:t>R</w:t>
      </w:r>
      <w:r>
        <w:rPr>
          <w:rFonts w:ascii="Times New Roman" w:hAnsi="Times New Roman"/>
          <w:sz w:val="24"/>
        </w:rPr>
        <w:t>RÉLATION (MKR SA CTP</w:t>
      </w:r>
      <w:bookmarkEnd w:id="555"/>
      <w:bookmarkEnd w:id="556"/>
      <w:bookmarkEnd w:id="557"/>
      <w:bookmarkEnd w:id="558"/>
      <w:r>
        <w:rPr>
          <w:rFonts w:ascii="Times New Roman" w:hAnsi="Times New Roman"/>
          <w:sz w:val="24"/>
        </w:rPr>
        <w:t>)</w:t>
      </w:r>
      <w:bookmarkEnd w:id="559"/>
      <w:bookmarkEnd w:id="560"/>
      <w:bookmarkEnd w:id="561"/>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562" w:name="_Toc294172374"/>
      <w:bookmarkStart w:id="563" w:name="_Toc295830003"/>
      <w:bookmarkStart w:id="564" w:name="_Toc308426680"/>
      <w:bookmarkStart w:id="565" w:name="_Toc310415064"/>
      <w:bookmarkStart w:id="566" w:name="_Toc360188399"/>
      <w:bookmarkStart w:id="567" w:name="_Toc473561039"/>
      <w:bookmarkStart w:id="568" w:name="_Toc496022350"/>
      <w:r>
        <w:rPr>
          <w:rFonts w:ascii="Times New Roman" w:hAnsi="Times New Roman"/>
          <w:sz w:val="24"/>
          <w:u w:val="none"/>
        </w:rPr>
        <w:t>5.3.1.</w:t>
      </w:r>
      <w:r>
        <w:tab/>
      </w:r>
      <w:r>
        <w:rPr>
          <w:rFonts w:ascii="Times New Roman" w:hAnsi="Times New Roman"/>
          <w:sz w:val="24"/>
        </w:rPr>
        <w:t>Remarques générales</w:t>
      </w:r>
      <w:bookmarkEnd w:id="562"/>
      <w:bookmarkEnd w:id="563"/>
      <w:bookmarkEnd w:id="564"/>
      <w:bookmarkEnd w:id="565"/>
      <w:bookmarkEnd w:id="566"/>
      <w:bookmarkEnd w:id="567"/>
      <w:bookmarkEnd w:id="568"/>
    </w:p>
    <w:p w:rsidR="000B0B09" w:rsidRPr="00321A3B" w:rsidRDefault="00125707" w:rsidP="0023700C">
      <w:pPr>
        <w:pStyle w:val="InstructionsText2"/>
        <w:numPr>
          <w:ilvl w:val="0"/>
          <w:numId w:val="0"/>
        </w:numPr>
        <w:ind w:left="1353" w:hanging="360"/>
      </w:pPr>
      <w:r>
        <w:t>144.</w:t>
      </w:r>
      <w:r>
        <w:tab/>
        <w:t>Ce modèle rassemble des informations sur les positions du portefeuille de n</w:t>
      </w:r>
      <w:r>
        <w:t>é</w:t>
      </w:r>
      <w:r>
        <w:t>gociation en corrélation (comprenant les titrisations, dérivés de crédit au nième défaut et autres positions du CTP incluses conformément à l’article 338, par</w:t>
      </w:r>
      <w:r>
        <w:t>a</w:t>
      </w:r>
      <w:r>
        <w:t>graphe 3) et les exigences de fonds propres correspondantes, selon l’approche standard.</w:t>
      </w:r>
    </w:p>
    <w:p w:rsidR="000B0B09" w:rsidRPr="00321A3B" w:rsidRDefault="00125707" w:rsidP="0023700C">
      <w:pPr>
        <w:pStyle w:val="InstructionsText2"/>
        <w:numPr>
          <w:ilvl w:val="0"/>
          <w:numId w:val="0"/>
        </w:numPr>
        <w:ind w:left="1353" w:hanging="360"/>
      </w:pPr>
      <w:r>
        <w:t>145.</w:t>
      </w:r>
      <w:r>
        <w:tab/>
        <w:t>Le modèle MKR SA CTP détermine l’exigence de fonds propres pour le seul risque spécifique des positions affectées au portefeuille de négociation en corr</w:t>
      </w:r>
      <w:r>
        <w:t>é</w:t>
      </w:r>
      <w:r>
        <w:t>lation (CTP), conformément à l’article 335 en relation avec l’article 338, par</w:t>
      </w:r>
      <w:r>
        <w:t>a</w:t>
      </w:r>
      <w:r>
        <w:t>graphes 2 et 3, du CRR. Lorsque les positions CTP du portefeuille de négoci</w:t>
      </w:r>
      <w:r>
        <w:t>a</w:t>
      </w:r>
      <w:r>
        <w:t>tion sont couvertes par des dérivés de crédit, les articles 346 et 347 du CRR s’appliquent. Il n’existe qu’un modèle pour toutes les positions CTP du port</w:t>
      </w:r>
      <w:r>
        <w:t>e</w:t>
      </w:r>
      <w:r>
        <w:t xml:space="preserve">feuille de négociation, que l’établissement utilise l’approche standard ou l’approche NI pour calculer la pondération de risque de chacune des positions, conformément à la troisième partie, titre II, chapitre 5 du CRR. La déclaration </w:t>
      </w:r>
      <w:r>
        <w:lastRenderedPageBreak/>
        <w:t>des exigences de fonds propres pour le risque général de ces positions est effe</w:t>
      </w:r>
      <w:r>
        <w:t>c</w:t>
      </w:r>
      <w:r>
        <w:t>tuée dans les modèles MKR SA TDI ou MKR IM.</w:t>
      </w:r>
    </w:p>
    <w:p w:rsidR="000B0B09" w:rsidRPr="00321A3B" w:rsidRDefault="00125707" w:rsidP="0023700C">
      <w:pPr>
        <w:pStyle w:val="InstructionsText2"/>
        <w:numPr>
          <w:ilvl w:val="0"/>
          <w:numId w:val="0"/>
        </w:numPr>
        <w:ind w:left="1353" w:hanging="360"/>
      </w:pPr>
      <w:r>
        <w:t>146.</w:t>
      </w:r>
      <w:r>
        <w:tab/>
        <w:t>Cette structure du modèle distingue les positions de titrisation, les dérivés de crédit au nième défaut et les autres positions CTP. Dès lors, les positions de t</w:t>
      </w:r>
      <w:r>
        <w:t>i</w:t>
      </w:r>
      <w:r>
        <w:t>trisation seront toujours déclarées aux lignes 030, 060 ou 090 (selon le rôle de l’établissement dans la titrisation). Les dérivés de crédit au nième défaut seront toujours déclarés à la ligne 110. Les «autres positions du portefeuille de nég</w:t>
      </w:r>
      <w:r>
        <w:t>o</w:t>
      </w:r>
      <w:r>
        <w:t>ciation en corrélation» ne sont ni des positions de titrisation ni des dérivés de crédit au nième défaut (pour la définition, voir l'article 338, paragraphe 3, du CRR), mais elles sont explicitement «liées» (en raison de l'objectif de couve</w:t>
      </w:r>
      <w:r>
        <w:t>r</w:t>
      </w:r>
      <w:r>
        <w:t>ture) à une de ces deux positions. C’est la raison pour laquelle elles sont affe</w:t>
      </w:r>
      <w:r>
        <w:t>c</w:t>
      </w:r>
      <w:r>
        <w:t>tées à l’une ou l’autre des deux sous-rubriques «titrisation» et «dérivés de crédit au nième défaut».</w:t>
      </w:r>
    </w:p>
    <w:p w:rsidR="00606885" w:rsidRPr="00321A3B" w:rsidRDefault="00125707" w:rsidP="0023700C">
      <w:pPr>
        <w:pStyle w:val="InstructionsText2"/>
        <w:numPr>
          <w:ilvl w:val="0"/>
          <w:numId w:val="0"/>
        </w:numPr>
        <w:ind w:left="1353" w:hanging="360"/>
      </w:pPr>
      <w:r>
        <w:t>147.</w:t>
      </w:r>
      <w:r>
        <w:tab/>
        <w:t>Les positions qui reçoivent une pondération de risque de 1 250 % peuvent aussi être déduites des fonds propres de base de catégorie 1 (CET1) (voir l’article 243, paragraphe 1, point b), l’article 244, paragraphe 1, point b), et l’article 258 du CRR). Le cas échéant, ces positions doivent être déclarées dans la ligne 460 du modèle CA1.</w:t>
      </w:r>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569" w:name="_Toc294172375"/>
      <w:bookmarkStart w:id="570" w:name="_Toc295830004"/>
      <w:bookmarkStart w:id="571" w:name="_Toc308426681"/>
      <w:bookmarkStart w:id="572" w:name="_Toc310415065"/>
      <w:bookmarkStart w:id="573" w:name="_Toc360188400"/>
      <w:bookmarkStart w:id="574" w:name="_Toc473561040"/>
      <w:bookmarkStart w:id="575" w:name="_Toc496022351"/>
      <w:r>
        <w:rPr>
          <w:rFonts w:ascii="Times New Roman" w:hAnsi="Times New Roman"/>
          <w:sz w:val="24"/>
          <w:u w:val="none"/>
        </w:rPr>
        <w:t>5.3.2.</w:t>
      </w:r>
      <w:r>
        <w:tab/>
      </w:r>
      <w:r>
        <w:rPr>
          <w:rFonts w:ascii="Times New Roman" w:hAnsi="Times New Roman"/>
          <w:sz w:val="24"/>
        </w:rPr>
        <w:t>Instructions concernant certaines positions</w:t>
      </w:r>
      <w:bookmarkEnd w:id="569"/>
      <w:bookmarkEnd w:id="570"/>
      <w:bookmarkEnd w:id="571"/>
      <w:bookmarkEnd w:id="572"/>
      <w:bookmarkEnd w:id="573"/>
      <w:bookmarkEnd w:id="574"/>
      <w:bookmarkEnd w:id="5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8"/>
        <w:gridCol w:w="7874"/>
      </w:tblGrid>
      <w:tr w:rsidR="000B0B09" w:rsidRPr="00392FFD" w:rsidTr="000B0B09">
        <w:trPr>
          <w:trHeight w:val="602"/>
        </w:trPr>
        <w:tc>
          <w:tcPr>
            <w:tcW w:w="8862" w:type="dxa"/>
            <w:gridSpan w:val="2"/>
            <w:shd w:val="clear" w:color="auto" w:fill="CCCCCC"/>
          </w:tcPr>
          <w:p w:rsidR="000B0B09" w:rsidRPr="00392FFD" w:rsidRDefault="000B0B09" w:rsidP="000B0B09">
            <w:pPr>
              <w:autoSpaceDE w:val="0"/>
              <w:autoSpaceDN w:val="0"/>
              <w:adjustRightInd w:val="0"/>
              <w:spacing w:after="0"/>
              <w:rPr>
                <w:rFonts w:ascii="Times New Roman" w:hAnsi="Times New Roman"/>
                <w:b/>
                <w:sz w:val="24"/>
              </w:rPr>
            </w:pPr>
            <w:r>
              <w:rPr>
                <w:rFonts w:ascii="Times New Roman" w:hAnsi="Times New Roman"/>
                <w:b/>
                <w:sz w:val="24"/>
              </w:rPr>
              <w:t>Colonnes</w:t>
            </w:r>
          </w:p>
        </w:tc>
      </w:tr>
      <w:tr w:rsidR="000B0B09" w:rsidRPr="00392FFD" w:rsidTr="000B0B09">
        <w:tc>
          <w:tcPr>
            <w:tcW w:w="988" w:type="dxa"/>
          </w:tcPr>
          <w:p w:rsidR="000B0B09" w:rsidRPr="00392FFD" w:rsidRDefault="000B0B09" w:rsidP="000F70EC">
            <w:pPr>
              <w:autoSpaceDE w:val="0"/>
              <w:autoSpaceDN w:val="0"/>
              <w:adjustRightInd w:val="0"/>
              <w:spacing w:before="0" w:after="0"/>
              <w:rPr>
                <w:rFonts w:ascii="Times New Roman" w:hAnsi="Times New Roman"/>
                <w:sz w:val="24"/>
              </w:rPr>
            </w:pPr>
            <w:r>
              <w:rPr>
                <w:rFonts w:ascii="Times New Roman" w:hAnsi="Times New Roman"/>
                <w:sz w:val="24"/>
              </w:rPr>
              <w:t>010-020</w:t>
            </w:r>
          </w:p>
        </w:tc>
        <w:tc>
          <w:tcPr>
            <w:tcW w:w="787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TOUTES LES POSITIONS (LONGUES ET COURTES)</w:t>
            </w:r>
          </w:p>
          <w:p w:rsidR="000B0B09" w:rsidRPr="00392FFD" w:rsidRDefault="000B0B09" w:rsidP="000B0B09">
            <w:pPr>
              <w:rPr>
                <w:rFonts w:ascii="Times New Roman" w:hAnsi="Times New Roman"/>
                <w:sz w:val="24"/>
              </w:rPr>
            </w:pPr>
            <w:r>
              <w:rPr>
                <w:rFonts w:ascii="Times New Roman" w:hAnsi="Times New Roman"/>
                <w:sz w:val="24"/>
              </w:rPr>
              <w:t>Article 102 et article 105, paragraphe 1, du CRR, en relation avec les pos</w:t>
            </w:r>
            <w:r>
              <w:rPr>
                <w:rFonts w:ascii="Times New Roman" w:hAnsi="Times New Roman"/>
                <w:sz w:val="24"/>
              </w:rPr>
              <w:t>i</w:t>
            </w:r>
            <w:r>
              <w:rPr>
                <w:rFonts w:ascii="Times New Roman" w:hAnsi="Times New Roman"/>
                <w:sz w:val="24"/>
              </w:rPr>
              <w:t>tions affectées au portefeuille de négociation en corrélation, conformément à l’article 338, paragraphes 2 et 3, du CRR. En ce qui concerne la distinction entre les p</w:t>
            </w:r>
            <w:r>
              <w:rPr>
                <w:rFonts w:ascii="Times New Roman" w:hAnsi="Times New Roman"/>
                <w:sz w:val="24"/>
              </w:rPr>
              <w:t>o</w:t>
            </w:r>
            <w:r>
              <w:rPr>
                <w:rFonts w:ascii="Times New Roman" w:hAnsi="Times New Roman"/>
                <w:sz w:val="24"/>
              </w:rPr>
              <w:t>sitions longues et courtes, également applicable à ces positions brutes, voir l’article 328, paragraphe 2, du CRR.</w:t>
            </w:r>
          </w:p>
          <w:p w:rsidR="000B0B09" w:rsidRPr="00392FFD" w:rsidRDefault="000B0B09" w:rsidP="000B0B09">
            <w:pPr>
              <w:autoSpaceDE w:val="0"/>
              <w:autoSpaceDN w:val="0"/>
              <w:adjustRightInd w:val="0"/>
              <w:spacing w:before="0" w:after="0"/>
              <w:rPr>
                <w:rFonts w:ascii="Times New Roman" w:hAnsi="Times New Roman"/>
                <w:sz w:val="24"/>
              </w:rPr>
            </w:pPr>
          </w:p>
        </w:tc>
      </w:tr>
      <w:tr w:rsidR="000B0B09" w:rsidRPr="00392FFD" w:rsidTr="000B0B09">
        <w:tc>
          <w:tcPr>
            <w:tcW w:w="988" w:type="dxa"/>
          </w:tcPr>
          <w:p w:rsidR="000B0B09" w:rsidRPr="00392FFD" w:rsidRDefault="000B0B09" w:rsidP="000F70EC">
            <w:pPr>
              <w:autoSpaceDE w:val="0"/>
              <w:autoSpaceDN w:val="0"/>
              <w:adjustRightInd w:val="0"/>
              <w:spacing w:before="0" w:after="0"/>
              <w:rPr>
                <w:rFonts w:ascii="Times New Roman" w:hAnsi="Times New Roman"/>
                <w:sz w:val="24"/>
              </w:rPr>
            </w:pPr>
            <w:r>
              <w:rPr>
                <w:rFonts w:ascii="Times New Roman" w:hAnsi="Times New Roman"/>
                <w:sz w:val="24"/>
              </w:rPr>
              <w:t>030-040</w:t>
            </w:r>
          </w:p>
        </w:tc>
        <w:tc>
          <w:tcPr>
            <w:tcW w:w="787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 POSITIONS DÉDUITES DES FONDS PROPRES (POSITIONS LONGUES ET COURTES)</w:t>
            </w:r>
          </w:p>
          <w:p w:rsidR="000B0B09" w:rsidRPr="00392FFD" w:rsidRDefault="000B0B09" w:rsidP="000B0B09">
            <w:pPr>
              <w:rPr>
                <w:rFonts w:ascii="Times New Roman" w:hAnsi="Times New Roman"/>
                <w:sz w:val="24"/>
              </w:rPr>
            </w:pPr>
            <w:r>
              <w:rPr>
                <w:rFonts w:ascii="Times New Roman" w:hAnsi="Times New Roman"/>
                <w:sz w:val="24"/>
              </w:rPr>
              <w:t xml:space="preserve">Article 258 du CRR. </w:t>
            </w:r>
          </w:p>
        </w:tc>
      </w:tr>
      <w:tr w:rsidR="000B0B09" w:rsidRPr="00392FFD" w:rsidTr="000B0B09">
        <w:tc>
          <w:tcPr>
            <w:tcW w:w="988" w:type="dxa"/>
          </w:tcPr>
          <w:p w:rsidR="000B0B09" w:rsidRPr="00392FFD" w:rsidRDefault="000B0B09" w:rsidP="000F70EC">
            <w:pPr>
              <w:autoSpaceDE w:val="0"/>
              <w:autoSpaceDN w:val="0"/>
              <w:adjustRightInd w:val="0"/>
              <w:spacing w:before="0" w:after="0"/>
              <w:rPr>
                <w:rFonts w:ascii="Times New Roman" w:hAnsi="Times New Roman"/>
                <w:sz w:val="24"/>
              </w:rPr>
            </w:pPr>
            <w:r>
              <w:rPr>
                <w:rFonts w:ascii="Times New Roman" w:hAnsi="Times New Roman"/>
                <w:sz w:val="24"/>
              </w:rPr>
              <w:t>050-060</w:t>
            </w:r>
          </w:p>
        </w:tc>
        <w:tc>
          <w:tcPr>
            <w:tcW w:w="787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POSITIONS NETTES (LONGUES ET COURTES)</w:t>
            </w:r>
          </w:p>
          <w:p w:rsidR="000B0B09" w:rsidRPr="00392FFD" w:rsidRDefault="000B0B09" w:rsidP="000B0B09">
            <w:pPr>
              <w:rPr>
                <w:rFonts w:ascii="Times New Roman" w:hAnsi="Times New Roman"/>
                <w:sz w:val="24"/>
              </w:rPr>
            </w:pPr>
            <w:r>
              <w:rPr>
                <w:rFonts w:ascii="Times New Roman" w:hAnsi="Times New Roman"/>
                <w:sz w:val="24"/>
              </w:rPr>
              <w:t>Articles 327 à 329 et article 334 du CRR. En ce qui concerne la distinction entre les positions longues et courtes, voir l’article 328, paragraphe 2, du CRR.</w:t>
            </w:r>
          </w:p>
          <w:p w:rsidR="000B0B09" w:rsidRPr="00392FFD" w:rsidRDefault="000B0B09" w:rsidP="000B0B09">
            <w:pPr>
              <w:rPr>
                <w:rFonts w:ascii="Times New Roman" w:hAnsi="Times New Roman"/>
                <w:sz w:val="24"/>
              </w:rPr>
            </w:pPr>
          </w:p>
        </w:tc>
      </w:tr>
      <w:tr w:rsidR="000B0B09" w:rsidRPr="00392FFD" w:rsidTr="000B0B09">
        <w:tc>
          <w:tcPr>
            <w:tcW w:w="988" w:type="dxa"/>
          </w:tcPr>
          <w:p w:rsidR="000B0B09" w:rsidRPr="00392FFD" w:rsidRDefault="000B0B09" w:rsidP="000F70EC">
            <w:pPr>
              <w:autoSpaceDE w:val="0"/>
              <w:autoSpaceDN w:val="0"/>
              <w:adjustRightInd w:val="0"/>
              <w:spacing w:before="0" w:after="0"/>
              <w:rPr>
                <w:rFonts w:ascii="Times New Roman" w:hAnsi="Times New Roman"/>
                <w:sz w:val="24"/>
              </w:rPr>
            </w:pPr>
            <w:r>
              <w:rPr>
                <w:rFonts w:ascii="Times New Roman" w:hAnsi="Times New Roman"/>
                <w:sz w:val="24"/>
              </w:rPr>
              <w:t>070-400</w:t>
            </w:r>
          </w:p>
        </w:tc>
        <w:tc>
          <w:tcPr>
            <w:tcW w:w="787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RÉPARTITION DES POSITIONS NETTES SELON LES PONDÉR</w:t>
            </w:r>
            <w:r>
              <w:rPr>
                <w:rStyle w:val="InstructionsTabelleberschrift"/>
                <w:rFonts w:ascii="Times New Roman" w:hAnsi="Times New Roman"/>
                <w:sz w:val="24"/>
              </w:rPr>
              <w:t>A</w:t>
            </w:r>
            <w:r>
              <w:rPr>
                <w:rStyle w:val="InstructionsTabelleberschrift"/>
                <w:rFonts w:ascii="Times New Roman" w:hAnsi="Times New Roman"/>
                <w:sz w:val="24"/>
              </w:rPr>
              <w:t>TIONS DES APPROCHES SA ET NI</w:t>
            </w:r>
          </w:p>
          <w:p w:rsidR="000B0B09" w:rsidRPr="00392FFD" w:rsidRDefault="000B0B09" w:rsidP="000B0B09">
            <w:pPr>
              <w:rPr>
                <w:rFonts w:ascii="Times New Roman" w:hAnsi="Times New Roman"/>
                <w:sz w:val="24"/>
              </w:rPr>
            </w:pPr>
            <w:r>
              <w:rPr>
                <w:rFonts w:ascii="Times New Roman" w:hAnsi="Times New Roman"/>
                <w:sz w:val="24"/>
              </w:rPr>
              <w:t xml:space="preserve">Article 251 (tableau 1) et article 261, paragraphe 1 (tableau 4), du CRR. </w:t>
            </w:r>
          </w:p>
        </w:tc>
      </w:tr>
      <w:tr w:rsidR="000B0B09" w:rsidRPr="00392FFD" w:rsidTr="000B0B09">
        <w:tc>
          <w:tcPr>
            <w:tcW w:w="988" w:type="dxa"/>
          </w:tcPr>
          <w:p w:rsidR="000B0B09" w:rsidRPr="00392FFD" w:rsidRDefault="000B0B09" w:rsidP="000B0B09">
            <w:pPr>
              <w:rPr>
                <w:rFonts w:ascii="Times New Roman" w:hAnsi="Times New Roman"/>
                <w:sz w:val="24"/>
              </w:rPr>
            </w:pPr>
            <w:r>
              <w:rPr>
                <w:rFonts w:ascii="Times New Roman" w:hAnsi="Times New Roman"/>
                <w:sz w:val="24"/>
              </w:rPr>
              <w:t>160 et 330</w:t>
            </w:r>
          </w:p>
          <w:p w:rsidR="000B0B09" w:rsidRPr="00392FFD" w:rsidRDefault="000B0B09" w:rsidP="000B0B09">
            <w:pPr>
              <w:autoSpaceDE w:val="0"/>
              <w:autoSpaceDN w:val="0"/>
              <w:adjustRightInd w:val="0"/>
              <w:spacing w:before="0" w:after="0"/>
              <w:rPr>
                <w:rFonts w:ascii="Times New Roman" w:hAnsi="Times New Roman"/>
                <w:sz w:val="24"/>
              </w:rPr>
            </w:pPr>
          </w:p>
        </w:tc>
        <w:tc>
          <w:tcPr>
            <w:tcW w:w="787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lastRenderedPageBreak/>
              <w:t>AUTRES</w:t>
            </w:r>
          </w:p>
          <w:p w:rsidR="000B0B09" w:rsidRPr="00392FFD" w:rsidRDefault="000B0B09" w:rsidP="000B0B09">
            <w:pPr>
              <w:rPr>
                <w:rFonts w:ascii="Times New Roman" w:hAnsi="Times New Roman"/>
                <w:sz w:val="24"/>
              </w:rPr>
            </w:pPr>
            <w:r>
              <w:rPr>
                <w:rFonts w:ascii="Times New Roman" w:hAnsi="Times New Roman"/>
                <w:sz w:val="24"/>
              </w:rPr>
              <w:t>Autres pondérations de risque non explicitement mentionnées dans les c</w:t>
            </w:r>
            <w:r>
              <w:rPr>
                <w:rFonts w:ascii="Times New Roman" w:hAnsi="Times New Roman"/>
                <w:sz w:val="24"/>
              </w:rPr>
              <w:t>o</w:t>
            </w:r>
            <w:r>
              <w:rPr>
                <w:rFonts w:ascii="Times New Roman" w:hAnsi="Times New Roman"/>
                <w:sz w:val="24"/>
              </w:rPr>
              <w:lastRenderedPageBreak/>
              <w:t>lonnes précédentes.</w:t>
            </w:r>
          </w:p>
          <w:p w:rsidR="000B0B09" w:rsidRPr="00392FFD" w:rsidRDefault="000B0B09" w:rsidP="000B0B09">
            <w:pPr>
              <w:rPr>
                <w:rFonts w:ascii="Times New Roman" w:hAnsi="Times New Roman"/>
                <w:sz w:val="24"/>
              </w:rPr>
            </w:pPr>
            <w:r>
              <w:rPr>
                <w:rFonts w:ascii="Times New Roman" w:hAnsi="Times New Roman"/>
                <w:sz w:val="24"/>
              </w:rPr>
              <w:t>Pour les dérivés de crédit au nième défaut, uniquement ceux qui ne bénéf</w:t>
            </w:r>
            <w:r>
              <w:rPr>
                <w:rFonts w:ascii="Times New Roman" w:hAnsi="Times New Roman"/>
                <w:sz w:val="24"/>
              </w:rPr>
              <w:t>i</w:t>
            </w:r>
            <w:r>
              <w:rPr>
                <w:rFonts w:ascii="Times New Roman" w:hAnsi="Times New Roman"/>
                <w:sz w:val="24"/>
              </w:rPr>
              <w:t>cient pas d’une notation externe. Les dérivés de crédit au nième défaut bén</w:t>
            </w:r>
            <w:r>
              <w:rPr>
                <w:rFonts w:ascii="Times New Roman" w:hAnsi="Times New Roman"/>
                <w:sz w:val="24"/>
              </w:rPr>
              <w:t>é</w:t>
            </w:r>
            <w:r>
              <w:rPr>
                <w:rFonts w:ascii="Times New Roman" w:hAnsi="Times New Roman"/>
                <w:sz w:val="24"/>
              </w:rPr>
              <w:t xml:space="preserve">ficiant d’une notation externe seront soit déclarés dans le modèle MKR SA TDI (ligne 321) soit (s’ils font partie du CTP) inscrits dans la colonne de la pondération de risque correspondante. </w:t>
            </w:r>
          </w:p>
        </w:tc>
      </w:tr>
      <w:tr w:rsidR="000B0B09" w:rsidRPr="00392FFD" w:rsidTr="000B0B09">
        <w:tc>
          <w:tcPr>
            <w:tcW w:w="988" w:type="dxa"/>
          </w:tcPr>
          <w:p w:rsidR="000B0B09" w:rsidRPr="00392FFD" w:rsidRDefault="000B0B09" w:rsidP="000B0B09">
            <w:pPr>
              <w:rPr>
                <w:rFonts w:ascii="Times New Roman" w:hAnsi="Times New Roman"/>
                <w:sz w:val="24"/>
              </w:rPr>
            </w:pPr>
            <w:r>
              <w:rPr>
                <w:rFonts w:ascii="Times New Roman" w:hAnsi="Times New Roman"/>
                <w:sz w:val="24"/>
              </w:rPr>
              <w:lastRenderedPageBreak/>
              <w:t>170-180 et 360-370</w:t>
            </w:r>
          </w:p>
          <w:p w:rsidR="000B0B09" w:rsidRPr="00392FFD" w:rsidRDefault="000B0B09" w:rsidP="000B0B09">
            <w:pPr>
              <w:autoSpaceDE w:val="0"/>
              <w:autoSpaceDN w:val="0"/>
              <w:adjustRightInd w:val="0"/>
              <w:spacing w:before="0" w:after="0"/>
              <w:rPr>
                <w:rFonts w:ascii="Times New Roman" w:hAnsi="Times New Roman"/>
                <w:sz w:val="24"/>
              </w:rPr>
            </w:pPr>
          </w:p>
        </w:tc>
        <w:tc>
          <w:tcPr>
            <w:tcW w:w="787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1250 %</w:t>
            </w:r>
          </w:p>
          <w:p w:rsidR="000B0B09" w:rsidRPr="00392FFD" w:rsidRDefault="000B0B09" w:rsidP="000B0B09">
            <w:pPr>
              <w:rPr>
                <w:rFonts w:ascii="Times New Roman" w:hAnsi="Times New Roman"/>
                <w:sz w:val="24"/>
              </w:rPr>
            </w:pPr>
            <w:r>
              <w:rPr>
                <w:rFonts w:ascii="Times New Roman" w:hAnsi="Times New Roman"/>
                <w:sz w:val="24"/>
              </w:rPr>
              <w:t xml:space="preserve">Article 251 (tableau 1) et article 261, paragraphe 1 (tableau 4), du CRR. </w:t>
            </w:r>
          </w:p>
        </w:tc>
      </w:tr>
      <w:tr w:rsidR="000B0B09" w:rsidRPr="00392FFD" w:rsidTr="000B0B09">
        <w:tc>
          <w:tcPr>
            <w:tcW w:w="988" w:type="dxa"/>
          </w:tcPr>
          <w:p w:rsidR="000B0B09" w:rsidRPr="00392FFD" w:rsidRDefault="000B0B09" w:rsidP="000B0B09">
            <w:pPr>
              <w:rPr>
                <w:rFonts w:ascii="Times New Roman" w:hAnsi="Times New Roman"/>
                <w:sz w:val="24"/>
              </w:rPr>
            </w:pPr>
            <w:r>
              <w:rPr>
                <w:rFonts w:ascii="Times New Roman" w:hAnsi="Times New Roman"/>
                <w:sz w:val="24"/>
              </w:rPr>
              <w:t>190-200 et 340-350</w:t>
            </w:r>
          </w:p>
          <w:p w:rsidR="000B0B09" w:rsidRPr="00392FFD" w:rsidRDefault="000B0B09" w:rsidP="000B0B09">
            <w:pPr>
              <w:autoSpaceDE w:val="0"/>
              <w:autoSpaceDN w:val="0"/>
              <w:adjustRightInd w:val="0"/>
              <w:spacing w:before="0" w:after="0"/>
              <w:rPr>
                <w:rFonts w:ascii="Times New Roman" w:hAnsi="Times New Roman"/>
                <w:sz w:val="24"/>
              </w:rPr>
            </w:pPr>
          </w:p>
        </w:tc>
        <w:tc>
          <w:tcPr>
            <w:tcW w:w="787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MÉTHODE DE LA FORMULE PRUDENTIELLE</w:t>
            </w:r>
          </w:p>
          <w:p w:rsidR="000B0B09" w:rsidRPr="00392FFD" w:rsidRDefault="000B0B09" w:rsidP="000B0B09">
            <w:pPr>
              <w:rPr>
                <w:rFonts w:ascii="Times New Roman" w:hAnsi="Times New Roman"/>
                <w:sz w:val="24"/>
              </w:rPr>
            </w:pPr>
            <w:r>
              <w:rPr>
                <w:rFonts w:ascii="Times New Roman" w:hAnsi="Times New Roman"/>
                <w:sz w:val="24"/>
              </w:rPr>
              <w:t xml:space="preserve">Article 337, paragraphe 2, du CRR, en liaison avec l’article 262 du CRR. </w:t>
            </w:r>
          </w:p>
        </w:tc>
      </w:tr>
      <w:tr w:rsidR="000B0B09" w:rsidRPr="00392FFD" w:rsidTr="000B0B09">
        <w:tc>
          <w:tcPr>
            <w:tcW w:w="988" w:type="dxa"/>
          </w:tcPr>
          <w:p w:rsidR="000B0B09" w:rsidRPr="00392FFD" w:rsidRDefault="000B0B09" w:rsidP="000B0B09">
            <w:pPr>
              <w:rPr>
                <w:rFonts w:ascii="Times New Roman" w:hAnsi="Times New Roman"/>
                <w:sz w:val="24"/>
              </w:rPr>
            </w:pPr>
            <w:r>
              <w:rPr>
                <w:rFonts w:ascii="Times New Roman" w:hAnsi="Times New Roman"/>
                <w:sz w:val="24"/>
              </w:rPr>
              <w:t>210 / 380</w:t>
            </w:r>
          </w:p>
          <w:p w:rsidR="000B0B09" w:rsidRPr="00392FFD" w:rsidRDefault="000B0B09" w:rsidP="000B0B09">
            <w:pPr>
              <w:autoSpaceDE w:val="0"/>
              <w:autoSpaceDN w:val="0"/>
              <w:adjustRightInd w:val="0"/>
              <w:spacing w:before="0" w:after="0"/>
              <w:rPr>
                <w:rFonts w:ascii="Times New Roman" w:hAnsi="Times New Roman"/>
                <w:sz w:val="24"/>
              </w:rPr>
            </w:pPr>
          </w:p>
        </w:tc>
        <w:tc>
          <w:tcPr>
            <w:tcW w:w="787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APPROCHE PAR TRANSPARENCE</w:t>
            </w:r>
          </w:p>
          <w:p w:rsidR="000B0B09" w:rsidRPr="00392FFD" w:rsidRDefault="000B0B09" w:rsidP="000B0B09">
            <w:pPr>
              <w:rPr>
                <w:rFonts w:ascii="Times New Roman" w:hAnsi="Times New Roman"/>
                <w:sz w:val="24"/>
              </w:rPr>
            </w:pPr>
            <w:r>
              <w:rPr>
                <w:rFonts w:ascii="Times New Roman" w:hAnsi="Times New Roman"/>
                <w:sz w:val="24"/>
              </w:rPr>
              <w:t>Approche standard: Articles 253 et 254 et article 256, paragraphe 5, du CRR. Les colonnes consacrées à la méthode par transparence rassemblent tous les cas d’expositions non notées pour lesquelles la pondération de risque est o</w:t>
            </w:r>
            <w:r>
              <w:rPr>
                <w:rFonts w:ascii="Times New Roman" w:hAnsi="Times New Roman"/>
                <w:sz w:val="24"/>
              </w:rPr>
              <w:t>b</w:t>
            </w:r>
            <w:r>
              <w:rPr>
                <w:rFonts w:ascii="Times New Roman" w:hAnsi="Times New Roman"/>
                <w:sz w:val="24"/>
              </w:rPr>
              <w:t>tenue à partir du portefeuille d’expositions sous-jacent (pondération moyenne du p</w:t>
            </w:r>
            <w:r>
              <w:rPr>
                <w:rFonts w:ascii="Times New Roman" w:hAnsi="Times New Roman"/>
                <w:sz w:val="24"/>
              </w:rPr>
              <w:t>a</w:t>
            </w:r>
            <w:r>
              <w:rPr>
                <w:rFonts w:ascii="Times New Roman" w:hAnsi="Times New Roman"/>
                <w:sz w:val="24"/>
              </w:rPr>
              <w:t>nier, pondération maximale du panier, ou recours au ratio de concentr</w:t>
            </w:r>
            <w:r>
              <w:rPr>
                <w:rFonts w:ascii="Times New Roman" w:hAnsi="Times New Roman"/>
                <w:sz w:val="24"/>
              </w:rPr>
              <w:t>a</w:t>
            </w:r>
            <w:r>
              <w:rPr>
                <w:rFonts w:ascii="Times New Roman" w:hAnsi="Times New Roman"/>
                <w:sz w:val="24"/>
              </w:rPr>
              <w:t>tion).</w:t>
            </w:r>
          </w:p>
          <w:p w:rsidR="000B0B09" w:rsidRPr="00392FFD" w:rsidRDefault="000B0B09" w:rsidP="000B0B09">
            <w:pPr>
              <w:rPr>
                <w:rFonts w:ascii="Times New Roman" w:hAnsi="Times New Roman"/>
                <w:sz w:val="24"/>
              </w:rPr>
            </w:pPr>
            <w:r>
              <w:rPr>
                <w:rFonts w:ascii="Times New Roman" w:hAnsi="Times New Roman"/>
                <w:sz w:val="24"/>
              </w:rPr>
              <w:t>Approche NI: Article 263, paragraphes 2 et 3, du CRR Pour les rembours</w:t>
            </w:r>
            <w:r>
              <w:rPr>
                <w:rFonts w:ascii="Times New Roman" w:hAnsi="Times New Roman"/>
                <w:sz w:val="24"/>
              </w:rPr>
              <w:t>e</w:t>
            </w:r>
            <w:r>
              <w:rPr>
                <w:rFonts w:ascii="Times New Roman" w:hAnsi="Times New Roman"/>
                <w:sz w:val="24"/>
              </w:rPr>
              <w:t>ments anticipés, voir l'article 265, paragraphe 1, et l'article 256, paragraphe 5, du CRR.</w:t>
            </w:r>
          </w:p>
        </w:tc>
      </w:tr>
      <w:tr w:rsidR="000B0B09" w:rsidRPr="00392FFD" w:rsidTr="000B0B09">
        <w:tc>
          <w:tcPr>
            <w:tcW w:w="988" w:type="dxa"/>
          </w:tcPr>
          <w:p w:rsidR="000B0B09" w:rsidRPr="00392FFD" w:rsidRDefault="000B0B09" w:rsidP="000B0B09">
            <w:pPr>
              <w:rPr>
                <w:rFonts w:ascii="Times New Roman" w:hAnsi="Times New Roman"/>
                <w:sz w:val="24"/>
              </w:rPr>
            </w:pPr>
            <w:r>
              <w:rPr>
                <w:rFonts w:ascii="Times New Roman" w:hAnsi="Times New Roman"/>
                <w:sz w:val="24"/>
              </w:rPr>
              <w:t>220-230 et 390-400</w:t>
            </w:r>
          </w:p>
          <w:p w:rsidR="000B0B09" w:rsidRPr="00392FFD" w:rsidRDefault="000B0B09" w:rsidP="000B0B09">
            <w:pPr>
              <w:autoSpaceDE w:val="0"/>
              <w:autoSpaceDN w:val="0"/>
              <w:adjustRightInd w:val="0"/>
              <w:spacing w:before="0" w:after="0"/>
              <w:rPr>
                <w:rFonts w:ascii="Times New Roman" w:hAnsi="Times New Roman"/>
                <w:sz w:val="24"/>
              </w:rPr>
            </w:pPr>
          </w:p>
        </w:tc>
        <w:tc>
          <w:tcPr>
            <w:tcW w:w="787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APPROCHE PAR ÉVALUATION INTERNE</w:t>
            </w:r>
          </w:p>
          <w:p w:rsidR="000B0B09" w:rsidRPr="00392FFD" w:rsidRDefault="000B0B09" w:rsidP="000B0B09">
            <w:pPr>
              <w:rPr>
                <w:rFonts w:ascii="Times New Roman" w:hAnsi="Times New Roman"/>
                <w:sz w:val="24"/>
              </w:rPr>
            </w:pPr>
            <w:r>
              <w:rPr>
                <w:rFonts w:ascii="Times New Roman" w:hAnsi="Times New Roman"/>
                <w:sz w:val="24"/>
              </w:rPr>
              <w:t xml:space="preserve">Article 259, paragraphes 3 et 4, du CRR </w:t>
            </w:r>
          </w:p>
        </w:tc>
      </w:tr>
      <w:tr w:rsidR="000B0B09" w:rsidRPr="00392FFD" w:rsidTr="000B0B09">
        <w:tc>
          <w:tcPr>
            <w:tcW w:w="988" w:type="dxa"/>
          </w:tcPr>
          <w:p w:rsidR="000B0B09" w:rsidRPr="00392FFD" w:rsidRDefault="000B0B09" w:rsidP="000B0B09">
            <w:pPr>
              <w:rPr>
                <w:rFonts w:ascii="Times New Roman" w:hAnsi="Times New Roman"/>
                <w:sz w:val="24"/>
              </w:rPr>
            </w:pPr>
            <w:r>
              <w:rPr>
                <w:rFonts w:ascii="Times New Roman" w:hAnsi="Times New Roman"/>
                <w:sz w:val="24"/>
              </w:rPr>
              <w:t>410-420</w:t>
            </w:r>
          </w:p>
          <w:p w:rsidR="000B0B09" w:rsidRPr="00392FFD" w:rsidRDefault="000B0B09" w:rsidP="000B0B09">
            <w:pPr>
              <w:autoSpaceDE w:val="0"/>
              <w:autoSpaceDN w:val="0"/>
              <w:adjustRightInd w:val="0"/>
              <w:spacing w:before="0" w:after="0"/>
              <w:rPr>
                <w:rFonts w:ascii="Times New Roman" w:hAnsi="Times New Roman"/>
                <w:sz w:val="24"/>
              </w:rPr>
            </w:pPr>
          </w:p>
        </w:tc>
        <w:tc>
          <w:tcPr>
            <w:tcW w:w="787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AVANT APPLICATION DU PLAFOND - POSITIONS LONGUES/COURTES NETTES PONDÉRÉES</w:t>
            </w:r>
          </w:p>
          <w:p w:rsidR="000B0B09" w:rsidRPr="00392FFD" w:rsidRDefault="000B0B09" w:rsidP="000B0B09">
            <w:pPr>
              <w:rPr>
                <w:rFonts w:ascii="Times New Roman" w:hAnsi="Times New Roman"/>
                <w:sz w:val="24"/>
              </w:rPr>
            </w:pPr>
            <w:r>
              <w:rPr>
                <w:rFonts w:ascii="Times New Roman" w:hAnsi="Times New Roman"/>
                <w:sz w:val="24"/>
              </w:rPr>
              <w:t>Article 338 du CRR, compte non tenu de la marge d’appréciation de l’article 335 du CRR.</w:t>
            </w:r>
          </w:p>
          <w:p w:rsidR="000B0B09" w:rsidRPr="00392FFD" w:rsidRDefault="000B0B09" w:rsidP="000B0B09">
            <w:pPr>
              <w:rPr>
                <w:rFonts w:ascii="Times New Roman" w:hAnsi="Times New Roman"/>
                <w:sz w:val="24"/>
              </w:rPr>
            </w:pPr>
          </w:p>
        </w:tc>
      </w:tr>
      <w:tr w:rsidR="000B0B09" w:rsidRPr="00392FFD" w:rsidTr="000B0B09">
        <w:tc>
          <w:tcPr>
            <w:tcW w:w="988" w:type="dxa"/>
          </w:tcPr>
          <w:p w:rsidR="000B0B09" w:rsidRPr="00392FFD" w:rsidRDefault="000B0B09" w:rsidP="000B0B09">
            <w:pPr>
              <w:rPr>
                <w:rFonts w:ascii="Times New Roman" w:hAnsi="Times New Roman"/>
                <w:sz w:val="24"/>
              </w:rPr>
            </w:pPr>
            <w:r>
              <w:rPr>
                <w:rFonts w:ascii="Times New Roman" w:hAnsi="Times New Roman"/>
                <w:sz w:val="24"/>
              </w:rPr>
              <w:t>430-440</w:t>
            </w:r>
          </w:p>
          <w:p w:rsidR="000B0B09" w:rsidRPr="00392FFD" w:rsidRDefault="000B0B09" w:rsidP="000B0B09">
            <w:pPr>
              <w:autoSpaceDE w:val="0"/>
              <w:autoSpaceDN w:val="0"/>
              <w:adjustRightInd w:val="0"/>
              <w:spacing w:before="0" w:after="0"/>
              <w:rPr>
                <w:rFonts w:ascii="Times New Roman" w:hAnsi="Times New Roman"/>
                <w:sz w:val="24"/>
              </w:rPr>
            </w:pPr>
          </w:p>
        </w:tc>
        <w:tc>
          <w:tcPr>
            <w:tcW w:w="787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APRÈS APPLICATION DU PLAFOND - POSITIONS LONGUES/COURTES NETTES PONDÉRÉES</w:t>
            </w:r>
          </w:p>
          <w:p w:rsidR="000B0B09" w:rsidRPr="00392FFD" w:rsidRDefault="000B0B09" w:rsidP="000B0B09">
            <w:pPr>
              <w:rPr>
                <w:rFonts w:ascii="Times New Roman" w:hAnsi="Times New Roman"/>
                <w:sz w:val="24"/>
              </w:rPr>
            </w:pPr>
            <w:r>
              <w:rPr>
                <w:rFonts w:ascii="Times New Roman" w:hAnsi="Times New Roman"/>
                <w:sz w:val="24"/>
              </w:rPr>
              <w:t xml:space="preserve">Article 338 du CRR, compte tenu de la marge d’appréciation de l’article 335 du CRR. </w:t>
            </w:r>
          </w:p>
        </w:tc>
      </w:tr>
      <w:tr w:rsidR="000B0B09" w:rsidRPr="00392FFD" w:rsidTr="000B0B09">
        <w:tc>
          <w:tcPr>
            <w:tcW w:w="988" w:type="dxa"/>
          </w:tcPr>
          <w:p w:rsidR="000B0B09" w:rsidRPr="00392FFD" w:rsidRDefault="000B0B09" w:rsidP="000B0B09">
            <w:pPr>
              <w:rPr>
                <w:rFonts w:ascii="Times New Roman" w:hAnsi="Times New Roman"/>
                <w:sz w:val="24"/>
              </w:rPr>
            </w:pPr>
            <w:r>
              <w:rPr>
                <w:rFonts w:ascii="Times New Roman" w:hAnsi="Times New Roman"/>
                <w:sz w:val="24"/>
              </w:rPr>
              <w:t>450</w:t>
            </w:r>
          </w:p>
          <w:p w:rsidR="000B0B09" w:rsidRPr="00392FFD" w:rsidRDefault="000B0B09" w:rsidP="000B0B09">
            <w:pPr>
              <w:autoSpaceDE w:val="0"/>
              <w:autoSpaceDN w:val="0"/>
              <w:adjustRightInd w:val="0"/>
              <w:spacing w:before="0" w:after="0"/>
              <w:rPr>
                <w:rFonts w:ascii="Times New Roman" w:hAnsi="Times New Roman"/>
                <w:sz w:val="24"/>
              </w:rPr>
            </w:pPr>
          </w:p>
        </w:tc>
        <w:tc>
          <w:tcPr>
            <w:tcW w:w="787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TOTAL DES EXIGENCES DE FONDS PROPRES</w:t>
            </w:r>
          </w:p>
          <w:p w:rsidR="000B0B09" w:rsidRPr="00392FFD" w:rsidRDefault="000B0B09" w:rsidP="00E871FE">
            <w:pPr>
              <w:rPr>
                <w:rFonts w:ascii="Times New Roman" w:hAnsi="Times New Roman"/>
                <w:sz w:val="24"/>
              </w:rPr>
            </w:pPr>
            <w:r>
              <w:rPr>
                <w:rFonts w:ascii="Times New Roman" w:hAnsi="Times New Roman"/>
                <w:sz w:val="24"/>
              </w:rPr>
              <w:t xml:space="preserve">L’exigence de fonds propres correspond à la plus élevée entre i) l’exigence de </w:t>
            </w:r>
            <w:r>
              <w:rPr>
                <w:rFonts w:ascii="Times New Roman" w:hAnsi="Times New Roman"/>
                <w:sz w:val="24"/>
              </w:rPr>
              <w:lastRenderedPageBreak/>
              <w:t>fonds propres pour risque spécifique qui ne s’appliquerait qu’aux positions longues nettes (colonne 430) ou ii) l’exigence de fonds propre pour risque sp</w:t>
            </w:r>
            <w:r>
              <w:rPr>
                <w:rFonts w:ascii="Times New Roman" w:hAnsi="Times New Roman"/>
                <w:sz w:val="24"/>
              </w:rPr>
              <w:t>é</w:t>
            </w:r>
            <w:r>
              <w:rPr>
                <w:rFonts w:ascii="Times New Roman" w:hAnsi="Times New Roman"/>
                <w:sz w:val="24"/>
              </w:rPr>
              <w:t>cifique qui ne s’appliquerait qu’aux positions courtes nettes (colonne 440).</w:t>
            </w:r>
          </w:p>
        </w:tc>
      </w:tr>
    </w:tbl>
    <w:p w:rsidR="000B0B09" w:rsidRPr="00392FFD" w:rsidRDefault="000B0B09" w:rsidP="00E70AB0">
      <w:pPr>
        <w:autoSpaceDE w:val="0"/>
        <w:autoSpaceDN w:val="0"/>
        <w:adjustRightInd w:val="0"/>
        <w:spacing w:before="0" w:after="0"/>
        <w:rPr>
          <w:rFonts w:ascii="Times New Roman" w:hAnsi="Times New Roman"/>
          <w:sz w:val="24"/>
        </w:rPr>
      </w:pPr>
    </w:p>
    <w:p w:rsidR="00DE48EF" w:rsidRPr="00392FFD" w:rsidRDefault="00DE48EF" w:rsidP="00E70AB0">
      <w:pPr>
        <w:autoSpaceDE w:val="0"/>
        <w:autoSpaceDN w:val="0"/>
        <w:adjustRightInd w:val="0"/>
        <w:spacing w:before="0" w:after="0"/>
        <w:rPr>
          <w:rFonts w:ascii="Times New Roman" w:hAnsi="Times New Roman"/>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8204"/>
      </w:tblGrid>
      <w:tr w:rsidR="000B0B09" w:rsidRPr="00392FFD" w:rsidTr="0023700C">
        <w:trPr>
          <w:trHeight w:val="642"/>
        </w:trPr>
        <w:tc>
          <w:tcPr>
            <w:tcW w:w="9212" w:type="dxa"/>
            <w:gridSpan w:val="2"/>
            <w:shd w:val="clear" w:color="auto" w:fill="CCCCCC"/>
          </w:tcPr>
          <w:p w:rsidR="000B0B09" w:rsidRPr="00392FFD" w:rsidRDefault="000B0B09" w:rsidP="000B0B09">
            <w:pPr>
              <w:autoSpaceDE w:val="0"/>
              <w:autoSpaceDN w:val="0"/>
              <w:adjustRightInd w:val="0"/>
              <w:spacing w:after="0"/>
              <w:rPr>
                <w:rFonts w:ascii="Times New Roman" w:hAnsi="Times New Roman"/>
                <w:b/>
                <w:sz w:val="24"/>
              </w:rPr>
            </w:pPr>
            <w:r>
              <w:rPr>
                <w:rFonts w:ascii="Times New Roman" w:hAnsi="Times New Roman"/>
                <w:b/>
                <w:sz w:val="24"/>
              </w:rPr>
              <w:t>Lignes</w:t>
            </w:r>
          </w:p>
        </w:tc>
      </w:tr>
      <w:tr w:rsidR="000B0B09" w:rsidRPr="00392FFD" w:rsidTr="0023700C">
        <w:tc>
          <w:tcPr>
            <w:tcW w:w="100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010</w:t>
            </w:r>
          </w:p>
        </w:tc>
        <w:tc>
          <w:tcPr>
            <w:tcW w:w="820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TOTAL DES EXPOSITIONS</w:t>
            </w:r>
          </w:p>
          <w:p w:rsidR="000B0B09" w:rsidRPr="00392FFD" w:rsidRDefault="000B0B09" w:rsidP="000B0B09">
            <w:pPr>
              <w:rPr>
                <w:rFonts w:ascii="Times New Roman" w:hAnsi="Times New Roman"/>
                <w:sz w:val="24"/>
              </w:rPr>
            </w:pPr>
            <w:r>
              <w:rPr>
                <w:rFonts w:ascii="Times New Roman" w:hAnsi="Times New Roman"/>
                <w:sz w:val="24"/>
              </w:rPr>
              <w:t>Montant total des positions ouvertes (détenues dans le portefeuille de négociation en corrélation) déclaré par l’établissement qui joue le rôle d’initiateur, d’investisseur ou de sponsor.</w:t>
            </w:r>
          </w:p>
        </w:tc>
      </w:tr>
      <w:tr w:rsidR="000B0B09" w:rsidRPr="00392FFD" w:rsidTr="0023700C">
        <w:tc>
          <w:tcPr>
            <w:tcW w:w="100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020-040</w:t>
            </w:r>
          </w:p>
        </w:tc>
        <w:tc>
          <w:tcPr>
            <w:tcW w:w="820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INITIATEUR</w:t>
            </w:r>
          </w:p>
          <w:p w:rsidR="000B0B09" w:rsidRPr="00392FFD" w:rsidRDefault="000B0B09" w:rsidP="00104A65">
            <w:pPr>
              <w:rPr>
                <w:rFonts w:ascii="Times New Roman" w:hAnsi="Times New Roman"/>
                <w:sz w:val="24"/>
              </w:rPr>
            </w:pPr>
            <w:r>
              <w:rPr>
                <w:rFonts w:ascii="Times New Roman" w:hAnsi="Times New Roman"/>
                <w:sz w:val="24"/>
              </w:rPr>
              <w:t xml:space="preserve">Article 4, point 13, du CRR </w:t>
            </w:r>
          </w:p>
        </w:tc>
      </w:tr>
      <w:tr w:rsidR="000B0B09" w:rsidRPr="00392FFD" w:rsidTr="0023700C">
        <w:tc>
          <w:tcPr>
            <w:tcW w:w="100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050-070</w:t>
            </w:r>
          </w:p>
        </w:tc>
        <w:tc>
          <w:tcPr>
            <w:tcW w:w="820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INVESTISSEUR</w:t>
            </w:r>
          </w:p>
          <w:p w:rsidR="000B0B09" w:rsidRPr="00392FFD" w:rsidRDefault="000B0B09" w:rsidP="00DE48EF">
            <w:pPr>
              <w:rPr>
                <w:rFonts w:ascii="Times New Roman" w:hAnsi="Times New Roman"/>
                <w:sz w:val="24"/>
              </w:rPr>
            </w:pPr>
            <w:r>
              <w:rPr>
                <w:rFonts w:ascii="Times New Roman" w:hAnsi="Times New Roman"/>
                <w:sz w:val="24"/>
              </w:rPr>
              <w:t>Établissement de crédit qui détient une position de titrisation dans le cadre d’une opération de titrisation pour laquelle il n’est ni initiateur ni sponsor.</w:t>
            </w:r>
          </w:p>
        </w:tc>
      </w:tr>
      <w:tr w:rsidR="000B0B09" w:rsidRPr="00392FFD" w:rsidTr="0023700C">
        <w:tc>
          <w:tcPr>
            <w:tcW w:w="100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080-100</w:t>
            </w:r>
          </w:p>
        </w:tc>
        <w:tc>
          <w:tcPr>
            <w:tcW w:w="820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SPONSOR:</w:t>
            </w:r>
          </w:p>
          <w:p w:rsidR="000B0B09" w:rsidRPr="00392FFD" w:rsidRDefault="000B0B09" w:rsidP="00DA040A">
            <w:pPr>
              <w:rPr>
                <w:rFonts w:ascii="Times New Roman" w:hAnsi="Times New Roman"/>
                <w:sz w:val="24"/>
              </w:rPr>
            </w:pPr>
            <w:r>
              <w:rPr>
                <w:rFonts w:ascii="Times New Roman" w:hAnsi="Times New Roman"/>
                <w:sz w:val="24"/>
              </w:rPr>
              <w:t xml:space="preserve">Article 4, point 14, du CRR. Si un sponsor titrise également ses propres actifs, il devra indiquer, dans les lignes sur l’initiateur, les données relatives à ses propres actifs titrisés. </w:t>
            </w:r>
          </w:p>
        </w:tc>
      </w:tr>
      <w:tr w:rsidR="000B0B09" w:rsidRPr="00392FFD" w:rsidTr="000B0B09">
        <w:tc>
          <w:tcPr>
            <w:tcW w:w="1008" w:type="dxa"/>
          </w:tcPr>
          <w:p w:rsidR="000B0B09" w:rsidRPr="00392FFD" w:rsidRDefault="000B0B09" w:rsidP="00B74792">
            <w:pPr>
              <w:autoSpaceDE w:val="0"/>
              <w:autoSpaceDN w:val="0"/>
              <w:adjustRightInd w:val="0"/>
              <w:spacing w:before="0" w:after="0"/>
              <w:rPr>
                <w:rFonts w:ascii="Times New Roman" w:hAnsi="Times New Roman"/>
                <w:sz w:val="24"/>
              </w:rPr>
            </w:pPr>
            <w:r>
              <w:rPr>
                <w:rFonts w:ascii="Times New Roman" w:hAnsi="Times New Roman"/>
                <w:sz w:val="24"/>
              </w:rPr>
              <w:t>030, 060 et 090</w:t>
            </w:r>
          </w:p>
        </w:tc>
        <w:tc>
          <w:tcPr>
            <w:tcW w:w="820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TITRISATIONS</w:t>
            </w:r>
          </w:p>
          <w:p w:rsidR="000B0B09" w:rsidRPr="00392FFD" w:rsidRDefault="000B0B09" w:rsidP="000B0B09">
            <w:pPr>
              <w:rPr>
                <w:rFonts w:ascii="Times New Roman" w:hAnsi="Times New Roman"/>
                <w:sz w:val="24"/>
              </w:rPr>
            </w:pPr>
            <w:r>
              <w:rPr>
                <w:rFonts w:ascii="Times New Roman" w:hAnsi="Times New Roman"/>
                <w:sz w:val="24"/>
              </w:rPr>
              <w:t>Le portefeuille de négociation en corrélation se compose de titrisations, de dér</w:t>
            </w:r>
            <w:r>
              <w:rPr>
                <w:rFonts w:ascii="Times New Roman" w:hAnsi="Times New Roman"/>
                <w:sz w:val="24"/>
              </w:rPr>
              <w:t>i</w:t>
            </w:r>
            <w:r>
              <w:rPr>
                <w:rFonts w:ascii="Times New Roman" w:hAnsi="Times New Roman"/>
                <w:sz w:val="24"/>
              </w:rPr>
              <w:t>vés de crédit au nième défaut et, éventuellement, d’autres positions de couverture qui satisfont aux critères de l’article 338, paragraphes 2 et 3, du CRR.</w:t>
            </w:r>
          </w:p>
          <w:p w:rsidR="000B0B09" w:rsidRPr="00392FFD" w:rsidRDefault="000B0B09" w:rsidP="000B0B09">
            <w:pPr>
              <w:rPr>
                <w:rFonts w:ascii="Times New Roman" w:hAnsi="Times New Roman"/>
                <w:sz w:val="24"/>
              </w:rPr>
            </w:pPr>
          </w:p>
          <w:p w:rsidR="000B0B09" w:rsidRPr="00392FFD" w:rsidRDefault="000B0B09" w:rsidP="00DE48EF">
            <w:pPr>
              <w:rPr>
                <w:rFonts w:ascii="Times New Roman" w:hAnsi="Times New Roman"/>
                <w:sz w:val="24"/>
              </w:rPr>
            </w:pPr>
            <w:r>
              <w:rPr>
                <w:rFonts w:ascii="Times New Roman" w:hAnsi="Times New Roman"/>
                <w:sz w:val="24"/>
              </w:rPr>
              <w:t>Les dérivés d’expositions de titrisation qui offrent une répartition au prorata ainsi que les positions de couverture de positions CTP seront inscrits dans la ligne «Autres positions du portefeuille de négociation en corrélation»;</w:t>
            </w:r>
          </w:p>
        </w:tc>
      </w:tr>
      <w:tr w:rsidR="000B0B09" w:rsidRPr="00392FFD" w:rsidTr="0023700C">
        <w:tc>
          <w:tcPr>
            <w:tcW w:w="100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110</w:t>
            </w:r>
          </w:p>
        </w:tc>
        <w:tc>
          <w:tcPr>
            <w:tcW w:w="820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DÉRIVÉS DE CRÉDIT AU NIÈME DÉFAUT</w:t>
            </w:r>
          </w:p>
          <w:p w:rsidR="000B0B09" w:rsidRPr="00392FFD" w:rsidRDefault="000B0B09" w:rsidP="000B0B09">
            <w:pPr>
              <w:rPr>
                <w:rFonts w:ascii="Times New Roman" w:hAnsi="Times New Roman"/>
                <w:sz w:val="24"/>
              </w:rPr>
            </w:pPr>
            <w:r>
              <w:rPr>
                <w:rFonts w:ascii="Times New Roman" w:hAnsi="Times New Roman"/>
                <w:sz w:val="24"/>
              </w:rPr>
              <w:t>Les dérivés de crédit au nième défaut couverts par des dérivés de crédit au nième défaut, conformément à l’article 347 du CRR, seront déclarés dans ce poste.</w:t>
            </w:r>
          </w:p>
          <w:p w:rsidR="000B0B09" w:rsidRPr="00392FFD" w:rsidRDefault="000B0B09" w:rsidP="00DE48EF">
            <w:pPr>
              <w:rPr>
                <w:rFonts w:ascii="Times New Roman" w:hAnsi="Times New Roman"/>
                <w:sz w:val="24"/>
              </w:rPr>
            </w:pPr>
            <w:r>
              <w:rPr>
                <w:rFonts w:ascii="Times New Roman" w:hAnsi="Times New Roman"/>
                <w:sz w:val="24"/>
              </w:rPr>
              <w:t>L’initiateur, l’investisseur et le sponsor des positions ne conviennent pas pour les dérivés de crédit au nième défaut. Dès lors, une ventilation concernant les pos</w:t>
            </w:r>
            <w:r>
              <w:rPr>
                <w:rFonts w:ascii="Times New Roman" w:hAnsi="Times New Roman"/>
                <w:sz w:val="24"/>
              </w:rPr>
              <w:t>i</w:t>
            </w:r>
            <w:r>
              <w:rPr>
                <w:rFonts w:ascii="Times New Roman" w:hAnsi="Times New Roman"/>
                <w:sz w:val="24"/>
              </w:rPr>
              <w:t>tions de titrisation ne peut être fournie pour les dérivés de crédit au nième défaut.</w:t>
            </w:r>
          </w:p>
        </w:tc>
      </w:tr>
      <w:tr w:rsidR="000B0B09" w:rsidRPr="00392FFD" w:rsidTr="000B0B09">
        <w:tc>
          <w:tcPr>
            <w:tcW w:w="1008" w:type="dxa"/>
          </w:tcPr>
          <w:p w:rsidR="000B0B09" w:rsidRPr="00392FFD" w:rsidRDefault="000B0B09" w:rsidP="00B74792">
            <w:pPr>
              <w:autoSpaceDE w:val="0"/>
              <w:autoSpaceDN w:val="0"/>
              <w:adjustRightInd w:val="0"/>
              <w:spacing w:before="0" w:after="0"/>
              <w:rPr>
                <w:rFonts w:ascii="Times New Roman" w:hAnsi="Times New Roman"/>
                <w:sz w:val="24"/>
              </w:rPr>
            </w:pPr>
            <w:r>
              <w:rPr>
                <w:rFonts w:ascii="Times New Roman" w:hAnsi="Times New Roman"/>
                <w:sz w:val="24"/>
              </w:rPr>
              <w:t>040, 070, 100 et 120</w:t>
            </w:r>
          </w:p>
        </w:tc>
        <w:tc>
          <w:tcPr>
            <w:tcW w:w="8204" w:type="dxa"/>
          </w:tcPr>
          <w:p w:rsidR="000B0B09" w:rsidRPr="00392FFD" w:rsidRDefault="000B0B09" w:rsidP="000B0B09">
            <w:pPr>
              <w:rPr>
                <w:rStyle w:val="InstructionsTabelleberschrift"/>
                <w:rFonts w:ascii="Times New Roman" w:hAnsi="Times New Roman"/>
                <w:sz w:val="24"/>
              </w:rPr>
            </w:pPr>
            <w:r>
              <w:rPr>
                <w:rStyle w:val="InstructionsTabelleberschrift"/>
                <w:rFonts w:ascii="Times New Roman" w:hAnsi="Times New Roman"/>
                <w:sz w:val="24"/>
              </w:rPr>
              <w:t>AUTRES POSITIONS DU PORTEFEUILLE DE NÉGOCIATION EN CO</w:t>
            </w:r>
            <w:r>
              <w:rPr>
                <w:rStyle w:val="InstructionsTabelleberschrift"/>
                <w:rFonts w:ascii="Times New Roman" w:hAnsi="Times New Roman"/>
                <w:sz w:val="24"/>
              </w:rPr>
              <w:t>R</w:t>
            </w:r>
            <w:r>
              <w:rPr>
                <w:rStyle w:val="InstructionsTabelleberschrift"/>
                <w:rFonts w:ascii="Times New Roman" w:hAnsi="Times New Roman"/>
                <w:sz w:val="24"/>
              </w:rPr>
              <w:t>RÉLATION</w:t>
            </w:r>
          </w:p>
          <w:p w:rsidR="000B0B09" w:rsidRPr="00392FFD" w:rsidRDefault="000B0B09" w:rsidP="000B0B09">
            <w:pPr>
              <w:rPr>
                <w:rFonts w:ascii="Times New Roman" w:hAnsi="Times New Roman"/>
                <w:sz w:val="24"/>
              </w:rPr>
            </w:pPr>
            <w:r>
              <w:rPr>
                <w:rFonts w:ascii="Times New Roman" w:hAnsi="Times New Roman"/>
                <w:sz w:val="24"/>
              </w:rPr>
              <w:t xml:space="preserve">Les positions sur: </w:t>
            </w:r>
          </w:p>
          <w:p w:rsidR="000B0B09" w:rsidRPr="00392FFD" w:rsidRDefault="00125707" w:rsidP="0023700C">
            <w:pPr>
              <w:tabs>
                <w:tab w:val="left" w:pos="720"/>
              </w:tabs>
              <w:ind w:left="720" w:hanging="360"/>
              <w:rPr>
                <w:rFonts w:ascii="Times New Roman" w:hAnsi="Times New Roman"/>
                <w:sz w:val="24"/>
              </w:rPr>
            </w:pPr>
            <w:r>
              <w:rPr>
                <w:rFonts w:ascii="Symbol" w:hAnsi="Symbol"/>
                <w:sz w:val="24"/>
              </w:rPr>
              <w:t></w:t>
            </w:r>
            <w:r>
              <w:tab/>
            </w:r>
            <w:r>
              <w:rPr>
                <w:rFonts w:ascii="Times New Roman" w:hAnsi="Times New Roman"/>
                <w:sz w:val="24"/>
              </w:rPr>
              <w:t>les dérivés d’expositions de titrisation qui offrent une répartition au pr</w:t>
            </w:r>
            <w:r>
              <w:rPr>
                <w:rFonts w:ascii="Times New Roman" w:hAnsi="Times New Roman"/>
                <w:sz w:val="24"/>
              </w:rPr>
              <w:t>o</w:t>
            </w:r>
            <w:r>
              <w:rPr>
                <w:rFonts w:ascii="Times New Roman" w:hAnsi="Times New Roman"/>
                <w:sz w:val="24"/>
              </w:rPr>
              <w:t xml:space="preserve">rata </w:t>
            </w:r>
            <w:r>
              <w:rPr>
                <w:rFonts w:ascii="Times New Roman" w:hAnsi="Times New Roman"/>
                <w:sz w:val="24"/>
              </w:rPr>
              <w:lastRenderedPageBreak/>
              <w:t>ainsi que les positions de couverture de positions CTP;</w:t>
            </w:r>
          </w:p>
          <w:p w:rsidR="000B0B09" w:rsidRPr="00392FFD" w:rsidRDefault="00125707" w:rsidP="0023700C">
            <w:pPr>
              <w:tabs>
                <w:tab w:val="left" w:pos="720"/>
              </w:tabs>
              <w:ind w:left="720" w:hanging="360"/>
              <w:rPr>
                <w:rFonts w:ascii="Times New Roman" w:hAnsi="Times New Roman"/>
                <w:sz w:val="24"/>
              </w:rPr>
            </w:pPr>
            <w:r>
              <w:rPr>
                <w:rFonts w:ascii="Symbol" w:hAnsi="Symbol"/>
                <w:sz w:val="24"/>
              </w:rPr>
              <w:t></w:t>
            </w:r>
            <w:r>
              <w:tab/>
            </w:r>
            <w:r>
              <w:rPr>
                <w:rFonts w:ascii="Times New Roman" w:hAnsi="Times New Roman"/>
                <w:sz w:val="24"/>
              </w:rPr>
              <w:t>les positions CTP couvertes par des dérivés de crédit, conformément à l’article 346 du CRR;</w:t>
            </w:r>
          </w:p>
          <w:p w:rsidR="000B0B09" w:rsidRPr="00392FFD" w:rsidRDefault="00125707" w:rsidP="0023700C">
            <w:pPr>
              <w:tabs>
                <w:tab w:val="left" w:pos="720"/>
              </w:tabs>
              <w:ind w:left="720" w:hanging="360"/>
              <w:rPr>
                <w:rFonts w:ascii="Times New Roman" w:hAnsi="Times New Roman"/>
                <w:sz w:val="24"/>
              </w:rPr>
            </w:pPr>
            <w:r>
              <w:rPr>
                <w:rFonts w:ascii="Symbol" w:hAnsi="Symbol"/>
                <w:sz w:val="24"/>
              </w:rPr>
              <w:t></w:t>
            </w:r>
            <w:r>
              <w:tab/>
            </w:r>
            <w:r>
              <w:rPr>
                <w:rFonts w:ascii="Times New Roman" w:hAnsi="Times New Roman"/>
                <w:sz w:val="24"/>
              </w:rPr>
              <w:t>les autres positions qui respectent les dispositions de l’article 338, par</w:t>
            </w:r>
            <w:r>
              <w:rPr>
                <w:rFonts w:ascii="Times New Roman" w:hAnsi="Times New Roman"/>
                <w:sz w:val="24"/>
              </w:rPr>
              <w:t>a</w:t>
            </w:r>
            <w:r>
              <w:rPr>
                <w:rFonts w:ascii="Times New Roman" w:hAnsi="Times New Roman"/>
                <w:sz w:val="24"/>
              </w:rPr>
              <w:t>graphe 3, du CRR;</w:t>
            </w:r>
          </w:p>
          <w:p w:rsidR="000B0B09" w:rsidRPr="00392FFD" w:rsidRDefault="000B0B09" w:rsidP="000B0B09">
            <w:pPr>
              <w:rPr>
                <w:rFonts w:ascii="Times New Roman" w:hAnsi="Times New Roman"/>
                <w:sz w:val="24"/>
              </w:rPr>
            </w:pPr>
            <w:r>
              <w:rPr>
                <w:rFonts w:ascii="Times New Roman" w:hAnsi="Times New Roman"/>
                <w:sz w:val="24"/>
              </w:rPr>
              <w:t>sont incluses.</w:t>
            </w:r>
          </w:p>
        </w:tc>
      </w:tr>
    </w:tbl>
    <w:p w:rsidR="000B0B09" w:rsidRPr="00392FFD" w:rsidRDefault="000B0B09" w:rsidP="000B0B09">
      <w:pPr>
        <w:autoSpaceDE w:val="0"/>
        <w:autoSpaceDN w:val="0"/>
        <w:adjustRightInd w:val="0"/>
        <w:spacing w:before="0" w:after="0"/>
        <w:rPr>
          <w:rFonts w:ascii="Times New Roman" w:hAnsi="Times New Roman"/>
          <w:sz w:val="24"/>
        </w:rPr>
      </w:pPr>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576" w:name="_Toc262566429"/>
      <w:bookmarkStart w:id="577" w:name="_Toc295830005"/>
      <w:bookmarkStart w:id="578" w:name="_Toc308426682"/>
      <w:bookmarkStart w:id="579" w:name="_Toc310415066"/>
      <w:bookmarkStart w:id="580" w:name="_Toc360188401"/>
      <w:bookmarkStart w:id="581" w:name="_Toc473561041"/>
      <w:bookmarkStart w:id="582" w:name="_Toc496022352"/>
      <w:r>
        <w:rPr>
          <w:rFonts w:ascii="Times New Roman" w:hAnsi="Times New Roman"/>
          <w:sz w:val="24"/>
          <w:u w:val="none"/>
        </w:rPr>
        <w:t>5.4.</w:t>
      </w:r>
      <w:r>
        <w:tab/>
      </w:r>
      <w:r>
        <w:rPr>
          <w:rFonts w:ascii="Times New Roman" w:hAnsi="Times New Roman"/>
          <w:sz w:val="24"/>
        </w:rPr>
        <w:t>C 21.00 - Risque de marché: approche standard du risque relatif aux positions sur a</w:t>
      </w:r>
      <w:r>
        <w:rPr>
          <w:rFonts w:ascii="Times New Roman" w:hAnsi="Times New Roman"/>
          <w:sz w:val="24"/>
        </w:rPr>
        <w:t>c</w:t>
      </w:r>
      <w:r>
        <w:rPr>
          <w:rFonts w:ascii="Times New Roman" w:hAnsi="Times New Roman"/>
          <w:sz w:val="24"/>
        </w:rPr>
        <w:t>tions</w:t>
      </w:r>
      <w:bookmarkEnd w:id="576"/>
      <w:bookmarkEnd w:id="577"/>
      <w:bookmarkEnd w:id="578"/>
      <w:bookmarkEnd w:id="579"/>
      <w:bookmarkEnd w:id="580"/>
      <w:r>
        <w:rPr>
          <w:rFonts w:ascii="Times New Roman" w:hAnsi="Times New Roman"/>
          <w:sz w:val="24"/>
        </w:rPr>
        <w:t xml:space="preserve"> (MKR SA EQU)</w:t>
      </w:r>
      <w:bookmarkEnd w:id="581"/>
      <w:bookmarkEnd w:id="582"/>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583" w:name="_Toc262566430"/>
      <w:bookmarkStart w:id="584" w:name="_Toc295830006"/>
      <w:bookmarkStart w:id="585" w:name="_Toc308426683"/>
      <w:bookmarkStart w:id="586" w:name="_Toc310415067"/>
      <w:bookmarkStart w:id="587" w:name="_Toc360188402"/>
      <w:bookmarkStart w:id="588" w:name="_Toc473561042"/>
      <w:bookmarkStart w:id="589" w:name="_Toc496022353"/>
      <w:r>
        <w:rPr>
          <w:rFonts w:ascii="Times New Roman" w:hAnsi="Times New Roman"/>
          <w:sz w:val="24"/>
          <w:u w:val="none"/>
        </w:rPr>
        <w:t>5.4.1.</w:t>
      </w:r>
      <w:r>
        <w:tab/>
      </w:r>
      <w:r>
        <w:rPr>
          <w:rFonts w:ascii="Times New Roman" w:hAnsi="Times New Roman"/>
          <w:sz w:val="24"/>
        </w:rPr>
        <w:t>Remarques générales</w:t>
      </w:r>
      <w:bookmarkEnd w:id="583"/>
      <w:bookmarkEnd w:id="584"/>
      <w:bookmarkEnd w:id="585"/>
      <w:bookmarkEnd w:id="586"/>
      <w:bookmarkEnd w:id="587"/>
      <w:bookmarkEnd w:id="588"/>
      <w:bookmarkEnd w:id="589"/>
    </w:p>
    <w:p w:rsidR="000B0B09" w:rsidRPr="00392FFD" w:rsidRDefault="00125707" w:rsidP="0023700C">
      <w:pPr>
        <w:pStyle w:val="InstructionsText2"/>
        <w:numPr>
          <w:ilvl w:val="0"/>
          <w:numId w:val="0"/>
        </w:numPr>
        <w:ind w:left="1353" w:hanging="360"/>
      </w:pPr>
      <w:r>
        <w:t>148.</w:t>
      </w:r>
      <w:r>
        <w:tab/>
        <w:t>Ce modèle rassemble des informations sur les positions et les exigences de fonds propres correspondantes pour risque de position lié aux actions du port</w:t>
      </w:r>
      <w:r>
        <w:t>e</w:t>
      </w:r>
      <w:r>
        <w:t>feuille de négociation, traitées selon l’approche standard.</w:t>
      </w:r>
    </w:p>
    <w:p w:rsidR="000B0B09" w:rsidRPr="00392FFD" w:rsidRDefault="00125707" w:rsidP="0023700C">
      <w:pPr>
        <w:pStyle w:val="InstructionsText2"/>
        <w:numPr>
          <w:ilvl w:val="0"/>
          <w:numId w:val="0"/>
        </w:numPr>
        <w:ind w:left="1353" w:hanging="360"/>
      </w:pPr>
      <w:r>
        <w:t>149.</w:t>
      </w:r>
      <w:r>
        <w:tab/>
        <w:t>Le modèle doit être rempli séparément pour le «Total» et pour une liste st</w:t>
      </w:r>
      <w:r>
        <w:t>a</w:t>
      </w:r>
      <w:r>
        <w:t>tique et prédéfinie de marchés: Bulgarie, Croatie, République tchèque, Dan</w:t>
      </w:r>
      <w:r>
        <w:t>e</w:t>
      </w:r>
      <w:r>
        <w:t>mark, Égypte, Hongrie, Islande, Liechtenstein, Norvège, Pologne, Roumanie, Suède, Royaume-Uni, Albanie, Japon, ancienne République yougoslave de M</w:t>
      </w:r>
      <w:r>
        <w:t>a</w:t>
      </w:r>
      <w:r>
        <w:t>cédoine, Fédération de Russie, Serbie, Suisse, Turquie, Ukraine, États-Unis, zone euro et un modèle supplémentaire pour tous les autres marchés. Aux fins de la présente exigence de déclaration, le terme «marché» signifie «pays» (sauf pour les pays appartenant à la zone euro; voir règlement délégué (UE) nº 525/2014 de la Commission).</w:t>
      </w:r>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590" w:name="_Toc262566431"/>
      <w:bookmarkStart w:id="591" w:name="_Toc295830007"/>
      <w:bookmarkStart w:id="592" w:name="_Toc308426684"/>
      <w:bookmarkStart w:id="593" w:name="_Toc310415068"/>
      <w:bookmarkStart w:id="594" w:name="_Toc360188403"/>
      <w:bookmarkStart w:id="595" w:name="_Toc473561043"/>
      <w:bookmarkStart w:id="596" w:name="_Toc496022354"/>
      <w:r>
        <w:rPr>
          <w:rFonts w:ascii="Times New Roman" w:hAnsi="Times New Roman"/>
          <w:sz w:val="24"/>
          <w:u w:val="none"/>
        </w:rPr>
        <w:t>5.4.2.</w:t>
      </w:r>
      <w:r>
        <w:tab/>
      </w:r>
      <w:r>
        <w:rPr>
          <w:rFonts w:ascii="Times New Roman" w:hAnsi="Times New Roman"/>
          <w:sz w:val="24"/>
        </w:rPr>
        <w:t>Instructions concernant certaines positions</w:t>
      </w:r>
      <w:bookmarkEnd w:id="590"/>
      <w:bookmarkEnd w:id="591"/>
      <w:bookmarkEnd w:id="592"/>
      <w:bookmarkEnd w:id="593"/>
      <w:bookmarkEnd w:id="594"/>
      <w:bookmarkEnd w:id="595"/>
      <w:bookmarkEnd w:id="5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8"/>
        <w:gridCol w:w="7874"/>
      </w:tblGrid>
      <w:tr w:rsidR="000B0B09" w:rsidRPr="00392FFD" w:rsidTr="000B0B09">
        <w:trPr>
          <w:trHeight w:val="626"/>
        </w:trPr>
        <w:tc>
          <w:tcPr>
            <w:tcW w:w="8862" w:type="dxa"/>
            <w:gridSpan w:val="2"/>
            <w:shd w:val="clear" w:color="auto" w:fill="CCCCCC"/>
          </w:tcPr>
          <w:p w:rsidR="000B0B09" w:rsidRPr="00392FFD" w:rsidRDefault="000B0B09" w:rsidP="000B0B09">
            <w:pPr>
              <w:autoSpaceDE w:val="0"/>
              <w:autoSpaceDN w:val="0"/>
              <w:adjustRightInd w:val="0"/>
              <w:spacing w:after="0"/>
              <w:rPr>
                <w:rFonts w:ascii="Times New Roman" w:hAnsi="Times New Roman"/>
                <w:b/>
                <w:sz w:val="24"/>
              </w:rPr>
            </w:pPr>
            <w:r>
              <w:rPr>
                <w:rFonts w:ascii="Times New Roman" w:hAnsi="Times New Roman"/>
                <w:b/>
                <w:sz w:val="24"/>
              </w:rPr>
              <w:t>Colonnes</w:t>
            </w:r>
          </w:p>
        </w:tc>
      </w:tr>
      <w:tr w:rsidR="000B0B09" w:rsidRPr="00392FFD" w:rsidTr="000B0B09">
        <w:tc>
          <w:tcPr>
            <w:tcW w:w="988" w:type="dxa"/>
          </w:tcPr>
          <w:p w:rsidR="000B0B09" w:rsidRPr="00392FFD" w:rsidRDefault="000B0B09" w:rsidP="00B74792">
            <w:pPr>
              <w:autoSpaceDE w:val="0"/>
              <w:autoSpaceDN w:val="0"/>
              <w:adjustRightInd w:val="0"/>
              <w:spacing w:before="0" w:after="0"/>
              <w:rPr>
                <w:rFonts w:ascii="Times New Roman" w:hAnsi="Times New Roman"/>
                <w:sz w:val="24"/>
              </w:rPr>
            </w:pPr>
            <w:r>
              <w:rPr>
                <w:rFonts w:ascii="Times New Roman" w:hAnsi="Times New Roman"/>
                <w:sz w:val="24"/>
              </w:rPr>
              <w:t>010-020</w:t>
            </w:r>
          </w:p>
        </w:tc>
        <w:tc>
          <w:tcPr>
            <w:tcW w:w="787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TOUTES LES POSITIONS (LONGUES ET COURTES)</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 xml:space="preserve">Article 102 et article 105, paragraphe 1, du CRR. Il s’agit de positions brutes qui ne sont pas compensées par des instruments, à l’exclusion des positions de prise ferme souscrites ou reprises par des tiers (article 345, deuxième phrase, du CRR). </w:t>
            </w:r>
          </w:p>
        </w:tc>
      </w:tr>
      <w:tr w:rsidR="000B0B09" w:rsidRPr="00392FFD" w:rsidTr="000B0B09">
        <w:tc>
          <w:tcPr>
            <w:tcW w:w="988" w:type="dxa"/>
          </w:tcPr>
          <w:p w:rsidR="000B0B09" w:rsidRPr="00392FFD" w:rsidRDefault="000B0B09" w:rsidP="00B74792">
            <w:pPr>
              <w:autoSpaceDE w:val="0"/>
              <w:autoSpaceDN w:val="0"/>
              <w:adjustRightInd w:val="0"/>
              <w:spacing w:before="0" w:after="0"/>
              <w:rPr>
                <w:rFonts w:ascii="Times New Roman" w:hAnsi="Times New Roman"/>
                <w:sz w:val="24"/>
              </w:rPr>
            </w:pPr>
            <w:r>
              <w:rPr>
                <w:rFonts w:ascii="Times New Roman" w:hAnsi="Times New Roman"/>
                <w:sz w:val="24"/>
              </w:rPr>
              <w:t xml:space="preserve">030-040 </w:t>
            </w:r>
          </w:p>
        </w:tc>
        <w:tc>
          <w:tcPr>
            <w:tcW w:w="787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POSITIONS NETTES (LONGUES ET COURTES)</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 xml:space="preserve">Articles 327, 329, 332, 341 et 345 du CRR </w:t>
            </w:r>
          </w:p>
        </w:tc>
      </w:tr>
      <w:tr w:rsidR="000B0B09" w:rsidRPr="00392FFD" w:rsidTr="000B0B09">
        <w:tc>
          <w:tcPr>
            <w:tcW w:w="98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050</w:t>
            </w:r>
          </w:p>
        </w:tc>
        <w:tc>
          <w:tcPr>
            <w:tcW w:w="7874" w:type="dxa"/>
          </w:tcPr>
          <w:p w:rsidR="000B0B09" w:rsidRPr="00392FFD" w:rsidRDefault="000B0B09" w:rsidP="000B0B09">
            <w:pPr>
              <w:tabs>
                <w:tab w:val="left" w:pos="5795"/>
              </w:tabs>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POSITIONS SOUMISES AUX EXIGENCES DE FONDS PROPRES</w:t>
            </w:r>
          </w:p>
          <w:p w:rsidR="000B0B09" w:rsidRPr="00392FFD" w:rsidRDefault="000B0B09" w:rsidP="000B0B09">
            <w:pPr>
              <w:tabs>
                <w:tab w:val="left" w:pos="5795"/>
              </w:tabs>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Positions nettes qui, selon les différentes approches envisagées dans la tro</w:t>
            </w:r>
            <w:r>
              <w:rPr>
                <w:rFonts w:ascii="Times New Roman" w:hAnsi="Times New Roman"/>
                <w:sz w:val="24"/>
              </w:rPr>
              <w:t>i</w:t>
            </w:r>
            <w:r>
              <w:rPr>
                <w:rFonts w:ascii="Times New Roman" w:hAnsi="Times New Roman"/>
                <w:sz w:val="24"/>
              </w:rPr>
              <w:t>sième partie, titre IV, chapitre 2 du CRR, reçoivent une exigence de fonds propres. L’exigence de fonds propres doit être calculée séparément pour chaque marché national. Les positions sur des contrats à terme sur indice bou</w:t>
            </w:r>
            <w:r>
              <w:rPr>
                <w:rFonts w:ascii="Times New Roman" w:hAnsi="Times New Roman"/>
                <w:sz w:val="24"/>
              </w:rPr>
              <w:t>r</w:t>
            </w:r>
            <w:r>
              <w:rPr>
                <w:rFonts w:ascii="Times New Roman" w:hAnsi="Times New Roman"/>
                <w:sz w:val="24"/>
              </w:rPr>
              <w:t>sier conformément à l’article 344, paragraphe 4, deuxième phrase, du CRR ne sont pas à inclure dans cette colonne.</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8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lastRenderedPageBreak/>
              <w:t>060</w:t>
            </w:r>
          </w:p>
        </w:tc>
        <w:tc>
          <w:tcPr>
            <w:tcW w:w="7874" w:type="dxa"/>
          </w:tcPr>
          <w:p w:rsidR="000B0B09" w:rsidRPr="00392FFD" w:rsidRDefault="000B0B09" w:rsidP="000B0B09">
            <w:pPr>
              <w:tabs>
                <w:tab w:val="left" w:pos="1665"/>
              </w:tabs>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EXIGENCES DE FONDS PROPRES</w:t>
            </w:r>
          </w:p>
          <w:p w:rsidR="000B0B09" w:rsidRPr="00392FFD" w:rsidRDefault="000B0B09" w:rsidP="000B0B09">
            <w:pPr>
              <w:tabs>
                <w:tab w:val="left" w:pos="1665"/>
              </w:tabs>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Exigences de fonds propres pour toute position pertinente, conformément à la troisième partie, titre IV, chapitre 2 du CRR.</w:t>
            </w:r>
          </w:p>
          <w:p w:rsidR="000B0B09" w:rsidRPr="00392FFD" w:rsidRDefault="000B0B09" w:rsidP="000B0B09">
            <w:pPr>
              <w:tabs>
                <w:tab w:val="left" w:pos="1665"/>
              </w:tabs>
              <w:autoSpaceDE w:val="0"/>
              <w:autoSpaceDN w:val="0"/>
              <w:adjustRightInd w:val="0"/>
              <w:spacing w:before="0" w:after="0"/>
              <w:rPr>
                <w:rFonts w:ascii="Times New Roman" w:hAnsi="Times New Roman"/>
                <w:b/>
                <w:bCs/>
                <w:sz w:val="24"/>
                <w:u w:val="single"/>
              </w:rPr>
            </w:pPr>
          </w:p>
        </w:tc>
      </w:tr>
      <w:tr w:rsidR="000B0B09" w:rsidRPr="00392FFD" w:rsidTr="000B0B09">
        <w:tc>
          <w:tcPr>
            <w:tcW w:w="98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070</w:t>
            </w:r>
          </w:p>
        </w:tc>
        <w:tc>
          <w:tcPr>
            <w:tcW w:w="7874" w:type="dxa"/>
          </w:tcPr>
          <w:p w:rsidR="000B0B09" w:rsidRPr="00392FFD" w:rsidRDefault="000B0B09" w:rsidP="000B0B09">
            <w:pPr>
              <w:tabs>
                <w:tab w:val="left" w:pos="1665"/>
              </w:tabs>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MONTANT TOTAL D'EXPOSITION AU RISQUE</w:t>
            </w:r>
          </w:p>
          <w:p w:rsidR="000B0B09" w:rsidRPr="00392FFD" w:rsidRDefault="000B0B09" w:rsidP="000B0B09">
            <w:pPr>
              <w:tabs>
                <w:tab w:val="left" w:pos="1665"/>
              </w:tabs>
              <w:autoSpaceDE w:val="0"/>
              <w:autoSpaceDN w:val="0"/>
              <w:adjustRightInd w:val="0"/>
              <w:spacing w:before="0" w:after="0"/>
              <w:rPr>
                <w:rFonts w:ascii="Times New Roman" w:hAnsi="Times New Roman"/>
                <w:b/>
                <w:bCs/>
                <w:sz w:val="24"/>
                <w:u w:val="single"/>
              </w:rPr>
            </w:pPr>
          </w:p>
          <w:p w:rsidR="000B0B09" w:rsidRPr="00392FFD" w:rsidRDefault="000B0B09" w:rsidP="000B0B09">
            <w:pPr>
              <w:tabs>
                <w:tab w:val="left" w:pos="1665"/>
              </w:tabs>
              <w:autoSpaceDE w:val="0"/>
              <w:autoSpaceDN w:val="0"/>
              <w:adjustRightInd w:val="0"/>
              <w:spacing w:before="0" w:after="0"/>
              <w:rPr>
                <w:rFonts w:ascii="Times New Roman" w:hAnsi="Times New Roman"/>
                <w:b/>
                <w:bCs/>
                <w:sz w:val="24"/>
                <w:u w:val="single"/>
              </w:rPr>
            </w:pPr>
            <w:r>
              <w:rPr>
                <w:rFonts w:ascii="Times New Roman" w:hAnsi="Times New Roman"/>
                <w:sz w:val="24"/>
              </w:rPr>
              <w:t xml:space="preserve">Article 92, paragraphe 4, point b) du CRR. Résultat de la multiplication par 12,5 des exigences de fonds propres. </w:t>
            </w:r>
          </w:p>
        </w:tc>
      </w:tr>
    </w:tbl>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8204"/>
      </w:tblGrid>
      <w:tr w:rsidR="000B0B09" w:rsidRPr="00392FFD" w:rsidTr="000B0B09">
        <w:trPr>
          <w:trHeight w:val="662"/>
        </w:trPr>
        <w:tc>
          <w:tcPr>
            <w:tcW w:w="9212" w:type="dxa"/>
            <w:gridSpan w:val="2"/>
            <w:shd w:val="clear" w:color="auto" w:fill="CCCCCC"/>
          </w:tcPr>
          <w:p w:rsidR="000B0B09" w:rsidRPr="00392FFD" w:rsidRDefault="000B0B09" w:rsidP="000B0B09">
            <w:pPr>
              <w:autoSpaceDE w:val="0"/>
              <w:autoSpaceDN w:val="0"/>
              <w:adjustRightInd w:val="0"/>
              <w:spacing w:after="0"/>
              <w:rPr>
                <w:rFonts w:ascii="Times New Roman" w:hAnsi="Times New Roman"/>
                <w:b/>
                <w:sz w:val="24"/>
              </w:rPr>
            </w:pPr>
            <w:r>
              <w:rPr>
                <w:rFonts w:ascii="Times New Roman" w:hAnsi="Times New Roman"/>
                <w:b/>
                <w:sz w:val="24"/>
              </w:rPr>
              <w:t>Lignes</w:t>
            </w:r>
          </w:p>
        </w:tc>
      </w:tr>
      <w:tr w:rsidR="000B0B09" w:rsidRPr="00392FFD" w:rsidTr="000B0B09">
        <w:tc>
          <w:tcPr>
            <w:tcW w:w="1008" w:type="dxa"/>
          </w:tcPr>
          <w:p w:rsidR="000B0B09" w:rsidRPr="00392FFD" w:rsidRDefault="000B0B09" w:rsidP="00B74792">
            <w:pPr>
              <w:autoSpaceDE w:val="0"/>
              <w:autoSpaceDN w:val="0"/>
              <w:adjustRightInd w:val="0"/>
              <w:spacing w:before="0" w:after="0"/>
              <w:rPr>
                <w:rFonts w:ascii="Times New Roman" w:hAnsi="Times New Roman"/>
                <w:sz w:val="24"/>
              </w:rPr>
            </w:pPr>
            <w:r>
              <w:rPr>
                <w:rFonts w:ascii="Times New Roman" w:hAnsi="Times New Roman"/>
                <w:sz w:val="24"/>
              </w:rPr>
              <w:t>010-130</w:t>
            </w:r>
          </w:p>
        </w:tc>
        <w:tc>
          <w:tcPr>
            <w:tcW w:w="820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ACTIONS DU PORTEFEUILLE DE NÉGOCIATION</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Exigences de fonds propres pour risque de position, conformément à l’article 92, paragraphe 3, point b) i) du CRR et à la troisième partie, titre IV, chapitre 2, se</w:t>
            </w:r>
            <w:r>
              <w:rPr>
                <w:rFonts w:ascii="Times New Roman" w:hAnsi="Times New Roman"/>
                <w:sz w:val="24"/>
              </w:rPr>
              <w:t>c</w:t>
            </w:r>
            <w:r>
              <w:rPr>
                <w:rFonts w:ascii="Times New Roman" w:hAnsi="Times New Roman"/>
                <w:sz w:val="24"/>
              </w:rPr>
              <w:t>tion 3 du CRR.</w:t>
            </w:r>
          </w:p>
          <w:p w:rsidR="000B0B09" w:rsidRPr="00392FFD" w:rsidRDefault="000B0B09" w:rsidP="000B0B09">
            <w:pPr>
              <w:autoSpaceDE w:val="0"/>
              <w:autoSpaceDN w:val="0"/>
              <w:adjustRightInd w:val="0"/>
              <w:spacing w:before="0" w:after="0"/>
              <w:rPr>
                <w:rFonts w:ascii="Times New Roman" w:hAnsi="Times New Roman"/>
                <w:sz w:val="24"/>
              </w:rPr>
            </w:pPr>
          </w:p>
        </w:tc>
      </w:tr>
      <w:tr w:rsidR="000B0B09" w:rsidRPr="00392FFD" w:rsidTr="000B0B09">
        <w:tc>
          <w:tcPr>
            <w:tcW w:w="1008" w:type="dxa"/>
          </w:tcPr>
          <w:p w:rsidR="000B0B09" w:rsidRPr="00392FFD" w:rsidRDefault="000B0B09" w:rsidP="00B74792">
            <w:pPr>
              <w:autoSpaceDE w:val="0"/>
              <w:autoSpaceDN w:val="0"/>
              <w:adjustRightInd w:val="0"/>
              <w:spacing w:before="0" w:after="0"/>
              <w:rPr>
                <w:rFonts w:ascii="Times New Roman" w:hAnsi="Times New Roman"/>
                <w:sz w:val="24"/>
              </w:rPr>
            </w:pPr>
            <w:r>
              <w:rPr>
                <w:rFonts w:ascii="Times New Roman" w:hAnsi="Times New Roman"/>
                <w:sz w:val="24"/>
              </w:rPr>
              <w:t>020-040</w:t>
            </w:r>
          </w:p>
        </w:tc>
        <w:tc>
          <w:tcPr>
            <w:tcW w:w="820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RISQUE GÉNÉRAL</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Positions sur actions soumises au risque général (article 343 du CRR) et leurs ex</w:t>
            </w:r>
            <w:r>
              <w:rPr>
                <w:rFonts w:ascii="Times New Roman" w:hAnsi="Times New Roman"/>
                <w:sz w:val="24"/>
              </w:rPr>
              <w:t>i</w:t>
            </w:r>
            <w:r>
              <w:rPr>
                <w:rFonts w:ascii="Times New Roman" w:hAnsi="Times New Roman"/>
                <w:sz w:val="24"/>
              </w:rPr>
              <w:t>gences de fonds propres correspondantes, conformément à la troisième partie, titre IV, chapitre 2, section 3 du CRR.</w:t>
            </w: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Les deux ventilations (021/022 ainsi que 030/040) couvrent l’ensemble des pos</w:t>
            </w:r>
            <w:r>
              <w:rPr>
                <w:rFonts w:ascii="Times New Roman" w:hAnsi="Times New Roman"/>
                <w:sz w:val="24"/>
              </w:rPr>
              <w:t>i</w:t>
            </w:r>
            <w:r>
              <w:rPr>
                <w:rFonts w:ascii="Times New Roman" w:hAnsi="Times New Roman"/>
                <w:sz w:val="24"/>
              </w:rPr>
              <w:t xml:space="preserve">tions soumises au risque général. </w:t>
            </w: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 xml:space="preserve">Les lignes 021 et 022 rassemblent des informations sur la répartition en fonction des instruments. Seule la ventilation des lignes 030 et 040 est utilisée comme base de calcul des exigences de fonds propres. </w:t>
            </w:r>
          </w:p>
          <w:p w:rsidR="000B0B09" w:rsidRPr="00392FFD" w:rsidRDefault="000B0B09" w:rsidP="000B0B09">
            <w:pPr>
              <w:autoSpaceDE w:val="0"/>
              <w:autoSpaceDN w:val="0"/>
              <w:adjustRightInd w:val="0"/>
              <w:spacing w:before="0" w:after="0"/>
              <w:rPr>
                <w:rFonts w:ascii="Times New Roman" w:hAnsi="Times New Roman"/>
                <w:sz w:val="24"/>
              </w:rPr>
            </w:pPr>
          </w:p>
        </w:tc>
      </w:tr>
      <w:tr w:rsidR="000B0B09" w:rsidRPr="00392FFD" w:rsidTr="000B0B09">
        <w:tc>
          <w:tcPr>
            <w:tcW w:w="100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021</w:t>
            </w:r>
          </w:p>
        </w:tc>
        <w:tc>
          <w:tcPr>
            <w:tcW w:w="8204"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Dérivés</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sz w:val="24"/>
              </w:rPr>
              <w:t>Dérivés inclus dans le calcul du risque lié aux actions des positions du port</w:t>
            </w:r>
            <w:r>
              <w:rPr>
                <w:rFonts w:ascii="Times New Roman" w:hAnsi="Times New Roman"/>
                <w:sz w:val="24"/>
              </w:rPr>
              <w:t>e</w:t>
            </w:r>
            <w:r>
              <w:rPr>
                <w:rFonts w:ascii="Times New Roman" w:hAnsi="Times New Roman"/>
                <w:sz w:val="24"/>
              </w:rPr>
              <w:t>feuille de négociation, compte tenu des articles 329 et 332, le cas échéant.</w:t>
            </w:r>
          </w:p>
        </w:tc>
      </w:tr>
      <w:tr w:rsidR="000B0B09" w:rsidRPr="00392FFD" w:rsidTr="000B0B09">
        <w:tc>
          <w:tcPr>
            <w:tcW w:w="100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022</w:t>
            </w:r>
          </w:p>
        </w:tc>
        <w:tc>
          <w:tcPr>
            <w:tcW w:w="8204"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Autres éléments d’actif et de passif</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 xml:space="preserve">Instruments autres que des dérivés inclus dans le calcul du risque lié aux actions des positions du portefeuille de négociation. </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100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030</w:t>
            </w:r>
          </w:p>
        </w:tc>
        <w:tc>
          <w:tcPr>
            <w:tcW w:w="820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Contrats à terme sur indice boursier largement diversifiés, négociés en bourse, et faisant l’objet d’une approche spécifique</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Contrats à terme sur indice boursier largement diversifiés négociés sur un marché boursier et soumis à une approche particulière, conformément à l'article 344, par</w:t>
            </w:r>
            <w:r>
              <w:rPr>
                <w:rFonts w:ascii="Times New Roman" w:hAnsi="Times New Roman"/>
                <w:sz w:val="24"/>
              </w:rPr>
              <w:t>a</w:t>
            </w:r>
            <w:r>
              <w:rPr>
                <w:rFonts w:ascii="Times New Roman" w:hAnsi="Times New Roman"/>
                <w:sz w:val="24"/>
              </w:rPr>
              <w:t>graphes 1 et 4, du CRR. Ces positions sont soumises au seul risque général et ne doivent donc pas être déclarées à la ligne 050.</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100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040</w:t>
            </w:r>
          </w:p>
        </w:tc>
        <w:tc>
          <w:tcPr>
            <w:tcW w:w="820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Actions différentes d’un contrat à terme sur indice boursier largement dive</w:t>
            </w:r>
            <w:r>
              <w:rPr>
                <w:rFonts w:ascii="Times New Roman" w:hAnsi="Times New Roman"/>
                <w:b/>
                <w:sz w:val="24"/>
                <w:u w:val="single"/>
              </w:rPr>
              <w:t>r</w:t>
            </w:r>
            <w:r>
              <w:rPr>
                <w:rFonts w:ascii="Times New Roman" w:hAnsi="Times New Roman"/>
                <w:b/>
                <w:sz w:val="24"/>
                <w:u w:val="single"/>
              </w:rPr>
              <w:lastRenderedPageBreak/>
              <w:t>sifié, négocié en bourse</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Autres positions sur actions soumises au risque spécifique, et leurs exigences de fonds propres correspondantes, conformément à l’article 343 et à l’article 344, p</w:t>
            </w:r>
            <w:r>
              <w:rPr>
                <w:rFonts w:ascii="Times New Roman" w:hAnsi="Times New Roman"/>
                <w:sz w:val="24"/>
              </w:rPr>
              <w:t>a</w:t>
            </w:r>
            <w:r>
              <w:rPr>
                <w:rFonts w:ascii="Times New Roman" w:hAnsi="Times New Roman"/>
                <w:sz w:val="24"/>
              </w:rPr>
              <w:t xml:space="preserve">ragraphe 3, du CRR. </w:t>
            </w:r>
          </w:p>
        </w:tc>
      </w:tr>
      <w:tr w:rsidR="000B0B09" w:rsidRPr="00392FFD" w:rsidTr="000B0B09">
        <w:tc>
          <w:tcPr>
            <w:tcW w:w="1008" w:type="dxa"/>
          </w:tcPr>
          <w:p w:rsidR="000B0B09" w:rsidRPr="00392FFD" w:rsidRDefault="000B0B09" w:rsidP="00B74792">
            <w:pPr>
              <w:autoSpaceDE w:val="0"/>
              <w:autoSpaceDN w:val="0"/>
              <w:adjustRightInd w:val="0"/>
              <w:spacing w:before="0" w:after="0"/>
              <w:rPr>
                <w:rFonts w:ascii="Times New Roman" w:hAnsi="Times New Roman"/>
                <w:sz w:val="24"/>
              </w:rPr>
            </w:pPr>
            <w:r>
              <w:rPr>
                <w:rFonts w:ascii="Times New Roman" w:hAnsi="Times New Roman"/>
                <w:sz w:val="24"/>
              </w:rPr>
              <w:lastRenderedPageBreak/>
              <w:t xml:space="preserve">050 </w:t>
            </w:r>
          </w:p>
        </w:tc>
        <w:tc>
          <w:tcPr>
            <w:tcW w:w="820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RISQUE SPÉCIFIQUE</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Positions sur actions soumises au risque spécifique, et leurs exigences de fonds propres correspondantes, conformément à l’article 342 et à l’article 344, par</w:t>
            </w:r>
            <w:r>
              <w:rPr>
                <w:rFonts w:ascii="Times New Roman" w:hAnsi="Times New Roman"/>
                <w:sz w:val="24"/>
              </w:rPr>
              <w:t>a</w:t>
            </w:r>
            <w:r>
              <w:rPr>
                <w:rFonts w:ascii="Times New Roman" w:hAnsi="Times New Roman"/>
                <w:sz w:val="24"/>
              </w:rPr>
              <w:t xml:space="preserve">graphe 4, du CRR. </w:t>
            </w:r>
          </w:p>
          <w:p w:rsidR="000B0B09" w:rsidRPr="00392FFD" w:rsidRDefault="000B0B09" w:rsidP="000B0B09">
            <w:pPr>
              <w:autoSpaceDE w:val="0"/>
              <w:autoSpaceDN w:val="0"/>
              <w:adjustRightInd w:val="0"/>
              <w:spacing w:before="0" w:after="0"/>
              <w:rPr>
                <w:rFonts w:ascii="Times New Roman" w:hAnsi="Times New Roman"/>
                <w:sz w:val="24"/>
              </w:rPr>
            </w:pPr>
          </w:p>
        </w:tc>
      </w:tr>
      <w:tr w:rsidR="000B0B09" w:rsidRPr="00392FFD" w:rsidTr="000B0B09">
        <w:tc>
          <w:tcPr>
            <w:tcW w:w="1008" w:type="dxa"/>
          </w:tcPr>
          <w:p w:rsidR="000B0B09" w:rsidRPr="00392FFD" w:rsidRDefault="000B0B09" w:rsidP="00B74792">
            <w:pPr>
              <w:autoSpaceDE w:val="0"/>
              <w:autoSpaceDN w:val="0"/>
              <w:adjustRightInd w:val="0"/>
              <w:spacing w:before="0" w:after="0"/>
              <w:rPr>
                <w:rFonts w:ascii="Times New Roman" w:hAnsi="Times New Roman"/>
                <w:sz w:val="24"/>
              </w:rPr>
            </w:pPr>
            <w:r>
              <w:rPr>
                <w:rFonts w:ascii="Times New Roman" w:hAnsi="Times New Roman"/>
                <w:sz w:val="24"/>
              </w:rPr>
              <w:t>090-130</w:t>
            </w:r>
          </w:p>
        </w:tc>
        <w:tc>
          <w:tcPr>
            <w:tcW w:w="820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Style w:val="InstructionsTabelleberschrift"/>
                <w:rFonts w:ascii="Times New Roman" w:hAnsi="Times New Roman"/>
                <w:sz w:val="24"/>
              </w:rPr>
              <w:t>EXIGENCES SUPPLÉMENTAIRES POUR RISQUES SUR OPTIONS (RISQUES NON DELTA)</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 xml:space="preserve">Article 329, paragraphes 2 et 3, du CRR </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Les exigences supplémentaires pour les options liées aux risques autres que le risque delta seront déclarées dans la méthode appliquée pour leur calcul.</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p>
        </w:tc>
      </w:tr>
    </w:tbl>
    <w:p w:rsidR="000B0B09" w:rsidRPr="00392FFD" w:rsidRDefault="000B0B09" w:rsidP="000B0B09">
      <w:pPr>
        <w:autoSpaceDE w:val="0"/>
        <w:autoSpaceDN w:val="0"/>
        <w:adjustRightInd w:val="0"/>
        <w:spacing w:before="0" w:after="0"/>
        <w:rPr>
          <w:rFonts w:ascii="Times New Roman" w:hAnsi="Times New Roman"/>
          <w:bCs/>
          <w:sz w:val="24"/>
        </w:rPr>
      </w:pPr>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597" w:name="_Toc262566432"/>
      <w:bookmarkStart w:id="598" w:name="_Toc295830008"/>
      <w:bookmarkStart w:id="599" w:name="_Toc308426685"/>
      <w:bookmarkStart w:id="600" w:name="_Toc310415069"/>
      <w:bookmarkStart w:id="601" w:name="_Toc360188404"/>
      <w:bookmarkStart w:id="602" w:name="_Toc473561044"/>
      <w:bookmarkStart w:id="603" w:name="_Toc496022355"/>
      <w:r>
        <w:rPr>
          <w:rFonts w:ascii="Times New Roman" w:hAnsi="Times New Roman"/>
          <w:sz w:val="24"/>
          <w:u w:val="none"/>
        </w:rPr>
        <w:t>5.5.</w:t>
      </w:r>
      <w:r>
        <w:tab/>
      </w:r>
      <w:r>
        <w:rPr>
          <w:rFonts w:ascii="Times New Roman" w:hAnsi="Times New Roman"/>
          <w:sz w:val="24"/>
        </w:rPr>
        <w:t>C 22.00 - Risque de marché: approches standard du risque de change</w:t>
      </w:r>
      <w:bookmarkEnd w:id="597"/>
      <w:bookmarkEnd w:id="598"/>
      <w:bookmarkEnd w:id="599"/>
      <w:bookmarkEnd w:id="600"/>
      <w:bookmarkEnd w:id="601"/>
      <w:r>
        <w:rPr>
          <w:rFonts w:ascii="Times New Roman" w:hAnsi="Times New Roman"/>
          <w:sz w:val="24"/>
        </w:rPr>
        <w:t xml:space="preserve"> (MKR SA FX)</w:t>
      </w:r>
      <w:bookmarkEnd w:id="602"/>
      <w:bookmarkEnd w:id="603"/>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604" w:name="_Toc262566433"/>
      <w:bookmarkStart w:id="605" w:name="_Toc295830009"/>
      <w:bookmarkStart w:id="606" w:name="_Toc308426686"/>
      <w:bookmarkStart w:id="607" w:name="_Toc310415070"/>
      <w:bookmarkStart w:id="608" w:name="_Toc360188405"/>
      <w:bookmarkStart w:id="609" w:name="_Toc473561045"/>
      <w:bookmarkStart w:id="610" w:name="_Toc496022356"/>
      <w:r>
        <w:rPr>
          <w:rFonts w:ascii="Times New Roman" w:hAnsi="Times New Roman"/>
          <w:sz w:val="24"/>
          <w:u w:val="none"/>
        </w:rPr>
        <w:t>5.5.1.</w:t>
      </w:r>
      <w:r>
        <w:tab/>
      </w:r>
      <w:r>
        <w:rPr>
          <w:rFonts w:ascii="Times New Roman" w:hAnsi="Times New Roman"/>
          <w:sz w:val="24"/>
        </w:rPr>
        <w:t>Remarques générales</w:t>
      </w:r>
      <w:bookmarkEnd w:id="604"/>
      <w:bookmarkEnd w:id="605"/>
      <w:bookmarkEnd w:id="606"/>
      <w:bookmarkEnd w:id="607"/>
      <w:bookmarkEnd w:id="608"/>
      <w:bookmarkEnd w:id="609"/>
      <w:bookmarkEnd w:id="610"/>
    </w:p>
    <w:p w:rsidR="00F71DF2" w:rsidRPr="00392FFD" w:rsidRDefault="00125707" w:rsidP="0023700C">
      <w:pPr>
        <w:pStyle w:val="InstructionsText2"/>
        <w:numPr>
          <w:ilvl w:val="0"/>
          <w:numId w:val="0"/>
        </w:numPr>
        <w:ind w:left="1353" w:hanging="360"/>
      </w:pPr>
      <w:r>
        <w:t>150.</w:t>
      </w:r>
      <w:r>
        <w:tab/>
        <w:t>Les établissements déclarent des informations sur les positions dans chaque devise (y compris celle de la déclaration) et les exigences de fonds propres co</w:t>
      </w:r>
      <w:r>
        <w:t>r</w:t>
      </w:r>
      <w:r>
        <w:t xml:space="preserve">respondantes pour risque de change selon l’approche standard. La position est calculée pour chaque devise (y compris l’euro), l’or et les positions sur OPC. </w:t>
      </w:r>
    </w:p>
    <w:p w:rsidR="000B0B09" w:rsidRPr="00392FFD" w:rsidRDefault="00125707" w:rsidP="0023700C">
      <w:pPr>
        <w:pStyle w:val="InstructionsText2"/>
        <w:numPr>
          <w:ilvl w:val="0"/>
          <w:numId w:val="0"/>
        </w:numPr>
        <w:ind w:left="1353" w:hanging="360"/>
      </w:pPr>
      <w:r>
        <w:t>151.</w:t>
      </w:r>
      <w:r>
        <w:tab/>
        <w:t>Les lignes 100 à 480 de ce modèle sont complétées même lorsque les établi</w:t>
      </w:r>
      <w:r>
        <w:t>s</w:t>
      </w:r>
      <w:r>
        <w:t>sements ne sont pas tenus de calculer les exigences de fonds propres pour risque de change conformément à l’article 351 du CRR. Dans ces postes pour m</w:t>
      </w:r>
      <w:r>
        <w:t>é</w:t>
      </w:r>
      <w:r>
        <w:t>moire, toutes les positions dans la devise de la déclaration sont incluses, quelle que soit la mesure dans laquelle elles sont prises en compte aux fins de l’article 354 du CRR Les lignes 130 à 480 des postes pour mémoire du modèle seront remplies séparément pour toutes les devises des États membres de l'Union e</w:t>
      </w:r>
      <w:r>
        <w:t>u</w:t>
      </w:r>
      <w:r>
        <w:t>ropéenne et pour les devises suivantes: USD, CHF, JPY, RUB, TRY, AUD, CAD, RSD, ALL, UAH, MKD, EGP, ARS, BRL, MXN, HKD, ICK, TWD, NZD, NOK, SGD, KRW, CNY et toutes les autres devises.</w:t>
      </w:r>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611" w:name="_Toc262566434"/>
      <w:bookmarkStart w:id="612" w:name="_Toc295830010"/>
      <w:bookmarkStart w:id="613" w:name="_Toc308426687"/>
      <w:bookmarkStart w:id="614" w:name="_Toc310415071"/>
      <w:bookmarkStart w:id="615" w:name="_Toc360188406"/>
      <w:bookmarkStart w:id="616" w:name="_Toc473561046"/>
      <w:bookmarkStart w:id="617" w:name="_Toc496022357"/>
      <w:r>
        <w:rPr>
          <w:rFonts w:ascii="Times New Roman" w:hAnsi="Times New Roman"/>
          <w:sz w:val="24"/>
          <w:u w:val="none"/>
        </w:rPr>
        <w:t>5.5.2.</w:t>
      </w:r>
      <w:r>
        <w:tab/>
      </w:r>
      <w:r>
        <w:rPr>
          <w:rFonts w:ascii="Times New Roman" w:hAnsi="Times New Roman"/>
          <w:sz w:val="24"/>
        </w:rPr>
        <w:t>Instructions concernant certaines positions</w:t>
      </w:r>
      <w:bookmarkEnd w:id="611"/>
      <w:bookmarkEnd w:id="612"/>
      <w:bookmarkEnd w:id="613"/>
      <w:bookmarkEnd w:id="614"/>
      <w:bookmarkEnd w:id="615"/>
      <w:bookmarkEnd w:id="616"/>
      <w:bookmarkEnd w:id="6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8"/>
        <w:gridCol w:w="7874"/>
      </w:tblGrid>
      <w:tr w:rsidR="000B0B09" w:rsidRPr="00392FFD" w:rsidTr="000B0B09">
        <w:trPr>
          <w:trHeight w:val="595"/>
        </w:trPr>
        <w:tc>
          <w:tcPr>
            <w:tcW w:w="8862" w:type="dxa"/>
            <w:gridSpan w:val="2"/>
            <w:shd w:val="clear" w:color="auto" w:fill="CCCCCC"/>
          </w:tcPr>
          <w:p w:rsidR="000B0B09" w:rsidRPr="00392FFD" w:rsidRDefault="000B0B09" w:rsidP="000B0B09">
            <w:pPr>
              <w:autoSpaceDE w:val="0"/>
              <w:autoSpaceDN w:val="0"/>
              <w:adjustRightInd w:val="0"/>
              <w:spacing w:after="0"/>
              <w:rPr>
                <w:rFonts w:ascii="Times New Roman" w:hAnsi="Times New Roman"/>
                <w:b/>
                <w:sz w:val="24"/>
              </w:rPr>
            </w:pPr>
            <w:r>
              <w:rPr>
                <w:rFonts w:ascii="Times New Roman" w:hAnsi="Times New Roman"/>
                <w:b/>
                <w:sz w:val="24"/>
              </w:rPr>
              <w:t>Colonnes</w:t>
            </w:r>
          </w:p>
        </w:tc>
      </w:tr>
      <w:tr w:rsidR="000B0B09" w:rsidRPr="00392FFD" w:rsidTr="000B0B09">
        <w:tc>
          <w:tcPr>
            <w:tcW w:w="98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020-030</w:t>
            </w:r>
          </w:p>
          <w:p w:rsidR="000B0B09" w:rsidRPr="00392FFD" w:rsidRDefault="000B0B09" w:rsidP="000B0B09">
            <w:pPr>
              <w:autoSpaceDE w:val="0"/>
              <w:autoSpaceDN w:val="0"/>
              <w:adjustRightInd w:val="0"/>
              <w:spacing w:before="0" w:after="0"/>
              <w:rPr>
                <w:rFonts w:ascii="Times New Roman" w:hAnsi="Times New Roman"/>
                <w:sz w:val="24"/>
              </w:rPr>
            </w:pPr>
          </w:p>
        </w:tc>
        <w:tc>
          <w:tcPr>
            <w:tcW w:w="787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TOUTES LES POSITIONS (LONGUES ET COURTES)</w:t>
            </w:r>
          </w:p>
          <w:p w:rsidR="000B0B09" w:rsidRPr="00392FFD" w:rsidRDefault="000B0B09" w:rsidP="00283B5F">
            <w:pPr>
              <w:autoSpaceDE w:val="0"/>
              <w:autoSpaceDN w:val="0"/>
              <w:adjustRightInd w:val="0"/>
              <w:spacing w:before="0" w:after="0"/>
              <w:rPr>
                <w:rFonts w:ascii="Times New Roman" w:hAnsi="Times New Roman"/>
                <w:sz w:val="24"/>
              </w:rPr>
            </w:pPr>
          </w:p>
          <w:p w:rsidR="000B0B09" w:rsidRPr="00392FFD" w:rsidRDefault="000B0B09" w:rsidP="00D1690D">
            <w:pPr>
              <w:autoSpaceDE w:val="0"/>
              <w:autoSpaceDN w:val="0"/>
              <w:adjustRightInd w:val="0"/>
              <w:spacing w:before="0" w:after="0"/>
              <w:rPr>
                <w:rFonts w:ascii="Times New Roman" w:hAnsi="Times New Roman"/>
                <w:sz w:val="24"/>
              </w:rPr>
            </w:pPr>
            <w:r>
              <w:rPr>
                <w:rFonts w:ascii="Times New Roman" w:hAnsi="Times New Roman"/>
                <w:sz w:val="24"/>
              </w:rPr>
              <w:t xml:space="preserve">Positions brutes dues à des éléments d’actif, des montants à recevoir et des </w:t>
            </w:r>
            <w:r>
              <w:rPr>
                <w:rFonts w:ascii="Times New Roman" w:hAnsi="Times New Roman"/>
                <w:sz w:val="24"/>
              </w:rPr>
              <w:lastRenderedPageBreak/>
              <w:t>éléments similaires visés à l’article 352, paragraphe 1, du CRR. Conform</w:t>
            </w:r>
            <w:r>
              <w:rPr>
                <w:rFonts w:ascii="Times New Roman" w:hAnsi="Times New Roman"/>
                <w:sz w:val="24"/>
              </w:rPr>
              <w:t>é</w:t>
            </w:r>
            <w:r>
              <w:rPr>
                <w:rFonts w:ascii="Times New Roman" w:hAnsi="Times New Roman"/>
                <w:sz w:val="24"/>
              </w:rPr>
              <w:t>ment à l’article 352, paragraphe 2, et sous réserve de l’autorisation des autorités compétentes, ne seront pas déclarées les positions prises en tant que co</w:t>
            </w:r>
            <w:r>
              <w:rPr>
                <w:rFonts w:ascii="Times New Roman" w:hAnsi="Times New Roman"/>
                <w:sz w:val="24"/>
              </w:rPr>
              <w:t>u</w:t>
            </w:r>
            <w:r>
              <w:rPr>
                <w:rFonts w:ascii="Times New Roman" w:hAnsi="Times New Roman"/>
                <w:sz w:val="24"/>
              </w:rPr>
              <w:t>verture contre l’effet négatif des taux de change sur leurs ratios conformément à l’article 92, paragraphe 1, et les positions liées à des éléments déjà d</w:t>
            </w:r>
            <w:r>
              <w:rPr>
                <w:rFonts w:ascii="Times New Roman" w:hAnsi="Times New Roman"/>
                <w:sz w:val="24"/>
              </w:rPr>
              <w:t>é</w:t>
            </w:r>
            <w:r>
              <w:rPr>
                <w:rFonts w:ascii="Times New Roman" w:hAnsi="Times New Roman"/>
                <w:sz w:val="24"/>
              </w:rPr>
              <w:t>duits dans le calcul des fonds propres.</w:t>
            </w:r>
          </w:p>
          <w:p w:rsidR="000B0B09" w:rsidRPr="00392FFD" w:rsidRDefault="000B0B09" w:rsidP="000B0B09">
            <w:pPr>
              <w:autoSpaceDE w:val="0"/>
              <w:autoSpaceDN w:val="0"/>
              <w:adjustRightInd w:val="0"/>
              <w:spacing w:before="0" w:after="0"/>
              <w:rPr>
                <w:rFonts w:ascii="Times New Roman" w:hAnsi="Times New Roman"/>
                <w:sz w:val="24"/>
              </w:rPr>
            </w:pPr>
          </w:p>
        </w:tc>
      </w:tr>
      <w:tr w:rsidR="000B0B09" w:rsidRPr="00392FFD" w:rsidTr="000B0B09">
        <w:tc>
          <w:tcPr>
            <w:tcW w:w="988" w:type="dxa"/>
          </w:tcPr>
          <w:p w:rsidR="000B0B09" w:rsidRPr="00392FFD" w:rsidRDefault="000B0B09" w:rsidP="00B74792">
            <w:pPr>
              <w:autoSpaceDE w:val="0"/>
              <w:autoSpaceDN w:val="0"/>
              <w:adjustRightInd w:val="0"/>
              <w:spacing w:before="0" w:after="0"/>
              <w:rPr>
                <w:rFonts w:ascii="Times New Roman" w:hAnsi="Times New Roman"/>
                <w:sz w:val="24"/>
              </w:rPr>
            </w:pPr>
            <w:r>
              <w:rPr>
                <w:rFonts w:ascii="Times New Roman" w:hAnsi="Times New Roman"/>
                <w:sz w:val="24"/>
              </w:rPr>
              <w:lastRenderedPageBreak/>
              <w:t>040-050</w:t>
            </w:r>
          </w:p>
        </w:tc>
        <w:tc>
          <w:tcPr>
            <w:tcW w:w="787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POSITIONS NETTES (LONGUES ET COURTES)</w:t>
            </w:r>
          </w:p>
          <w:p w:rsidR="000B0B09" w:rsidRPr="00392FFD" w:rsidRDefault="000B0B09" w:rsidP="000B0B09">
            <w:pPr>
              <w:autoSpaceDE w:val="0"/>
              <w:autoSpaceDN w:val="0"/>
              <w:adjustRightInd w:val="0"/>
              <w:spacing w:before="0" w:after="0"/>
              <w:rPr>
                <w:rFonts w:ascii="Times New Roman" w:hAnsi="Times New Roman"/>
                <w:sz w:val="24"/>
              </w:rPr>
            </w:pPr>
          </w:p>
          <w:p w:rsidR="00283B5F"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Article 352, paragraphe 3, article 352, paragraphe 4, première et deuxième phrases, et article 353 du CRR.</w:t>
            </w: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Les positions nettes étant calculées pour chaque devise, il se peut qu’il y ait s</w:t>
            </w:r>
            <w:r>
              <w:rPr>
                <w:rFonts w:ascii="Times New Roman" w:hAnsi="Times New Roman"/>
                <w:sz w:val="24"/>
              </w:rPr>
              <w:t>i</w:t>
            </w:r>
            <w:r>
              <w:rPr>
                <w:rFonts w:ascii="Times New Roman" w:hAnsi="Times New Roman"/>
                <w:sz w:val="24"/>
              </w:rPr>
              <w:t xml:space="preserve">multanément des positions longues et courtes. </w:t>
            </w:r>
          </w:p>
          <w:p w:rsidR="000B0B09" w:rsidRPr="00392FFD" w:rsidRDefault="000B0B09" w:rsidP="000B0B09">
            <w:pPr>
              <w:autoSpaceDE w:val="0"/>
              <w:autoSpaceDN w:val="0"/>
              <w:adjustRightInd w:val="0"/>
              <w:spacing w:before="0" w:after="0"/>
              <w:rPr>
                <w:rFonts w:ascii="Times New Roman" w:hAnsi="Times New Roman"/>
                <w:sz w:val="24"/>
              </w:rPr>
            </w:pPr>
          </w:p>
        </w:tc>
      </w:tr>
      <w:tr w:rsidR="000B0B09" w:rsidRPr="00392FFD" w:rsidTr="000B0B09">
        <w:tc>
          <w:tcPr>
            <w:tcW w:w="98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060-080</w:t>
            </w:r>
          </w:p>
        </w:tc>
        <w:tc>
          <w:tcPr>
            <w:tcW w:w="787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POSITIONS SOUMISES AUX EXIGENCES DE FONDS PROPRES</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 xml:space="preserve">Article 352, paragraphe 4, troisième phrase, et articles 353 et 354 du CRR </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8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060-070</w:t>
            </w:r>
          </w:p>
        </w:tc>
        <w:tc>
          <w:tcPr>
            <w:tcW w:w="7874"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b/>
                <w:sz w:val="24"/>
                <w:u w:val="single"/>
              </w:rPr>
              <w:t>POSITIONS SOUMISES AUX EXIGENCES DE FONDS PROPRES (LONGUES ET COURTES)</w:t>
            </w: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On calcule les positions nettes courtes et longues pour chaque devise en dédu</w:t>
            </w:r>
            <w:r>
              <w:rPr>
                <w:rFonts w:ascii="Times New Roman" w:hAnsi="Times New Roman"/>
                <w:sz w:val="24"/>
              </w:rPr>
              <w:t>i</w:t>
            </w:r>
            <w:r>
              <w:rPr>
                <w:rFonts w:ascii="Times New Roman" w:hAnsi="Times New Roman"/>
                <w:sz w:val="24"/>
              </w:rPr>
              <w:t>sant le total des positions courtes du total des positions longues.</w:t>
            </w: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Les positions nettes longues pour chaque opération dans une devise sont add</w:t>
            </w:r>
            <w:r>
              <w:rPr>
                <w:rFonts w:ascii="Times New Roman" w:hAnsi="Times New Roman"/>
                <w:sz w:val="24"/>
              </w:rPr>
              <w:t>i</w:t>
            </w:r>
            <w:r>
              <w:rPr>
                <w:rFonts w:ascii="Times New Roman" w:hAnsi="Times New Roman"/>
                <w:sz w:val="24"/>
              </w:rPr>
              <w:t>tionnées pour obtenir la position nette longue dans cette devise.</w:t>
            </w: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Les positions nettes courtes pour chaque opération dans une devise sont add</w:t>
            </w:r>
            <w:r>
              <w:rPr>
                <w:rFonts w:ascii="Times New Roman" w:hAnsi="Times New Roman"/>
                <w:sz w:val="24"/>
              </w:rPr>
              <w:t>i</w:t>
            </w:r>
            <w:r>
              <w:rPr>
                <w:rFonts w:ascii="Times New Roman" w:hAnsi="Times New Roman"/>
                <w:sz w:val="24"/>
              </w:rPr>
              <w:t>tionnées pour obtenir la position nette courte dans cette devise.</w:t>
            </w:r>
          </w:p>
          <w:p w:rsidR="000B0B09" w:rsidRPr="00392FFD" w:rsidRDefault="000B0B09" w:rsidP="00283B5F">
            <w:pPr>
              <w:autoSpaceDE w:val="0"/>
              <w:autoSpaceDN w:val="0"/>
              <w:adjustRightInd w:val="0"/>
              <w:spacing w:before="0" w:after="0"/>
              <w:rPr>
                <w:rFonts w:ascii="Times New Roman" w:hAnsi="Times New Roman"/>
                <w:sz w:val="24"/>
              </w:rPr>
            </w:pPr>
            <w:r>
              <w:rPr>
                <w:rFonts w:ascii="Times New Roman" w:hAnsi="Times New Roman"/>
                <w:sz w:val="24"/>
              </w:rPr>
              <w:t>Les positions non compensées dans des devises différentes de celle de la décl</w:t>
            </w:r>
            <w:r>
              <w:rPr>
                <w:rFonts w:ascii="Times New Roman" w:hAnsi="Times New Roman"/>
                <w:sz w:val="24"/>
              </w:rPr>
              <w:t>a</w:t>
            </w:r>
            <w:r>
              <w:rPr>
                <w:rFonts w:ascii="Times New Roman" w:hAnsi="Times New Roman"/>
                <w:sz w:val="24"/>
              </w:rPr>
              <w:t>ration sont ajoutées aux positions soumises aux exigences de fonds propres pour les autres devises (ligne 030) dans la colonne (060) ou (070), selon qu’il s’agit de positions longues ou courtes.</w:t>
            </w:r>
          </w:p>
          <w:p w:rsidR="00DE48EF" w:rsidRPr="00392FFD" w:rsidRDefault="00DE48EF" w:rsidP="00283B5F">
            <w:pPr>
              <w:autoSpaceDE w:val="0"/>
              <w:autoSpaceDN w:val="0"/>
              <w:adjustRightInd w:val="0"/>
              <w:spacing w:before="0" w:after="0"/>
              <w:rPr>
                <w:rFonts w:ascii="Times New Roman" w:hAnsi="Times New Roman"/>
                <w:b/>
                <w:bCs/>
                <w:sz w:val="24"/>
                <w:u w:val="single"/>
              </w:rPr>
            </w:pPr>
          </w:p>
        </w:tc>
      </w:tr>
      <w:tr w:rsidR="000B0B09" w:rsidRPr="00392FFD" w:rsidTr="000B0B09">
        <w:tc>
          <w:tcPr>
            <w:tcW w:w="98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080</w:t>
            </w:r>
          </w:p>
        </w:tc>
        <w:tc>
          <w:tcPr>
            <w:tcW w:w="787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POSITIONS SOUMISES AUX EXIGENCES DE FONDS PROPRES (COMPENSÉES)</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Positions compensées pour des devises étroitement corrélées.</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88" w:type="dxa"/>
          </w:tcPr>
          <w:p w:rsidR="000B0B09" w:rsidRPr="00392FFD" w:rsidRDefault="000B0B09" w:rsidP="000B0B09">
            <w:pPr>
              <w:autoSpaceDE w:val="0"/>
              <w:autoSpaceDN w:val="0"/>
              <w:adjustRightInd w:val="0"/>
              <w:spacing w:before="0" w:after="0"/>
              <w:rPr>
                <w:rFonts w:ascii="Times New Roman" w:hAnsi="Times New Roman"/>
                <w:sz w:val="24"/>
              </w:rPr>
            </w:pPr>
          </w:p>
        </w:tc>
        <w:tc>
          <w:tcPr>
            <w:tcW w:w="787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EXIGENCES DE FONDS PROPRES POUR RISQUES (%)</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Comme défini dans les articles 351 et 354, les exigences de fonds propres pour risques sont exprimées en pour cent.</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8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090</w:t>
            </w:r>
          </w:p>
        </w:tc>
        <w:tc>
          <w:tcPr>
            <w:tcW w:w="7874"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EXIGENCES DE FONDS PROPRES</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 xml:space="preserve">Exigences de fonds propres pour toute position pertinente, conformément à la troisième partie, titre IV, chapitre 3 du CRR. </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88"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100</w:t>
            </w:r>
          </w:p>
        </w:tc>
        <w:tc>
          <w:tcPr>
            <w:tcW w:w="7874" w:type="dxa"/>
          </w:tcPr>
          <w:p w:rsidR="000B0B09" w:rsidRPr="00392FFD" w:rsidRDefault="000B0B09" w:rsidP="000B0B09">
            <w:pPr>
              <w:tabs>
                <w:tab w:val="left" w:pos="1665"/>
              </w:tabs>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MONTANT TOTAL D'EXPOSITION AU RISQUE</w:t>
            </w:r>
          </w:p>
          <w:p w:rsidR="000B0B09" w:rsidRPr="00392FFD" w:rsidRDefault="000B0B09" w:rsidP="000B0B09">
            <w:pPr>
              <w:tabs>
                <w:tab w:val="left" w:pos="1665"/>
              </w:tabs>
              <w:autoSpaceDE w:val="0"/>
              <w:autoSpaceDN w:val="0"/>
              <w:adjustRightInd w:val="0"/>
              <w:spacing w:before="0" w:after="0"/>
              <w:rPr>
                <w:rFonts w:ascii="Times New Roman" w:hAnsi="Times New Roman"/>
                <w:b/>
                <w:bCs/>
                <w:sz w:val="24"/>
                <w:u w:val="single"/>
              </w:rPr>
            </w:pPr>
          </w:p>
          <w:p w:rsidR="000B0B09" w:rsidRPr="00392FFD" w:rsidRDefault="000B0B09" w:rsidP="000B0B09">
            <w:pPr>
              <w:tabs>
                <w:tab w:val="left" w:pos="1665"/>
              </w:tabs>
              <w:autoSpaceDE w:val="0"/>
              <w:autoSpaceDN w:val="0"/>
              <w:adjustRightInd w:val="0"/>
              <w:spacing w:before="0" w:after="0"/>
              <w:rPr>
                <w:rFonts w:ascii="Times New Roman" w:hAnsi="Times New Roman"/>
                <w:sz w:val="24"/>
              </w:rPr>
            </w:pPr>
            <w:r>
              <w:rPr>
                <w:rFonts w:ascii="Times New Roman" w:hAnsi="Times New Roman"/>
                <w:sz w:val="24"/>
              </w:rPr>
              <w:t xml:space="preserve">Article 92, paragraphe 4, point b) du CRR. Résultat de la multiplication par 12,5 des exigences de fonds propres. </w:t>
            </w:r>
          </w:p>
          <w:p w:rsidR="00DE48EF" w:rsidRPr="00392FFD" w:rsidRDefault="00DE48EF" w:rsidP="000B0B09">
            <w:pPr>
              <w:tabs>
                <w:tab w:val="left" w:pos="1665"/>
              </w:tabs>
              <w:autoSpaceDE w:val="0"/>
              <w:autoSpaceDN w:val="0"/>
              <w:adjustRightInd w:val="0"/>
              <w:spacing w:before="0" w:after="0"/>
              <w:rPr>
                <w:rFonts w:ascii="Times New Roman" w:hAnsi="Times New Roman"/>
                <w:b/>
                <w:bCs/>
                <w:sz w:val="24"/>
                <w:u w:val="single"/>
              </w:rPr>
            </w:pPr>
          </w:p>
        </w:tc>
      </w:tr>
    </w:tbl>
    <w:p w:rsidR="000B0B09" w:rsidRPr="00392FFD" w:rsidRDefault="000B0B09" w:rsidP="000B0B09">
      <w:pPr>
        <w:rPr>
          <w:rFonts w:ascii="Times New Roman" w:hAnsi="Times New Roman"/>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
        <w:gridCol w:w="7871"/>
      </w:tblGrid>
      <w:tr w:rsidR="000B0B09" w:rsidRPr="00392FFD" w:rsidTr="000B0B09">
        <w:trPr>
          <w:trHeight w:val="497"/>
        </w:trPr>
        <w:tc>
          <w:tcPr>
            <w:tcW w:w="8862" w:type="dxa"/>
            <w:gridSpan w:val="2"/>
            <w:shd w:val="clear" w:color="auto" w:fill="CCCCCC"/>
          </w:tcPr>
          <w:p w:rsidR="000B0B09" w:rsidRPr="00392FFD" w:rsidRDefault="000B0B09" w:rsidP="000B0B09">
            <w:pPr>
              <w:autoSpaceDE w:val="0"/>
              <w:autoSpaceDN w:val="0"/>
              <w:adjustRightInd w:val="0"/>
              <w:spacing w:after="0"/>
              <w:rPr>
                <w:rFonts w:ascii="Times New Roman" w:hAnsi="Times New Roman"/>
                <w:b/>
                <w:sz w:val="24"/>
              </w:rPr>
            </w:pPr>
            <w:r>
              <w:rPr>
                <w:rFonts w:ascii="Times New Roman" w:hAnsi="Times New Roman"/>
                <w:b/>
                <w:sz w:val="24"/>
              </w:rPr>
              <w:t>Lignes</w:t>
            </w:r>
          </w:p>
        </w:tc>
      </w:tr>
      <w:tr w:rsidR="000B0B09" w:rsidRPr="00392FFD" w:rsidTr="000B0B09">
        <w:tc>
          <w:tcPr>
            <w:tcW w:w="991"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010</w:t>
            </w:r>
          </w:p>
        </w:tc>
        <w:tc>
          <w:tcPr>
            <w:tcW w:w="7871"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TOTAL DES POSITIONS</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491F4D" w:rsidP="000B0B09">
            <w:pPr>
              <w:autoSpaceDE w:val="0"/>
              <w:autoSpaceDN w:val="0"/>
              <w:adjustRightInd w:val="0"/>
              <w:spacing w:before="0" w:after="0"/>
              <w:rPr>
                <w:rFonts w:ascii="Times New Roman" w:hAnsi="Times New Roman"/>
                <w:sz w:val="24"/>
              </w:rPr>
            </w:pPr>
            <w:r>
              <w:rPr>
                <w:rFonts w:ascii="Times New Roman" w:hAnsi="Times New Roman"/>
                <w:sz w:val="24"/>
              </w:rPr>
              <w:t>Toutes les positions dans des devises autres que la devise de la déclaration et les positions dans la devise de la déclaration qui sont prises en compte aux fins de l’article 354 du CRR ainsi que leurs exigences de fonds propres correspo</w:t>
            </w:r>
            <w:r>
              <w:rPr>
                <w:rFonts w:ascii="Times New Roman" w:hAnsi="Times New Roman"/>
                <w:sz w:val="24"/>
              </w:rPr>
              <w:t>n</w:t>
            </w:r>
            <w:r>
              <w:rPr>
                <w:rFonts w:ascii="Times New Roman" w:hAnsi="Times New Roman"/>
                <w:sz w:val="24"/>
              </w:rPr>
              <w:t>dantes, conformément à l'article 92, paragraphe 3, point c) i) et à l'a</w:t>
            </w:r>
            <w:r>
              <w:rPr>
                <w:rFonts w:ascii="Times New Roman" w:hAnsi="Times New Roman"/>
                <w:sz w:val="24"/>
              </w:rPr>
              <w:t>r</w:t>
            </w:r>
            <w:r>
              <w:rPr>
                <w:rFonts w:ascii="Times New Roman" w:hAnsi="Times New Roman"/>
                <w:sz w:val="24"/>
              </w:rPr>
              <w:t>ticle 352, paragraphes 2 et 4, du CRR (pour la conversion dans la devise de la déclar</w:t>
            </w:r>
            <w:r>
              <w:rPr>
                <w:rFonts w:ascii="Times New Roman" w:hAnsi="Times New Roman"/>
                <w:sz w:val="24"/>
              </w:rPr>
              <w:t>a</w:t>
            </w:r>
            <w:r>
              <w:rPr>
                <w:rFonts w:ascii="Times New Roman" w:hAnsi="Times New Roman"/>
                <w:sz w:val="24"/>
              </w:rPr>
              <w:t>tion).</w:t>
            </w:r>
          </w:p>
          <w:p w:rsidR="000B0B09" w:rsidRPr="00392FFD" w:rsidRDefault="000B0B09" w:rsidP="000B0B09">
            <w:pPr>
              <w:autoSpaceDE w:val="0"/>
              <w:autoSpaceDN w:val="0"/>
              <w:adjustRightInd w:val="0"/>
              <w:spacing w:before="0" w:after="0"/>
              <w:rPr>
                <w:rFonts w:ascii="Times New Roman" w:hAnsi="Times New Roman"/>
                <w:sz w:val="24"/>
              </w:rPr>
            </w:pPr>
          </w:p>
        </w:tc>
      </w:tr>
      <w:tr w:rsidR="000B0B09" w:rsidRPr="00392FFD" w:rsidTr="000B0B09">
        <w:tc>
          <w:tcPr>
            <w:tcW w:w="991"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020</w:t>
            </w:r>
          </w:p>
        </w:tc>
        <w:tc>
          <w:tcPr>
            <w:tcW w:w="7871"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DEVISES ÉTROITEMENT CORRÉLÉES</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Positions et leurs exigences de fonds propres correspondantes pour les devises visées à l’article 354 du CRR.</w:t>
            </w:r>
          </w:p>
          <w:p w:rsidR="000B0B09" w:rsidRPr="00392FFD" w:rsidRDefault="000B0B09" w:rsidP="000B0B09">
            <w:pPr>
              <w:autoSpaceDE w:val="0"/>
              <w:autoSpaceDN w:val="0"/>
              <w:adjustRightInd w:val="0"/>
              <w:spacing w:before="0" w:after="0"/>
              <w:rPr>
                <w:rFonts w:ascii="Times New Roman" w:hAnsi="Times New Roman"/>
                <w:sz w:val="24"/>
              </w:rPr>
            </w:pPr>
          </w:p>
        </w:tc>
      </w:tr>
      <w:tr w:rsidR="00491F4D" w:rsidRPr="00392FFD" w:rsidTr="000B0B09">
        <w:tc>
          <w:tcPr>
            <w:tcW w:w="991" w:type="dxa"/>
          </w:tcPr>
          <w:p w:rsidR="00491F4D" w:rsidRPr="00392FFD" w:rsidRDefault="00491F4D" w:rsidP="000B0B09">
            <w:pPr>
              <w:autoSpaceDE w:val="0"/>
              <w:autoSpaceDN w:val="0"/>
              <w:adjustRightInd w:val="0"/>
              <w:spacing w:before="0" w:after="0"/>
              <w:rPr>
                <w:rFonts w:ascii="Times New Roman" w:hAnsi="Times New Roman"/>
                <w:sz w:val="24"/>
              </w:rPr>
            </w:pPr>
            <w:r>
              <w:rPr>
                <w:rFonts w:ascii="Times New Roman" w:hAnsi="Times New Roman"/>
                <w:sz w:val="24"/>
              </w:rPr>
              <w:t>025</w:t>
            </w:r>
          </w:p>
        </w:tc>
        <w:tc>
          <w:tcPr>
            <w:tcW w:w="7871" w:type="dxa"/>
          </w:tcPr>
          <w:p w:rsidR="00491F4D" w:rsidRPr="00392FFD" w:rsidRDefault="00491F4D"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 xml:space="preserve">Devises étroitement corrélées: </w:t>
            </w:r>
            <w:r>
              <w:rPr>
                <w:rFonts w:ascii="Times New Roman" w:hAnsi="Times New Roman"/>
                <w:b/>
                <w:i/>
                <w:sz w:val="24"/>
                <w:u w:val="single"/>
              </w:rPr>
              <w:t>dont</w:t>
            </w:r>
            <w:r>
              <w:rPr>
                <w:rFonts w:ascii="Times New Roman" w:hAnsi="Times New Roman"/>
                <w:b/>
                <w:sz w:val="24"/>
                <w:u w:val="single"/>
              </w:rPr>
              <w:t>: devise de la déclaration</w:t>
            </w:r>
          </w:p>
          <w:p w:rsidR="00491F4D" w:rsidRPr="00392FFD" w:rsidRDefault="00491F4D" w:rsidP="000B0B09">
            <w:pPr>
              <w:autoSpaceDE w:val="0"/>
              <w:autoSpaceDN w:val="0"/>
              <w:adjustRightInd w:val="0"/>
              <w:spacing w:before="0" w:after="0"/>
              <w:rPr>
                <w:rFonts w:ascii="Times New Roman" w:hAnsi="Times New Roman"/>
                <w:sz w:val="24"/>
              </w:rPr>
            </w:pPr>
          </w:p>
          <w:p w:rsidR="00491F4D" w:rsidRPr="00392FFD" w:rsidRDefault="00491F4D" w:rsidP="000B0B09">
            <w:pPr>
              <w:autoSpaceDE w:val="0"/>
              <w:autoSpaceDN w:val="0"/>
              <w:adjustRightInd w:val="0"/>
              <w:spacing w:before="0" w:after="0"/>
              <w:rPr>
                <w:rFonts w:ascii="Times New Roman" w:hAnsi="Times New Roman"/>
                <w:sz w:val="24"/>
              </w:rPr>
            </w:pPr>
            <w:r>
              <w:rPr>
                <w:rFonts w:ascii="Times New Roman" w:hAnsi="Times New Roman"/>
                <w:sz w:val="24"/>
              </w:rPr>
              <w:t>Les positions dans la devise de la déclaration qui contribuent au calcul des ex</w:t>
            </w:r>
            <w:r>
              <w:rPr>
                <w:rFonts w:ascii="Times New Roman" w:hAnsi="Times New Roman"/>
                <w:sz w:val="24"/>
              </w:rPr>
              <w:t>i</w:t>
            </w:r>
            <w:r>
              <w:rPr>
                <w:rFonts w:ascii="Times New Roman" w:hAnsi="Times New Roman"/>
                <w:sz w:val="24"/>
              </w:rPr>
              <w:t>gences de fonds propres conformément à l'article 354 du CRR</w:t>
            </w:r>
          </w:p>
          <w:p w:rsidR="00491F4D" w:rsidRPr="00392FFD" w:rsidRDefault="00491F4D"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91"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030</w:t>
            </w:r>
          </w:p>
        </w:tc>
        <w:tc>
          <w:tcPr>
            <w:tcW w:w="7871"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TOUTES LES AUTRES DEVISES (y compris les OPC traités comme des devises différentes)</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Positions et leurs exigences de fonds propres correspondantes pour les devises soumises à la procédure générale visée à l’article 351 et à l’article 352, par</w:t>
            </w:r>
            <w:r>
              <w:rPr>
                <w:rFonts w:ascii="Times New Roman" w:hAnsi="Times New Roman"/>
                <w:sz w:val="24"/>
              </w:rPr>
              <w:t>a</w:t>
            </w:r>
            <w:r>
              <w:rPr>
                <w:rFonts w:ascii="Times New Roman" w:hAnsi="Times New Roman"/>
                <w:sz w:val="24"/>
              </w:rPr>
              <w:t xml:space="preserve">graphes 2 et 4, du CRR. </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bCs/>
                <w:sz w:val="24"/>
                <w:u w:val="single"/>
              </w:rPr>
            </w:pPr>
            <w:r>
              <w:rPr>
                <w:rFonts w:ascii="Times New Roman" w:hAnsi="Times New Roman"/>
                <w:sz w:val="24"/>
                <w:u w:val="single"/>
              </w:rPr>
              <w:t>Déclaration d'OPC traitées comme des devises distinctes, conformément à l'a</w:t>
            </w:r>
            <w:r>
              <w:rPr>
                <w:rFonts w:ascii="Times New Roman" w:hAnsi="Times New Roman"/>
                <w:sz w:val="24"/>
                <w:u w:val="single"/>
              </w:rPr>
              <w:t>r</w:t>
            </w:r>
            <w:r>
              <w:rPr>
                <w:rFonts w:ascii="Times New Roman" w:hAnsi="Times New Roman"/>
                <w:sz w:val="24"/>
                <w:u w:val="single"/>
              </w:rPr>
              <w:t>ticle 353 du CRR:</w:t>
            </w:r>
          </w:p>
          <w:p w:rsidR="000B0B09" w:rsidRPr="00392FFD" w:rsidRDefault="000B0B09" w:rsidP="000B0B09">
            <w:pPr>
              <w:autoSpaceDE w:val="0"/>
              <w:autoSpaceDN w:val="0"/>
              <w:adjustRightInd w:val="0"/>
              <w:spacing w:before="0" w:after="0"/>
              <w:rPr>
                <w:rFonts w:ascii="Times New Roman" w:hAnsi="Times New Roman"/>
                <w:bCs/>
                <w:sz w:val="24"/>
              </w:rPr>
            </w:pPr>
            <w:r>
              <w:rPr>
                <w:rFonts w:ascii="Times New Roman" w:hAnsi="Times New Roman"/>
                <w:sz w:val="24"/>
              </w:rPr>
              <w:t>Il existe deux traitements différents des OPC traitées comme des devises di</w:t>
            </w:r>
            <w:r>
              <w:rPr>
                <w:rFonts w:ascii="Times New Roman" w:hAnsi="Times New Roman"/>
                <w:sz w:val="24"/>
              </w:rPr>
              <w:t>s</w:t>
            </w:r>
            <w:r>
              <w:rPr>
                <w:rFonts w:ascii="Times New Roman" w:hAnsi="Times New Roman"/>
                <w:sz w:val="24"/>
              </w:rPr>
              <w:t>tinctes pour le calcul des exigences de fonds propres :</w:t>
            </w:r>
          </w:p>
          <w:p w:rsidR="000B0B09" w:rsidRPr="00392FFD" w:rsidRDefault="00125707" w:rsidP="0023700C">
            <w:pPr>
              <w:autoSpaceDE w:val="0"/>
              <w:autoSpaceDN w:val="0"/>
              <w:adjustRightInd w:val="0"/>
              <w:spacing w:before="0" w:after="0"/>
              <w:ind w:left="720" w:hanging="360"/>
              <w:rPr>
                <w:rFonts w:ascii="Times New Roman" w:hAnsi="Times New Roman"/>
                <w:bCs/>
                <w:sz w:val="24"/>
              </w:rPr>
            </w:pPr>
            <w:r>
              <w:rPr>
                <w:rFonts w:ascii="Times New Roman" w:hAnsi="Times New Roman"/>
                <w:sz w:val="24"/>
              </w:rPr>
              <w:t>1.</w:t>
            </w:r>
            <w:r>
              <w:tab/>
            </w:r>
            <w:r>
              <w:rPr>
                <w:rFonts w:ascii="Times New Roman" w:hAnsi="Times New Roman"/>
                <w:sz w:val="24"/>
              </w:rPr>
              <w:t>La méthode relative à l'or modifiée, lorsque la direction des investiss</w:t>
            </w:r>
            <w:r>
              <w:rPr>
                <w:rFonts w:ascii="Times New Roman" w:hAnsi="Times New Roman"/>
                <w:sz w:val="24"/>
              </w:rPr>
              <w:t>e</w:t>
            </w:r>
            <w:r>
              <w:rPr>
                <w:rFonts w:ascii="Times New Roman" w:hAnsi="Times New Roman"/>
                <w:sz w:val="24"/>
              </w:rPr>
              <w:t>ments de l'OPC est inconnue (ces OPC seront additionnées aux pos</w:t>
            </w:r>
            <w:r>
              <w:rPr>
                <w:rFonts w:ascii="Times New Roman" w:hAnsi="Times New Roman"/>
                <w:sz w:val="24"/>
              </w:rPr>
              <w:t>i</w:t>
            </w:r>
            <w:r>
              <w:rPr>
                <w:rFonts w:ascii="Times New Roman" w:hAnsi="Times New Roman"/>
                <w:sz w:val="24"/>
              </w:rPr>
              <w:t>tions de change nettes globales de l'établissement);</w:t>
            </w:r>
          </w:p>
          <w:p w:rsidR="000B0B09" w:rsidRPr="00392FFD" w:rsidRDefault="00125707" w:rsidP="0023700C">
            <w:pPr>
              <w:autoSpaceDE w:val="0"/>
              <w:autoSpaceDN w:val="0"/>
              <w:adjustRightInd w:val="0"/>
              <w:spacing w:before="0" w:after="0"/>
              <w:ind w:left="720" w:hanging="360"/>
              <w:rPr>
                <w:rFonts w:ascii="Times New Roman" w:hAnsi="Times New Roman"/>
                <w:bCs/>
                <w:sz w:val="24"/>
              </w:rPr>
            </w:pPr>
            <w:r>
              <w:rPr>
                <w:rFonts w:ascii="Times New Roman" w:hAnsi="Times New Roman"/>
                <w:sz w:val="24"/>
              </w:rPr>
              <w:t>2.</w:t>
            </w:r>
            <w:r>
              <w:tab/>
            </w:r>
            <w:r>
              <w:rPr>
                <w:rFonts w:ascii="Times New Roman" w:hAnsi="Times New Roman"/>
                <w:sz w:val="24"/>
              </w:rPr>
              <w:t>Lorsque la direction des investissements de l'OPC est connue, ces OPC seront additionnées au total des positions de change ouvertes (longues ou courtes, en fonction de la direction de l'OPC).</w:t>
            </w:r>
          </w:p>
          <w:p w:rsidR="000B0B09" w:rsidRPr="00392FFD" w:rsidRDefault="000B0B09" w:rsidP="000B0B09">
            <w:pPr>
              <w:autoSpaceDE w:val="0"/>
              <w:autoSpaceDN w:val="0"/>
              <w:adjustRightInd w:val="0"/>
              <w:spacing w:before="0" w:after="0"/>
              <w:rPr>
                <w:rFonts w:ascii="Times New Roman" w:hAnsi="Times New Roman"/>
                <w:bCs/>
                <w:sz w:val="24"/>
                <w:u w:val="single"/>
              </w:rPr>
            </w:pPr>
            <w:r>
              <w:rPr>
                <w:rFonts w:ascii="Times New Roman" w:hAnsi="Times New Roman"/>
                <w:sz w:val="24"/>
              </w:rPr>
              <w:t>La déclaration de ces OPC suit le calcul des exigences de fonds propres.</w:t>
            </w:r>
            <w:r>
              <w:rPr>
                <w:rFonts w:ascii="Times New Roman" w:hAnsi="Times New Roman"/>
                <w:sz w:val="24"/>
                <w:u w:val="single"/>
              </w:rPr>
              <w:t xml:space="preserve"> </w:t>
            </w:r>
          </w:p>
          <w:p w:rsidR="00DE48EF" w:rsidRPr="00392FFD" w:rsidRDefault="00DE48EF"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91"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040</w:t>
            </w:r>
          </w:p>
        </w:tc>
        <w:tc>
          <w:tcPr>
            <w:tcW w:w="7871"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OR</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Positions et leurs exigences de fonds propres correspondantes pour les devises soumises à la procédure générale visée à l’article 351 et à l’article 352, par</w:t>
            </w:r>
            <w:r>
              <w:rPr>
                <w:rFonts w:ascii="Times New Roman" w:hAnsi="Times New Roman"/>
                <w:sz w:val="24"/>
              </w:rPr>
              <w:t>a</w:t>
            </w:r>
            <w:r>
              <w:rPr>
                <w:rFonts w:ascii="Times New Roman" w:hAnsi="Times New Roman"/>
                <w:sz w:val="24"/>
              </w:rPr>
              <w:t xml:space="preserve">graphes 2 et 4, du CRR. </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91"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 xml:space="preserve">050 - </w:t>
            </w:r>
            <w:r>
              <w:rPr>
                <w:rFonts w:ascii="Times New Roman" w:hAnsi="Times New Roman"/>
                <w:sz w:val="24"/>
              </w:rPr>
              <w:lastRenderedPageBreak/>
              <w:t>090</w:t>
            </w:r>
          </w:p>
        </w:tc>
        <w:tc>
          <w:tcPr>
            <w:tcW w:w="7871"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Style w:val="InstructionsTabelleberschrift"/>
                <w:rFonts w:ascii="Times New Roman" w:hAnsi="Times New Roman"/>
                <w:sz w:val="24"/>
              </w:rPr>
              <w:lastRenderedPageBreak/>
              <w:t xml:space="preserve">EXIGENCES SUPPLÉMENTAIRES POUR RISQUES SUR OPTIONS </w:t>
            </w:r>
            <w:r>
              <w:rPr>
                <w:rStyle w:val="InstructionsTabelleberschrift"/>
                <w:rFonts w:ascii="Times New Roman" w:hAnsi="Times New Roman"/>
                <w:sz w:val="24"/>
              </w:rPr>
              <w:lastRenderedPageBreak/>
              <w:t>(RISQUES NON DELTA)</w:t>
            </w: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 xml:space="preserve">Article 352, paragraphes 5 et 6, du CRR </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Les exigences supplémentaires pour les options liées aux risques autres que le risque delta seront déclarées dans la méthode appliquée pour leur calcul.</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91"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lastRenderedPageBreak/>
              <w:t>100-120</w:t>
            </w:r>
          </w:p>
        </w:tc>
        <w:tc>
          <w:tcPr>
            <w:tcW w:w="7871"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Répartition du total des positions (devise de la déclaration y comprise) par catégorie d’exposition</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Le total des positions sera réparti entre dérivés, autres éléments d’actif et de passif, et éléments hors bilan.</w:t>
            </w:r>
          </w:p>
          <w:p w:rsidR="00DE48EF" w:rsidRPr="00392FFD" w:rsidRDefault="00DE48EF"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91"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100</w:t>
            </w:r>
          </w:p>
        </w:tc>
        <w:tc>
          <w:tcPr>
            <w:tcW w:w="7871"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Éléments d'actif et de passif autres que les éléments de hors bilan et les d</w:t>
            </w:r>
            <w:r>
              <w:rPr>
                <w:rFonts w:ascii="Times New Roman" w:hAnsi="Times New Roman"/>
                <w:b/>
                <w:sz w:val="24"/>
                <w:u w:val="single"/>
              </w:rPr>
              <w:t>é</w:t>
            </w:r>
            <w:r>
              <w:rPr>
                <w:rFonts w:ascii="Times New Roman" w:hAnsi="Times New Roman"/>
                <w:b/>
                <w:sz w:val="24"/>
                <w:u w:val="single"/>
              </w:rPr>
              <w:t>rivés</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DE48EF"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 xml:space="preserve"> Les positions qui ne figurent pas dans les lignes 110 ou 120 seront déclarées ici. </w:t>
            </w:r>
          </w:p>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sz w:val="24"/>
              </w:rPr>
              <w:t xml:space="preserve"> </w:t>
            </w:r>
          </w:p>
        </w:tc>
      </w:tr>
      <w:tr w:rsidR="000B0B09" w:rsidRPr="00392FFD" w:rsidTr="000B0B09">
        <w:tc>
          <w:tcPr>
            <w:tcW w:w="991"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110</w:t>
            </w:r>
          </w:p>
        </w:tc>
        <w:tc>
          <w:tcPr>
            <w:tcW w:w="7871"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Éléments de hors bilan</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Éléments inclus dans l’annexe I du CRR, à l’exception de ceux inclus en tant qu’opérations de financement sur titres et opérations à règlement différé ou i</w:t>
            </w:r>
            <w:r>
              <w:rPr>
                <w:rFonts w:ascii="Times New Roman" w:hAnsi="Times New Roman"/>
                <w:sz w:val="24"/>
              </w:rPr>
              <w:t>s</w:t>
            </w:r>
            <w:r>
              <w:rPr>
                <w:rFonts w:ascii="Times New Roman" w:hAnsi="Times New Roman"/>
                <w:sz w:val="24"/>
              </w:rPr>
              <w:t>sus d’une convention de compensation multiproduits.</w:t>
            </w:r>
          </w:p>
          <w:p w:rsidR="00DE48EF" w:rsidRPr="00392FFD" w:rsidRDefault="00DE48EF"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91"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120</w:t>
            </w:r>
          </w:p>
          <w:p w:rsidR="000B0B09" w:rsidRPr="00392FFD" w:rsidRDefault="000B0B09" w:rsidP="000B0B09">
            <w:pPr>
              <w:autoSpaceDE w:val="0"/>
              <w:autoSpaceDN w:val="0"/>
              <w:adjustRightInd w:val="0"/>
              <w:spacing w:before="0" w:after="0"/>
              <w:rPr>
                <w:rFonts w:ascii="Times New Roman" w:hAnsi="Times New Roman"/>
                <w:sz w:val="24"/>
              </w:rPr>
            </w:pPr>
          </w:p>
        </w:tc>
        <w:tc>
          <w:tcPr>
            <w:tcW w:w="7871"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Dérivés</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Positions évaluées conformément à l’article 352 du CRR.</w:t>
            </w:r>
          </w:p>
          <w:p w:rsidR="00902EFC" w:rsidRPr="00392FFD" w:rsidRDefault="00902EFC"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91"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130-480</w:t>
            </w:r>
          </w:p>
          <w:p w:rsidR="000B0B09" w:rsidRPr="00392FFD" w:rsidRDefault="000B0B09" w:rsidP="000B0B09">
            <w:pPr>
              <w:autoSpaceDE w:val="0"/>
              <w:autoSpaceDN w:val="0"/>
              <w:adjustRightInd w:val="0"/>
              <w:spacing w:before="0" w:after="0"/>
              <w:rPr>
                <w:rFonts w:ascii="Times New Roman" w:hAnsi="Times New Roman"/>
                <w:sz w:val="24"/>
              </w:rPr>
            </w:pPr>
          </w:p>
        </w:tc>
        <w:tc>
          <w:tcPr>
            <w:tcW w:w="7871"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b/>
                <w:sz w:val="24"/>
                <w:u w:val="single"/>
              </w:rPr>
              <w:t>POUR MÉMOIRE: POSITIONS EN DEVISES</w:t>
            </w:r>
          </w:p>
          <w:p w:rsidR="000B0B09" w:rsidRPr="00392FFD" w:rsidRDefault="000B0B09" w:rsidP="000B0B09">
            <w:pPr>
              <w:autoSpaceDE w:val="0"/>
              <w:autoSpaceDN w:val="0"/>
              <w:adjustRightInd w:val="0"/>
              <w:spacing w:before="0" w:after="0"/>
              <w:rPr>
                <w:rFonts w:ascii="Times New Roman" w:hAnsi="Times New Roman"/>
                <w:b/>
                <w:bCs/>
                <w:sz w:val="24"/>
              </w:rPr>
            </w:pPr>
          </w:p>
          <w:p w:rsidR="000B0B09" w:rsidRPr="00392FFD" w:rsidRDefault="000B0B09" w:rsidP="000B0B09">
            <w:pPr>
              <w:autoSpaceDE w:val="0"/>
              <w:autoSpaceDN w:val="0"/>
              <w:adjustRightInd w:val="0"/>
              <w:spacing w:before="0" w:after="0"/>
              <w:rPr>
                <w:rStyle w:val="InstructionsTabelleText"/>
                <w:rFonts w:ascii="Times New Roman" w:hAnsi="Times New Roman"/>
                <w:sz w:val="24"/>
              </w:rPr>
            </w:pPr>
            <w:r>
              <w:rPr>
                <w:rFonts w:ascii="Times New Roman" w:hAnsi="Times New Roman"/>
                <w:sz w:val="24"/>
              </w:rPr>
              <w:t>Les postes pour mémoire du modèle seront remplis séparément pour toutes les devises des États membres de l'Union européenne et pour les devises su</w:t>
            </w:r>
            <w:r>
              <w:rPr>
                <w:rFonts w:ascii="Times New Roman" w:hAnsi="Times New Roman"/>
                <w:sz w:val="24"/>
              </w:rPr>
              <w:t>i</w:t>
            </w:r>
            <w:r>
              <w:rPr>
                <w:rFonts w:ascii="Times New Roman" w:hAnsi="Times New Roman"/>
                <w:sz w:val="24"/>
              </w:rPr>
              <w:t xml:space="preserve">vantes: USD, CHF, JPY, RUB, TRY, AUD, CAD, RSD, ALL, UAH, MKD, EGP, ARS, BRL, MXN, HKD, ICK, TWD, NZD, NOK, SGD, KRW, CNY et toutes les autres devises. </w:t>
            </w:r>
          </w:p>
        </w:tc>
      </w:tr>
    </w:tbl>
    <w:p w:rsidR="000B0B09" w:rsidRPr="00392FFD" w:rsidRDefault="000B0B09" w:rsidP="000B0B09">
      <w:pPr>
        <w:rPr>
          <w:rFonts w:ascii="Times New Roman" w:hAnsi="Times New Roman"/>
          <w:sz w:val="24"/>
        </w:rPr>
      </w:pPr>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618" w:name="_Toc262566435"/>
      <w:bookmarkStart w:id="619" w:name="_Toc295830011"/>
      <w:bookmarkStart w:id="620" w:name="_Toc308426688"/>
      <w:bookmarkStart w:id="621" w:name="_Toc310415072"/>
      <w:bookmarkStart w:id="622" w:name="_Toc360188407"/>
      <w:bookmarkStart w:id="623" w:name="_Toc473561047"/>
      <w:bookmarkStart w:id="624" w:name="_Toc496022358"/>
      <w:r>
        <w:rPr>
          <w:rFonts w:ascii="Times New Roman" w:hAnsi="Times New Roman"/>
          <w:sz w:val="24"/>
          <w:u w:val="none"/>
        </w:rPr>
        <w:t>5.6.</w:t>
      </w:r>
      <w:r>
        <w:tab/>
      </w:r>
      <w:r>
        <w:rPr>
          <w:rFonts w:ascii="Times New Roman" w:hAnsi="Times New Roman"/>
          <w:sz w:val="24"/>
        </w:rPr>
        <w:t>C 23.00 - Risque de marché: approches standard pour les matières premières</w:t>
      </w:r>
      <w:bookmarkEnd w:id="618"/>
      <w:bookmarkEnd w:id="619"/>
      <w:bookmarkEnd w:id="620"/>
      <w:bookmarkEnd w:id="621"/>
      <w:bookmarkEnd w:id="622"/>
      <w:r>
        <w:rPr>
          <w:rFonts w:ascii="Times New Roman" w:hAnsi="Times New Roman"/>
          <w:sz w:val="24"/>
        </w:rPr>
        <w:t xml:space="preserve"> (MKR SA COM)</w:t>
      </w:r>
      <w:bookmarkEnd w:id="623"/>
      <w:bookmarkEnd w:id="624"/>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625" w:name="_Toc262566436"/>
      <w:bookmarkStart w:id="626" w:name="_Toc295830012"/>
      <w:bookmarkStart w:id="627" w:name="_Toc308426689"/>
      <w:bookmarkStart w:id="628" w:name="_Toc310415073"/>
      <w:bookmarkStart w:id="629" w:name="_Toc360188408"/>
      <w:bookmarkStart w:id="630" w:name="_Toc473561048"/>
      <w:bookmarkStart w:id="631" w:name="_Toc496022359"/>
      <w:r>
        <w:rPr>
          <w:rFonts w:ascii="Times New Roman" w:hAnsi="Times New Roman"/>
          <w:sz w:val="24"/>
          <w:u w:val="none"/>
        </w:rPr>
        <w:t>5.6.1.</w:t>
      </w:r>
      <w:r>
        <w:tab/>
      </w:r>
      <w:r>
        <w:rPr>
          <w:rFonts w:ascii="Times New Roman" w:hAnsi="Times New Roman"/>
          <w:sz w:val="24"/>
        </w:rPr>
        <w:t>Remarques générales</w:t>
      </w:r>
      <w:bookmarkEnd w:id="625"/>
      <w:bookmarkEnd w:id="626"/>
      <w:bookmarkEnd w:id="627"/>
      <w:bookmarkEnd w:id="628"/>
      <w:bookmarkEnd w:id="629"/>
      <w:bookmarkEnd w:id="630"/>
      <w:bookmarkEnd w:id="631"/>
    </w:p>
    <w:p w:rsidR="000B0B09" w:rsidRPr="00392FFD" w:rsidRDefault="00125707" w:rsidP="0023700C">
      <w:pPr>
        <w:pStyle w:val="InstructionsText2"/>
        <w:numPr>
          <w:ilvl w:val="0"/>
          <w:numId w:val="0"/>
        </w:numPr>
        <w:ind w:left="1353" w:hanging="360"/>
      </w:pPr>
      <w:r>
        <w:t>152.</w:t>
      </w:r>
      <w:r>
        <w:tab/>
        <w:t>Ce modèle rassemble des informations sur les positions sur matières premières et les exigences de fonds propres correspondantes traitées selon l’approche standard.</w:t>
      </w:r>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632" w:name="_Toc262566437"/>
      <w:bookmarkStart w:id="633" w:name="_Toc295830013"/>
      <w:bookmarkStart w:id="634" w:name="_Toc308426690"/>
      <w:bookmarkStart w:id="635" w:name="_Toc310415074"/>
      <w:bookmarkStart w:id="636" w:name="_Toc360188409"/>
      <w:bookmarkStart w:id="637" w:name="_Toc473561049"/>
      <w:bookmarkStart w:id="638" w:name="_Toc496022360"/>
      <w:r>
        <w:rPr>
          <w:rFonts w:ascii="Times New Roman" w:hAnsi="Times New Roman"/>
          <w:sz w:val="24"/>
          <w:u w:val="none"/>
        </w:rPr>
        <w:t>5.6.2.</w:t>
      </w:r>
      <w:r>
        <w:tab/>
      </w:r>
      <w:r>
        <w:rPr>
          <w:rFonts w:ascii="Times New Roman" w:hAnsi="Times New Roman"/>
          <w:sz w:val="24"/>
        </w:rPr>
        <w:t>Instructions concernant certaines positions</w:t>
      </w:r>
      <w:bookmarkEnd w:id="632"/>
      <w:bookmarkEnd w:id="633"/>
      <w:bookmarkEnd w:id="634"/>
      <w:bookmarkEnd w:id="635"/>
      <w:bookmarkEnd w:id="636"/>
      <w:bookmarkEnd w:id="637"/>
      <w:bookmarkEnd w:id="6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6"/>
        <w:gridCol w:w="7876"/>
      </w:tblGrid>
      <w:tr w:rsidR="000B0B09" w:rsidRPr="00392FFD" w:rsidTr="000B0B09">
        <w:trPr>
          <w:trHeight w:val="591"/>
        </w:trPr>
        <w:tc>
          <w:tcPr>
            <w:tcW w:w="8862" w:type="dxa"/>
            <w:gridSpan w:val="2"/>
            <w:shd w:val="clear" w:color="auto" w:fill="CCCCCC"/>
          </w:tcPr>
          <w:p w:rsidR="000B0B09" w:rsidRPr="00392FFD" w:rsidRDefault="000B0B09" w:rsidP="000B0B09">
            <w:pPr>
              <w:autoSpaceDE w:val="0"/>
              <w:autoSpaceDN w:val="0"/>
              <w:adjustRightInd w:val="0"/>
              <w:spacing w:after="0"/>
              <w:rPr>
                <w:rFonts w:ascii="Times New Roman" w:hAnsi="Times New Roman"/>
                <w:b/>
                <w:sz w:val="24"/>
              </w:rPr>
            </w:pPr>
            <w:r>
              <w:rPr>
                <w:rFonts w:ascii="Times New Roman" w:hAnsi="Times New Roman"/>
                <w:b/>
                <w:sz w:val="24"/>
              </w:rPr>
              <w:t>Colonnes</w:t>
            </w:r>
          </w:p>
        </w:tc>
      </w:tr>
      <w:tr w:rsidR="000B0B09" w:rsidRPr="00392FFD" w:rsidTr="000B0B09">
        <w:tc>
          <w:tcPr>
            <w:tcW w:w="986" w:type="dxa"/>
          </w:tcPr>
          <w:p w:rsidR="000B0B09" w:rsidRPr="00392FFD" w:rsidRDefault="000B0B09" w:rsidP="00B74792">
            <w:pPr>
              <w:autoSpaceDE w:val="0"/>
              <w:autoSpaceDN w:val="0"/>
              <w:adjustRightInd w:val="0"/>
              <w:spacing w:before="0" w:after="0"/>
              <w:rPr>
                <w:rFonts w:ascii="Times New Roman" w:hAnsi="Times New Roman"/>
                <w:sz w:val="24"/>
              </w:rPr>
            </w:pPr>
            <w:r>
              <w:rPr>
                <w:rFonts w:ascii="Times New Roman" w:hAnsi="Times New Roman"/>
                <w:sz w:val="24"/>
              </w:rPr>
              <w:lastRenderedPageBreak/>
              <w:t>010-020</w:t>
            </w:r>
          </w:p>
        </w:tc>
        <w:tc>
          <w:tcPr>
            <w:tcW w:w="7876"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TOUTES LES POSITIONS (LONGUES ET COURTES)</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Positions longues/courtes brutes considérées comme des positions sur la même matière première, conformément à l’article 357, paragraphes 1 et 4, du CRR (voir également l’article 359, paragraphe 1, du CRR).</w:t>
            </w: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 xml:space="preserve"> </w:t>
            </w:r>
          </w:p>
        </w:tc>
      </w:tr>
      <w:tr w:rsidR="000B0B09" w:rsidRPr="00392FFD" w:rsidTr="000B0B09">
        <w:tc>
          <w:tcPr>
            <w:tcW w:w="986" w:type="dxa"/>
          </w:tcPr>
          <w:p w:rsidR="000B0B09" w:rsidRPr="00392FFD" w:rsidRDefault="000B0B09" w:rsidP="00B74792">
            <w:pPr>
              <w:autoSpaceDE w:val="0"/>
              <w:autoSpaceDN w:val="0"/>
              <w:adjustRightInd w:val="0"/>
              <w:spacing w:before="0" w:after="0"/>
              <w:rPr>
                <w:rFonts w:ascii="Times New Roman" w:hAnsi="Times New Roman"/>
                <w:sz w:val="24"/>
              </w:rPr>
            </w:pPr>
            <w:r>
              <w:rPr>
                <w:rFonts w:ascii="Times New Roman" w:hAnsi="Times New Roman"/>
                <w:sz w:val="24"/>
              </w:rPr>
              <w:t xml:space="preserve">030-040 </w:t>
            </w:r>
          </w:p>
        </w:tc>
        <w:tc>
          <w:tcPr>
            <w:tcW w:w="7876"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POSITIONS NETTES (LONGUES ET COURTES)</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D1690D">
            <w:pPr>
              <w:autoSpaceDE w:val="0"/>
              <w:autoSpaceDN w:val="0"/>
              <w:adjustRightInd w:val="0"/>
              <w:spacing w:before="0" w:after="0"/>
              <w:rPr>
                <w:rFonts w:ascii="Times New Roman" w:hAnsi="Times New Roman"/>
                <w:sz w:val="24"/>
              </w:rPr>
            </w:pPr>
            <w:r>
              <w:rPr>
                <w:rFonts w:ascii="Times New Roman" w:hAnsi="Times New Roman"/>
                <w:sz w:val="24"/>
              </w:rPr>
              <w:t xml:space="preserve">Telles que définies à l’article 357, paragraphe 3, du CRR. </w:t>
            </w:r>
          </w:p>
        </w:tc>
      </w:tr>
      <w:tr w:rsidR="000B0B09" w:rsidRPr="00392FFD" w:rsidTr="000B0B09">
        <w:tc>
          <w:tcPr>
            <w:tcW w:w="986"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050</w:t>
            </w:r>
          </w:p>
        </w:tc>
        <w:tc>
          <w:tcPr>
            <w:tcW w:w="7876"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POSITIONS SOUMISES AUX EXIGENCES DE FONDS PROPRES</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Positions nettes qui, selon les différentes approches envisagées dans la tro</w:t>
            </w:r>
            <w:r>
              <w:rPr>
                <w:rFonts w:ascii="Times New Roman" w:hAnsi="Times New Roman"/>
                <w:sz w:val="24"/>
              </w:rPr>
              <w:t>i</w:t>
            </w:r>
            <w:r>
              <w:rPr>
                <w:rFonts w:ascii="Times New Roman" w:hAnsi="Times New Roman"/>
                <w:sz w:val="24"/>
              </w:rPr>
              <w:t>sième partie, titre IV, chapitre 4 du CRR, font l’objet d’une exigence de fonds propres.</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86"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060</w:t>
            </w:r>
          </w:p>
        </w:tc>
        <w:tc>
          <w:tcPr>
            <w:tcW w:w="7876"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EXIGENCES DE FONDS PROPRES</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sz w:val="24"/>
              </w:rPr>
              <w:t xml:space="preserve">Exigences de fonds propres pour toute position pertinente, conformément à la troisième partie, titre IV, chapitre 4 du CRR. </w:t>
            </w:r>
          </w:p>
        </w:tc>
      </w:tr>
      <w:tr w:rsidR="000B0B09" w:rsidRPr="00392FFD" w:rsidTr="000B0B09">
        <w:tc>
          <w:tcPr>
            <w:tcW w:w="986"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070</w:t>
            </w:r>
          </w:p>
        </w:tc>
        <w:tc>
          <w:tcPr>
            <w:tcW w:w="7876" w:type="dxa"/>
          </w:tcPr>
          <w:p w:rsidR="000B0B09" w:rsidRPr="00392FFD" w:rsidRDefault="000B0B09" w:rsidP="000B0B09">
            <w:pPr>
              <w:tabs>
                <w:tab w:val="left" w:pos="1665"/>
              </w:tabs>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MONTANT TOTAL D'EXPOSITION AU RISQUE</w:t>
            </w:r>
          </w:p>
          <w:p w:rsidR="000B0B09" w:rsidRPr="00392FFD" w:rsidRDefault="000B0B09" w:rsidP="000B0B09">
            <w:pPr>
              <w:tabs>
                <w:tab w:val="left" w:pos="1665"/>
              </w:tabs>
              <w:autoSpaceDE w:val="0"/>
              <w:autoSpaceDN w:val="0"/>
              <w:adjustRightInd w:val="0"/>
              <w:spacing w:before="0" w:after="0"/>
              <w:rPr>
                <w:rFonts w:ascii="Times New Roman" w:hAnsi="Times New Roman"/>
                <w:b/>
                <w:bCs/>
                <w:sz w:val="24"/>
                <w:u w:val="single"/>
              </w:rPr>
            </w:pPr>
          </w:p>
          <w:p w:rsidR="000B0B09" w:rsidRPr="00392FFD" w:rsidRDefault="000B0B09" w:rsidP="000B0B09">
            <w:pPr>
              <w:tabs>
                <w:tab w:val="left" w:pos="1665"/>
              </w:tabs>
              <w:autoSpaceDE w:val="0"/>
              <w:autoSpaceDN w:val="0"/>
              <w:adjustRightInd w:val="0"/>
              <w:spacing w:before="0" w:after="0"/>
              <w:rPr>
                <w:rFonts w:ascii="Times New Roman" w:hAnsi="Times New Roman"/>
                <w:b/>
                <w:bCs/>
                <w:sz w:val="24"/>
                <w:u w:val="single"/>
              </w:rPr>
            </w:pPr>
            <w:r>
              <w:rPr>
                <w:rFonts w:ascii="Times New Roman" w:hAnsi="Times New Roman"/>
                <w:sz w:val="24"/>
              </w:rPr>
              <w:t xml:space="preserve">Article 92, paragraphe 4, point b) du CRR. Résultat de la multiplication par 12,5 des exigences de fonds propres. </w:t>
            </w:r>
          </w:p>
        </w:tc>
      </w:tr>
    </w:tbl>
    <w:p w:rsidR="000B0B09" w:rsidRPr="00392FFD" w:rsidRDefault="000B0B09" w:rsidP="000B0B09">
      <w:pPr>
        <w:rPr>
          <w:rFonts w:ascii="Times New Roman" w:hAnsi="Times New Roman"/>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
        <w:gridCol w:w="7875"/>
      </w:tblGrid>
      <w:tr w:rsidR="000B0B09" w:rsidRPr="00392FFD" w:rsidTr="000B0B09">
        <w:trPr>
          <w:trHeight w:val="483"/>
        </w:trPr>
        <w:tc>
          <w:tcPr>
            <w:tcW w:w="8862" w:type="dxa"/>
            <w:gridSpan w:val="2"/>
            <w:shd w:val="clear" w:color="auto" w:fill="CCCCCC"/>
          </w:tcPr>
          <w:p w:rsidR="000B0B09" w:rsidRPr="00392FFD" w:rsidRDefault="000B0B09" w:rsidP="000B0B09">
            <w:pPr>
              <w:autoSpaceDE w:val="0"/>
              <w:autoSpaceDN w:val="0"/>
              <w:adjustRightInd w:val="0"/>
              <w:spacing w:after="0"/>
              <w:rPr>
                <w:rFonts w:ascii="Times New Roman" w:hAnsi="Times New Roman"/>
                <w:b/>
                <w:sz w:val="24"/>
              </w:rPr>
            </w:pPr>
            <w:r>
              <w:rPr>
                <w:rFonts w:ascii="Times New Roman" w:hAnsi="Times New Roman"/>
                <w:b/>
                <w:sz w:val="24"/>
              </w:rPr>
              <w:t>Lignes</w:t>
            </w:r>
          </w:p>
        </w:tc>
      </w:tr>
      <w:tr w:rsidR="000B0B09" w:rsidRPr="00392FFD" w:rsidTr="000B0B09">
        <w:tc>
          <w:tcPr>
            <w:tcW w:w="987"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010</w:t>
            </w:r>
          </w:p>
        </w:tc>
        <w:tc>
          <w:tcPr>
            <w:tcW w:w="7875"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TOTAL DES POSITIONS SUR MATIÈRES PREMIÈRES</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9E2BBD">
            <w:pPr>
              <w:autoSpaceDE w:val="0"/>
              <w:autoSpaceDN w:val="0"/>
              <w:adjustRightInd w:val="0"/>
              <w:spacing w:before="0" w:after="0"/>
              <w:rPr>
                <w:rFonts w:ascii="Times New Roman" w:hAnsi="Times New Roman"/>
                <w:sz w:val="24"/>
              </w:rPr>
            </w:pPr>
            <w:r>
              <w:rPr>
                <w:rFonts w:ascii="Times New Roman" w:hAnsi="Times New Roman"/>
                <w:sz w:val="24"/>
              </w:rPr>
              <w:t>Positions sur matières premières et leurs exigences de fonds propres corre</w:t>
            </w:r>
            <w:r>
              <w:rPr>
                <w:rFonts w:ascii="Times New Roman" w:hAnsi="Times New Roman"/>
                <w:sz w:val="24"/>
              </w:rPr>
              <w:t>s</w:t>
            </w:r>
            <w:r>
              <w:rPr>
                <w:rFonts w:ascii="Times New Roman" w:hAnsi="Times New Roman"/>
                <w:sz w:val="24"/>
              </w:rPr>
              <w:t xml:space="preserve">pondantes pour risque de marché, conformément à l’article 92, paragraphe 3, point c) iii) du CRR et à la troisième partie, titre IV, chapitre 4 du CRR. </w:t>
            </w:r>
          </w:p>
        </w:tc>
      </w:tr>
      <w:tr w:rsidR="000B0B09" w:rsidRPr="00392FFD" w:rsidTr="000B0B09">
        <w:tc>
          <w:tcPr>
            <w:tcW w:w="987" w:type="dxa"/>
          </w:tcPr>
          <w:p w:rsidR="000B0B09" w:rsidRPr="00392FFD" w:rsidRDefault="000B0B09" w:rsidP="00B74792">
            <w:pPr>
              <w:autoSpaceDE w:val="0"/>
              <w:autoSpaceDN w:val="0"/>
              <w:adjustRightInd w:val="0"/>
              <w:spacing w:before="0" w:after="0"/>
              <w:rPr>
                <w:rFonts w:ascii="Times New Roman" w:hAnsi="Times New Roman"/>
                <w:sz w:val="24"/>
              </w:rPr>
            </w:pPr>
            <w:r>
              <w:rPr>
                <w:rFonts w:ascii="Times New Roman" w:hAnsi="Times New Roman"/>
                <w:sz w:val="24"/>
              </w:rPr>
              <w:t>020-060</w:t>
            </w:r>
          </w:p>
        </w:tc>
        <w:tc>
          <w:tcPr>
            <w:tcW w:w="7875"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POSITIONS EN FONCTION DES CATÉGORIES DE MATIÈRES PR</w:t>
            </w:r>
            <w:r>
              <w:rPr>
                <w:rFonts w:ascii="Times New Roman" w:hAnsi="Times New Roman"/>
                <w:b/>
                <w:sz w:val="24"/>
                <w:u w:val="single"/>
              </w:rPr>
              <w:t>E</w:t>
            </w:r>
            <w:r>
              <w:rPr>
                <w:rFonts w:ascii="Times New Roman" w:hAnsi="Times New Roman"/>
                <w:b/>
                <w:sz w:val="24"/>
                <w:u w:val="single"/>
              </w:rPr>
              <w:t>MIÈRES</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Aux fins de la déclaration, les matières premières seront groupées en quatre grandes catégories visées dans le tableau 2 de l’article 361 du CRR.</w:t>
            </w: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 xml:space="preserve"> </w:t>
            </w:r>
          </w:p>
        </w:tc>
      </w:tr>
      <w:tr w:rsidR="000B0B09" w:rsidRPr="00392FFD" w:rsidTr="000B0B09">
        <w:tc>
          <w:tcPr>
            <w:tcW w:w="987"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070</w:t>
            </w:r>
          </w:p>
        </w:tc>
        <w:tc>
          <w:tcPr>
            <w:tcW w:w="7875"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APPROCHE DU TABLEAU D’ÉCHÉANCES</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Positions sur matières premières soumises à l’approche du tableau d’échéances visée à l’article 359 du CRR.</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87"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080</w:t>
            </w:r>
          </w:p>
        </w:tc>
        <w:tc>
          <w:tcPr>
            <w:tcW w:w="7875"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APPROCHE DU TABLEAU D’ÉCHÉANCES ÉLARGIE</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Positions sur matières premières soumises à l’approche du tableau d’échéances élargie visée à l’article 361 du CRR.</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87"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090</w:t>
            </w:r>
          </w:p>
        </w:tc>
        <w:tc>
          <w:tcPr>
            <w:tcW w:w="7875"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APPROCHE SIMPLIFIÉE</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lastRenderedPageBreak/>
              <w:t xml:space="preserve">Positions sur matières premières soumises à l’approche simplifiée visée à l’article 360 du CRR. </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87"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lastRenderedPageBreak/>
              <w:t>100-140</w:t>
            </w:r>
          </w:p>
        </w:tc>
        <w:tc>
          <w:tcPr>
            <w:tcW w:w="7875"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Style w:val="InstructionsTabelleberschrift"/>
                <w:rFonts w:ascii="Times New Roman" w:hAnsi="Times New Roman"/>
                <w:sz w:val="24"/>
              </w:rPr>
              <w:t>EXIGENCES SUPPLÉMENTAIRES POUR RISQUES SUR OPTIONS (RISQUES NON DELTA)</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 xml:space="preserve">Article 358, paragraphe 4, du CRR. </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Les exigences supplémentaires pour les options liées aux risques autres que le risque delta seront déclarées dans la méthode appliquée pour leur calcul.</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p>
        </w:tc>
      </w:tr>
    </w:tbl>
    <w:p w:rsidR="000B0B09" w:rsidRPr="00392FFD" w:rsidRDefault="000B0B09" w:rsidP="000B0B09">
      <w:pPr>
        <w:rPr>
          <w:rFonts w:ascii="Times New Roman" w:hAnsi="Times New Roman"/>
          <w:sz w:val="24"/>
        </w:rPr>
      </w:pPr>
    </w:p>
    <w:p w:rsidR="000B0B09" w:rsidRPr="0023700C" w:rsidRDefault="00125707" w:rsidP="0023700C">
      <w:pPr>
        <w:pStyle w:val="Instructionsberschrift2"/>
        <w:numPr>
          <w:ilvl w:val="0"/>
          <w:numId w:val="0"/>
        </w:numPr>
        <w:ind w:left="357" w:hanging="357"/>
        <w:rPr>
          <w:rFonts w:ascii="Times New Roman" w:hAnsi="Times New Roman"/>
          <w:sz w:val="24"/>
        </w:rPr>
      </w:pPr>
      <w:bookmarkStart w:id="639" w:name="_Toc262566438"/>
      <w:bookmarkStart w:id="640" w:name="_Toc295830014"/>
      <w:bookmarkStart w:id="641" w:name="_Toc308426691"/>
      <w:bookmarkStart w:id="642" w:name="_Toc310415075"/>
      <w:bookmarkStart w:id="643" w:name="_Toc360188410"/>
      <w:bookmarkStart w:id="644" w:name="_Toc473561050"/>
      <w:bookmarkStart w:id="645" w:name="_Toc496022361"/>
      <w:r>
        <w:rPr>
          <w:rFonts w:ascii="Times New Roman" w:hAnsi="Times New Roman"/>
          <w:sz w:val="24"/>
          <w:u w:val="none"/>
        </w:rPr>
        <w:t>5.7.</w:t>
      </w:r>
      <w:r>
        <w:tab/>
      </w:r>
      <w:r>
        <w:rPr>
          <w:rFonts w:ascii="Times New Roman" w:hAnsi="Times New Roman"/>
          <w:sz w:val="24"/>
        </w:rPr>
        <w:t>C 24.00 - Risque de marché selon l'approche fondée sur les modèles internes</w:t>
      </w:r>
      <w:bookmarkEnd w:id="639"/>
      <w:bookmarkEnd w:id="640"/>
      <w:bookmarkEnd w:id="641"/>
      <w:bookmarkEnd w:id="642"/>
      <w:bookmarkEnd w:id="643"/>
      <w:r>
        <w:rPr>
          <w:rFonts w:ascii="Times New Roman" w:hAnsi="Times New Roman"/>
          <w:sz w:val="24"/>
        </w:rPr>
        <w:t xml:space="preserve"> (MKR IM)</w:t>
      </w:r>
      <w:bookmarkEnd w:id="644"/>
      <w:bookmarkEnd w:id="645"/>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646" w:name="_Toc262566439"/>
      <w:bookmarkStart w:id="647" w:name="_Toc295830015"/>
      <w:bookmarkStart w:id="648" w:name="_Toc308426692"/>
      <w:bookmarkStart w:id="649" w:name="_Toc310415076"/>
      <w:bookmarkStart w:id="650" w:name="_Toc360188411"/>
      <w:bookmarkStart w:id="651" w:name="_Toc473561051"/>
      <w:bookmarkStart w:id="652" w:name="_Toc496022362"/>
      <w:r>
        <w:rPr>
          <w:rFonts w:ascii="Times New Roman" w:hAnsi="Times New Roman"/>
          <w:sz w:val="24"/>
          <w:u w:val="none"/>
        </w:rPr>
        <w:t>5.7.1.</w:t>
      </w:r>
      <w:r>
        <w:tab/>
      </w:r>
      <w:r>
        <w:rPr>
          <w:rFonts w:ascii="Times New Roman" w:hAnsi="Times New Roman"/>
          <w:sz w:val="24"/>
        </w:rPr>
        <w:t>Remarques générales</w:t>
      </w:r>
      <w:bookmarkEnd w:id="646"/>
      <w:bookmarkEnd w:id="647"/>
      <w:bookmarkEnd w:id="648"/>
      <w:bookmarkEnd w:id="649"/>
      <w:bookmarkEnd w:id="650"/>
      <w:bookmarkEnd w:id="651"/>
      <w:bookmarkEnd w:id="652"/>
    </w:p>
    <w:p w:rsidR="000B0B09" w:rsidRPr="00392FFD" w:rsidRDefault="00125707" w:rsidP="0023700C">
      <w:pPr>
        <w:pStyle w:val="InstructionsText2"/>
        <w:numPr>
          <w:ilvl w:val="0"/>
          <w:numId w:val="0"/>
        </w:numPr>
        <w:ind w:left="1353" w:hanging="360"/>
      </w:pPr>
      <w:r>
        <w:t>153.</w:t>
      </w:r>
      <w:r>
        <w:tab/>
        <w:t>Ce modèle fournit une ventilation des valeurs en risque (VaR) et des valeurs en risque en situation de tensions (sVaR), en fonction des différents risques de marché (dette, actions, change, matières premières), ainsi que d’autres inform</w:t>
      </w:r>
      <w:r>
        <w:t>a</w:t>
      </w:r>
      <w:r>
        <w:t>tions pertinentes pour le calcul des exigences de fonds propres.</w:t>
      </w:r>
    </w:p>
    <w:p w:rsidR="000B0B09" w:rsidRPr="00321A3B" w:rsidRDefault="00125707" w:rsidP="0023700C">
      <w:pPr>
        <w:pStyle w:val="InstructionsText2"/>
        <w:numPr>
          <w:ilvl w:val="0"/>
          <w:numId w:val="0"/>
        </w:numPr>
        <w:ind w:left="1353" w:hanging="360"/>
      </w:pPr>
      <w:r>
        <w:t>154.</w:t>
      </w:r>
      <w:r>
        <w:tab/>
        <w:t>En règle générale, la déclaration dépend de la structure du modèle appliqué par les établissements, selon qu’ils déclarent séparément ou ensemble leurs chiffres pour le risque général et pour le risque spécifique. Il en va de même pour la décomposition des VaR/sVaR selon les catégories de risques (risque de taux d’intérêt, risque lié aux actions, risque sur matières premières et risque de change). Un établissement peut s’abstenir de déclarer les décompositions me</w:t>
      </w:r>
      <w:r>
        <w:t>n</w:t>
      </w:r>
      <w:r>
        <w:t>tionnées ci-dessus s’il démontre que cette déclaration représenterait une co</w:t>
      </w:r>
      <w:r>
        <w:t>n</w:t>
      </w:r>
      <w:r>
        <w:t xml:space="preserve">trainte excessive. </w:t>
      </w:r>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653" w:name="_Toc262566440"/>
      <w:bookmarkStart w:id="654" w:name="_Toc295830016"/>
      <w:bookmarkStart w:id="655" w:name="_Toc308426693"/>
      <w:bookmarkStart w:id="656" w:name="_Toc310415077"/>
      <w:bookmarkStart w:id="657" w:name="_Toc360188412"/>
      <w:bookmarkStart w:id="658" w:name="_Toc473561052"/>
      <w:bookmarkStart w:id="659" w:name="_Toc496022363"/>
      <w:r>
        <w:rPr>
          <w:rFonts w:ascii="Times New Roman" w:hAnsi="Times New Roman"/>
          <w:sz w:val="24"/>
          <w:u w:val="none"/>
        </w:rPr>
        <w:t>5.7.2.</w:t>
      </w:r>
      <w:r>
        <w:tab/>
      </w:r>
      <w:r>
        <w:rPr>
          <w:rFonts w:ascii="Times New Roman" w:hAnsi="Times New Roman"/>
          <w:sz w:val="24"/>
        </w:rPr>
        <w:t>Instructions concernant certaines positions</w:t>
      </w:r>
      <w:bookmarkEnd w:id="653"/>
      <w:bookmarkEnd w:id="654"/>
      <w:bookmarkEnd w:id="655"/>
      <w:bookmarkEnd w:id="656"/>
      <w:bookmarkEnd w:id="657"/>
      <w:bookmarkEnd w:id="658"/>
      <w:bookmarkEnd w:id="6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7869"/>
      </w:tblGrid>
      <w:tr w:rsidR="000B0B09" w:rsidRPr="00392FFD" w:rsidTr="000B0B09">
        <w:tc>
          <w:tcPr>
            <w:tcW w:w="8862" w:type="dxa"/>
            <w:gridSpan w:val="2"/>
            <w:shd w:val="clear" w:color="auto" w:fill="BFBFBF"/>
          </w:tcPr>
          <w:p w:rsidR="000B0B09" w:rsidRPr="00392FFD" w:rsidRDefault="0034786E" w:rsidP="000B0B09">
            <w:pPr>
              <w:autoSpaceDE w:val="0"/>
              <w:autoSpaceDN w:val="0"/>
              <w:adjustRightInd w:val="0"/>
              <w:spacing w:before="0" w:after="0"/>
              <w:rPr>
                <w:rFonts w:ascii="Times New Roman" w:hAnsi="Times New Roman"/>
                <w:sz w:val="24"/>
              </w:rPr>
            </w:pPr>
            <w:r>
              <w:rPr>
                <w:rFonts w:ascii="Times New Roman" w:hAnsi="Times New Roman"/>
                <w:sz w:val="24"/>
              </w:rPr>
              <w:t>Colonnes</w:t>
            </w:r>
          </w:p>
        </w:tc>
      </w:tr>
      <w:tr w:rsidR="000B0B09" w:rsidRPr="00392FFD" w:rsidTr="000B0B09">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030-040</w:t>
            </w:r>
          </w:p>
        </w:tc>
        <w:tc>
          <w:tcPr>
            <w:tcW w:w="7869"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 xml:space="preserve">Valeur en risque (VaR) </w:t>
            </w:r>
          </w:p>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sz w:val="24"/>
              </w:rPr>
              <w:t>Il s’agit de la perte potentielle maximale qui résulterait d’une variation du prix selon une probabilité donnée et dans un délai défini.</w:t>
            </w:r>
          </w:p>
        </w:tc>
      </w:tr>
      <w:tr w:rsidR="000B0B09" w:rsidRPr="00392FFD" w:rsidTr="000B0B09">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030</w:t>
            </w:r>
          </w:p>
        </w:tc>
        <w:tc>
          <w:tcPr>
            <w:tcW w:w="7869"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Facteur de multiplication (mc) x moyenne de la VaR sur les 60 derniers jours ouvrés (VaRavg)</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5F1095">
            <w:pPr>
              <w:autoSpaceDE w:val="0"/>
              <w:autoSpaceDN w:val="0"/>
              <w:adjustRightInd w:val="0"/>
              <w:spacing w:before="0" w:after="0"/>
              <w:rPr>
                <w:rFonts w:ascii="Times New Roman" w:hAnsi="Times New Roman"/>
                <w:sz w:val="24"/>
              </w:rPr>
            </w:pPr>
            <w:r>
              <w:rPr>
                <w:rFonts w:ascii="Times New Roman" w:hAnsi="Times New Roman"/>
                <w:sz w:val="24"/>
              </w:rPr>
              <w:t xml:space="preserve">Article 364, paragraphe 1, point a) ii), et article 365, paragraphe 1, du CRR. </w:t>
            </w:r>
          </w:p>
          <w:p w:rsidR="000B0B09" w:rsidRPr="00392FFD" w:rsidRDefault="000B0B09" w:rsidP="000B0B09">
            <w:pPr>
              <w:autoSpaceDE w:val="0"/>
              <w:autoSpaceDN w:val="0"/>
              <w:adjustRightInd w:val="0"/>
              <w:spacing w:before="0" w:after="0"/>
              <w:rPr>
                <w:rFonts w:ascii="Times New Roman" w:hAnsi="Times New Roman"/>
                <w:sz w:val="24"/>
              </w:rPr>
            </w:pPr>
          </w:p>
        </w:tc>
      </w:tr>
      <w:tr w:rsidR="000B0B09" w:rsidRPr="00392FFD" w:rsidTr="000B0B09">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040</w:t>
            </w:r>
          </w:p>
        </w:tc>
        <w:tc>
          <w:tcPr>
            <w:tcW w:w="7869"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VaR de la veille (VaRt-1)</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 xml:space="preserve">Article 364, paragraphe 1, point a) i), et article 365, paragraphe 1, du CRR </w:t>
            </w:r>
          </w:p>
          <w:p w:rsidR="000B0B09" w:rsidRPr="00392FFD" w:rsidRDefault="000B0B09" w:rsidP="000B0B09">
            <w:pPr>
              <w:autoSpaceDE w:val="0"/>
              <w:autoSpaceDN w:val="0"/>
              <w:adjustRightInd w:val="0"/>
              <w:spacing w:before="0" w:after="0"/>
              <w:rPr>
                <w:rFonts w:ascii="Times New Roman" w:hAnsi="Times New Roman"/>
                <w:sz w:val="24"/>
              </w:rPr>
            </w:pPr>
          </w:p>
        </w:tc>
      </w:tr>
      <w:tr w:rsidR="000B0B09" w:rsidRPr="00392FFD" w:rsidTr="000B0B09">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050-060</w:t>
            </w:r>
          </w:p>
        </w:tc>
        <w:tc>
          <w:tcPr>
            <w:tcW w:w="7869"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VaR en situation de tensions</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lastRenderedPageBreak/>
              <w:t>Il s’agit de la perte potentielle maximale qui résulterait d’une variation du prix selon une probabilité donnée et dans un délai défini, déterminée sur la base des données d’entrée calibrées par rapport aux données historiques aff</w:t>
            </w:r>
            <w:r>
              <w:rPr>
                <w:rFonts w:ascii="Times New Roman" w:hAnsi="Times New Roman"/>
                <w:sz w:val="24"/>
              </w:rPr>
              <w:t>é</w:t>
            </w:r>
            <w:r>
              <w:rPr>
                <w:rFonts w:ascii="Times New Roman" w:hAnsi="Times New Roman"/>
                <w:sz w:val="24"/>
              </w:rPr>
              <w:t>rentes à une période de tensions financières d’une durée continue de douze mois pertinentes pour le portefeuille de l’établissement.</w:t>
            </w:r>
          </w:p>
        </w:tc>
      </w:tr>
      <w:tr w:rsidR="000B0B09" w:rsidRPr="00392FFD" w:rsidTr="000B0B09">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lastRenderedPageBreak/>
              <w:t>050</w:t>
            </w:r>
          </w:p>
        </w:tc>
        <w:tc>
          <w:tcPr>
            <w:tcW w:w="7869"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Facteur de multiplication (ms) x moyenne des 60 derniers jours ouvrés (SVaRavg)</w:t>
            </w:r>
          </w:p>
          <w:p w:rsidR="000B0B09" w:rsidRPr="00392FFD" w:rsidRDefault="000B0B09" w:rsidP="000B0B09">
            <w:pPr>
              <w:autoSpaceDE w:val="0"/>
              <w:autoSpaceDN w:val="0"/>
              <w:adjustRightInd w:val="0"/>
              <w:spacing w:before="0" w:after="0"/>
              <w:rPr>
                <w:rStyle w:val="InstructionsTabelleberschrift"/>
                <w:rFonts w:ascii="Times New Roman" w:hAnsi="Times New Roman"/>
                <w:sz w:val="24"/>
              </w:rPr>
            </w:pPr>
          </w:p>
          <w:p w:rsidR="000B0B09" w:rsidRPr="00392FFD" w:rsidRDefault="000B0B09" w:rsidP="000B0B09">
            <w:pPr>
              <w:autoSpaceDE w:val="0"/>
              <w:autoSpaceDN w:val="0"/>
              <w:adjustRightInd w:val="0"/>
              <w:spacing w:before="0" w:after="0"/>
              <w:rPr>
                <w:rStyle w:val="InstructionsTabelleberschrift"/>
                <w:rFonts w:ascii="Times New Roman" w:hAnsi="Times New Roman"/>
                <w:b w:val="0"/>
                <w:bCs w:val="0"/>
                <w:sz w:val="24"/>
              </w:rPr>
            </w:pPr>
            <w:r>
              <w:rPr>
                <w:rFonts w:ascii="Times New Roman" w:hAnsi="Times New Roman"/>
                <w:sz w:val="24"/>
              </w:rPr>
              <w:t>Article 364, paragraphe 1, point b) ii), et article 365, paragraphe 1, du CRR</w:t>
            </w:r>
            <w:r>
              <w:rPr>
                <w:rStyle w:val="InstructionsTabelleberschrift"/>
                <w:rFonts w:ascii="Times New Roman" w:hAnsi="Times New Roman"/>
                <w:sz w:val="24"/>
              </w:rPr>
              <w:t xml:space="preserve"> </w:t>
            </w:r>
          </w:p>
          <w:p w:rsidR="000B0B09" w:rsidRPr="00392FFD" w:rsidRDefault="000B0B09" w:rsidP="000B0B09">
            <w:pPr>
              <w:autoSpaceDE w:val="0"/>
              <w:autoSpaceDN w:val="0"/>
              <w:adjustRightInd w:val="0"/>
              <w:spacing w:before="0" w:after="0"/>
              <w:rPr>
                <w:rStyle w:val="InstructionsTabelleberschrift"/>
                <w:rFonts w:ascii="Times New Roman" w:hAnsi="Times New Roman"/>
                <w:sz w:val="24"/>
              </w:rPr>
            </w:pPr>
          </w:p>
        </w:tc>
      </w:tr>
      <w:tr w:rsidR="000B0B09" w:rsidRPr="00392FFD" w:rsidTr="000B0B09">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060</w:t>
            </w:r>
          </w:p>
        </w:tc>
        <w:tc>
          <w:tcPr>
            <w:tcW w:w="7869"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Dernière mesure disponible (SVaRt-1)</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 xml:space="preserve">Article 364, paragraphe 1, point b) i), et article 365, paragraphe 1, du CRR </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070-080</w:t>
            </w:r>
          </w:p>
        </w:tc>
        <w:tc>
          <w:tcPr>
            <w:tcW w:w="7869"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EXIGENCES DE FONDS PROPRES POUR RISQUES SUPPLÉME</w:t>
            </w:r>
            <w:r>
              <w:rPr>
                <w:rFonts w:ascii="Times New Roman" w:hAnsi="Times New Roman"/>
                <w:b/>
                <w:sz w:val="24"/>
                <w:u w:val="single"/>
              </w:rPr>
              <w:t>N</w:t>
            </w:r>
            <w:r>
              <w:rPr>
                <w:rFonts w:ascii="Times New Roman" w:hAnsi="Times New Roman"/>
                <w:b/>
                <w:sz w:val="24"/>
                <w:u w:val="single"/>
              </w:rPr>
              <w:t>TAIRES DE DÉFAUT ET DE MIGRATION</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rPr>
                <w:rFonts w:ascii="Times New Roman" w:hAnsi="Times New Roman"/>
                <w:sz w:val="24"/>
              </w:rPr>
            </w:pPr>
            <w:r>
              <w:rPr>
                <w:rFonts w:ascii="Times New Roman" w:hAnsi="Times New Roman"/>
                <w:sz w:val="24"/>
              </w:rPr>
              <w:t xml:space="preserve">Il s’agit de la perte potentielle maximale qui résulterait d’une variation de prix liée à des risques de défaut et de migration, calculée conformément à l’article 364, paragraphe 2, point b), en relation avec les dispositions de la troisième partie, titre IV, chapitre 5, section 4 du CRR. </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070</w:t>
            </w:r>
          </w:p>
        </w:tc>
        <w:tc>
          <w:tcPr>
            <w:tcW w:w="7869"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Mesure moyenne sur 12 semaines</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Article 364, paragraphe 2, point b) ii), en relation avec la troisième partie, titre IV, chapitre 5, section 4 du CRR.</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080</w:t>
            </w:r>
          </w:p>
        </w:tc>
        <w:tc>
          <w:tcPr>
            <w:tcW w:w="7869"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Dernière mesure</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Article 364, paragraphe 2, point b) i), en relation avec la troisième partie, titre IV, chapitre 5, section 4 du CRR.</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090-110</w:t>
            </w:r>
          </w:p>
        </w:tc>
        <w:tc>
          <w:tcPr>
            <w:tcW w:w="7869"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EXIGENCES DE FONDS PROPRES TOUS RISQUES DE PRIX POUR LE PORTEFEUILLE DE NÉGOCIATION EN CORRÉLATION</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090</w:t>
            </w:r>
          </w:p>
        </w:tc>
        <w:tc>
          <w:tcPr>
            <w:tcW w:w="7869"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PLANCHER</w:t>
            </w:r>
          </w:p>
          <w:p w:rsidR="000B0B09" w:rsidRPr="00392FFD" w:rsidRDefault="000B0B09" w:rsidP="000B0B09">
            <w:pPr>
              <w:rPr>
                <w:rFonts w:ascii="Times New Roman" w:hAnsi="Times New Roman"/>
                <w:sz w:val="24"/>
              </w:rPr>
            </w:pPr>
            <w:r>
              <w:rPr>
                <w:rFonts w:ascii="Times New Roman" w:hAnsi="Times New Roman"/>
                <w:sz w:val="24"/>
              </w:rPr>
              <w:t>Article 364, paragraphe 3, point c), du CRR</w:t>
            </w:r>
          </w:p>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sz w:val="24"/>
              </w:rPr>
              <w:t>= 8 % de l'exigence de fonds propres qui serait calculée conformément à l'a</w:t>
            </w:r>
            <w:r>
              <w:rPr>
                <w:rFonts w:ascii="Times New Roman" w:hAnsi="Times New Roman"/>
                <w:sz w:val="24"/>
              </w:rPr>
              <w:t>r</w:t>
            </w:r>
            <w:r>
              <w:rPr>
                <w:rFonts w:ascii="Times New Roman" w:hAnsi="Times New Roman"/>
                <w:sz w:val="24"/>
              </w:rPr>
              <w:t>ticle 338, paragraphe 1, du CRR, pour toutes les positions prises en compte dans les exigences de fonds propres «tous risques de prix».</w:t>
            </w:r>
            <w:r>
              <w:rPr>
                <w:rFonts w:ascii="Times New Roman" w:hAnsi="Times New Roman"/>
                <w:b/>
                <w:sz w:val="24"/>
                <w:u w:val="single"/>
              </w:rPr>
              <w:t xml:space="preserve"> </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100-110</w:t>
            </w:r>
          </w:p>
        </w:tc>
        <w:tc>
          <w:tcPr>
            <w:tcW w:w="7869"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MESURE MOYENNE SUR 12 SEMAINES ET DERNIÈRE MESURE</w:t>
            </w:r>
          </w:p>
          <w:p w:rsidR="000B0B09" w:rsidRPr="00392FFD" w:rsidRDefault="000B0B09" w:rsidP="000B0B09">
            <w:pPr>
              <w:autoSpaceDE w:val="0"/>
              <w:autoSpaceDN w:val="0"/>
              <w:adjustRightInd w:val="0"/>
              <w:spacing w:before="0" w:after="0"/>
              <w:rPr>
                <w:rFonts w:ascii="Times New Roman" w:hAnsi="Times New Roman"/>
                <w:bCs/>
                <w:sz w:val="24"/>
                <w:u w:val="single"/>
              </w:rPr>
            </w:pPr>
            <w:r>
              <w:rPr>
                <w:rFonts w:ascii="Times New Roman" w:hAnsi="Times New Roman"/>
                <w:sz w:val="24"/>
                <w:u w:val="single"/>
              </w:rPr>
              <w:t>Article 364, paragraphe 3, point b)</w:t>
            </w:r>
          </w:p>
          <w:p w:rsidR="000B0B09" w:rsidRPr="00392FFD" w:rsidRDefault="000B0B09" w:rsidP="000B0B09">
            <w:pPr>
              <w:autoSpaceDE w:val="0"/>
              <w:autoSpaceDN w:val="0"/>
              <w:adjustRightInd w:val="0"/>
              <w:spacing w:before="0" w:after="0"/>
              <w:rPr>
                <w:rFonts w:ascii="Times New Roman" w:hAnsi="Times New Roman"/>
                <w:bCs/>
                <w:sz w:val="24"/>
                <w:u w:val="single"/>
              </w:rPr>
            </w:pPr>
          </w:p>
        </w:tc>
      </w:tr>
      <w:tr w:rsidR="000B0B09" w:rsidRPr="00392FFD" w:rsidTr="000B0B09">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110</w:t>
            </w:r>
          </w:p>
        </w:tc>
        <w:tc>
          <w:tcPr>
            <w:tcW w:w="7869"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DERNIÈRE MESURE</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bCs/>
                <w:sz w:val="24"/>
                <w:u w:val="single"/>
              </w:rPr>
            </w:pPr>
            <w:r>
              <w:rPr>
                <w:rFonts w:ascii="Times New Roman" w:hAnsi="Times New Roman"/>
                <w:sz w:val="24"/>
                <w:u w:val="single"/>
              </w:rPr>
              <w:t>Article 364, paragraphe 3, point a)</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lastRenderedPageBreak/>
              <w:t>120</w:t>
            </w:r>
          </w:p>
        </w:tc>
        <w:tc>
          <w:tcPr>
            <w:tcW w:w="7869"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EXIGENCES DE FONDS PROPRES</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 xml:space="preserve">Visées à l’article 364 du CRR pour tous les facteurs de risque, compte tenu des effets de corrélation, le cas échéant, ainsi que des risques supplémentaires de défaut et de migration et de tous les risques de prix pour le CTP, à l’exclusion toutefois des exigences de fonds propres pour les titrisations et les dérivés de crédit au nième défaut conformément à l’article 364, paragraphe 2, du CRR. </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130</w:t>
            </w:r>
          </w:p>
        </w:tc>
        <w:tc>
          <w:tcPr>
            <w:tcW w:w="7869"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MONTANT TOTAL D'EXPOSITION AU RISQUE</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Article 92, paragraphe 4, point b) du CRR. Résultat de la multiplication par 12,5 des exigences de fonds propres.</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140</w:t>
            </w:r>
          </w:p>
        </w:tc>
        <w:tc>
          <w:tcPr>
            <w:tcW w:w="7869"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Nombre de dépassements (au cours des 250 derniers jours ouvrés)</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 xml:space="preserve">Voir l’article 366 du CRR. </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150-160</w:t>
            </w:r>
          </w:p>
        </w:tc>
        <w:tc>
          <w:tcPr>
            <w:tcW w:w="7869"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Facteur de multiplication de la valeur en risque (mc) et facteur de mult</w:t>
            </w:r>
            <w:r>
              <w:rPr>
                <w:rFonts w:ascii="Times New Roman" w:hAnsi="Times New Roman"/>
                <w:b/>
                <w:sz w:val="24"/>
                <w:u w:val="single"/>
              </w:rPr>
              <w:t>i</w:t>
            </w:r>
            <w:r>
              <w:rPr>
                <w:rFonts w:ascii="Times New Roman" w:hAnsi="Times New Roman"/>
                <w:b/>
                <w:sz w:val="24"/>
                <w:u w:val="single"/>
              </w:rPr>
              <w:t>plication de la valeur en risque en situation de tensions (ms)</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Style w:val="InstructionsTabelleberschrift"/>
                <w:rFonts w:ascii="Times New Roman" w:hAnsi="Times New Roman"/>
                <w:sz w:val="24"/>
              </w:rPr>
            </w:pPr>
            <w:r>
              <w:rPr>
                <w:rFonts w:ascii="Times New Roman" w:hAnsi="Times New Roman"/>
                <w:sz w:val="24"/>
              </w:rPr>
              <w:t>Voir l’article 366 du CRR.</w:t>
            </w:r>
            <w:r>
              <w:rPr>
                <w:rStyle w:val="InstructionsTabelleberschrift"/>
                <w:rFonts w:ascii="Times New Roman" w:hAnsi="Times New Roman"/>
                <w:sz w:val="24"/>
              </w:rPr>
              <w:t xml:space="preserve"> </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B0B09">
        <w:tc>
          <w:tcPr>
            <w:tcW w:w="993" w:type="dxa"/>
          </w:tcPr>
          <w:p w:rsidR="000B0B09" w:rsidRPr="00392FFD" w:rsidRDefault="000B0B09" w:rsidP="00B74792">
            <w:pPr>
              <w:autoSpaceDE w:val="0"/>
              <w:autoSpaceDN w:val="0"/>
              <w:adjustRightInd w:val="0"/>
              <w:spacing w:before="0" w:after="0"/>
              <w:rPr>
                <w:rFonts w:ascii="Times New Roman" w:hAnsi="Times New Roman"/>
                <w:sz w:val="24"/>
              </w:rPr>
            </w:pPr>
            <w:r>
              <w:rPr>
                <w:rFonts w:ascii="Times New Roman" w:hAnsi="Times New Roman"/>
                <w:sz w:val="24"/>
              </w:rPr>
              <w:t>170-180</w:t>
            </w:r>
          </w:p>
        </w:tc>
        <w:tc>
          <w:tcPr>
            <w:tcW w:w="7869"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EXIGENCE PRÉSUMÉE POUR LE PLANCHER DU PORTEFEUILLE DE NÉGOCIATION EN CORRÉLATION - POSITIONS LONGUES/ COURTES NETTES PONDÉRÉES APRÈS APPLICATION DU PL</w:t>
            </w:r>
            <w:r>
              <w:rPr>
                <w:rFonts w:ascii="Times New Roman" w:hAnsi="Times New Roman"/>
                <w:b/>
                <w:sz w:val="24"/>
                <w:u w:val="single"/>
              </w:rPr>
              <w:t>A</w:t>
            </w:r>
            <w:r>
              <w:rPr>
                <w:rFonts w:ascii="Times New Roman" w:hAnsi="Times New Roman"/>
                <w:b/>
                <w:sz w:val="24"/>
                <w:u w:val="single"/>
              </w:rPr>
              <w:t>FOND</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Les montants déclarés, qui servent de base au calcul de l’exigence plancher de fonds propres pour tous les risques de prix, conformément à l’article 364, par</w:t>
            </w:r>
            <w:r>
              <w:rPr>
                <w:rFonts w:ascii="Times New Roman" w:hAnsi="Times New Roman"/>
                <w:sz w:val="24"/>
              </w:rPr>
              <w:t>a</w:t>
            </w:r>
            <w:r>
              <w:rPr>
                <w:rFonts w:ascii="Times New Roman" w:hAnsi="Times New Roman"/>
                <w:sz w:val="24"/>
              </w:rPr>
              <w:t xml:space="preserve">graphe 3, point c), du CRR, tiennent compte de la marge d’appréciation de l’article 335 du CRR, lequel dispose qu’un établissement peut plafonner le produit de la pondération et de la position nette à la perte maximale possible liée à un défaut. </w:t>
            </w:r>
          </w:p>
          <w:p w:rsidR="00902EFC" w:rsidRPr="00392FFD" w:rsidRDefault="00902EFC" w:rsidP="000B0B09">
            <w:pPr>
              <w:autoSpaceDE w:val="0"/>
              <w:autoSpaceDN w:val="0"/>
              <w:adjustRightInd w:val="0"/>
              <w:spacing w:before="0" w:after="0"/>
              <w:rPr>
                <w:rStyle w:val="InstructionsTabelleberschrift"/>
                <w:rFonts w:ascii="Times New Roman" w:hAnsi="Times New Roman"/>
                <w:sz w:val="24"/>
              </w:rPr>
            </w:pPr>
          </w:p>
        </w:tc>
      </w:tr>
    </w:tbl>
    <w:p w:rsidR="000B0B09" w:rsidRPr="00392FFD" w:rsidRDefault="000B0B09" w:rsidP="000B0B09">
      <w:pPr>
        <w:rPr>
          <w:rFonts w:ascii="Times New Roman" w:hAnsi="Times New Roman"/>
          <w:sz w:val="24"/>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7903"/>
      </w:tblGrid>
      <w:tr w:rsidR="000B0B09" w:rsidRPr="00392FFD" w:rsidTr="00092F67">
        <w:trPr>
          <w:trHeight w:val="566"/>
        </w:trPr>
        <w:tc>
          <w:tcPr>
            <w:tcW w:w="8896" w:type="dxa"/>
            <w:gridSpan w:val="2"/>
            <w:shd w:val="clear" w:color="auto" w:fill="CCCCCC"/>
          </w:tcPr>
          <w:p w:rsidR="000B0B09" w:rsidRPr="00392FFD" w:rsidRDefault="000B0B09" w:rsidP="000B0B09">
            <w:pPr>
              <w:autoSpaceDE w:val="0"/>
              <w:autoSpaceDN w:val="0"/>
              <w:adjustRightInd w:val="0"/>
              <w:spacing w:after="0"/>
              <w:rPr>
                <w:rFonts w:ascii="Times New Roman" w:hAnsi="Times New Roman"/>
                <w:b/>
                <w:sz w:val="24"/>
              </w:rPr>
            </w:pPr>
            <w:r>
              <w:rPr>
                <w:rFonts w:ascii="Times New Roman" w:hAnsi="Times New Roman"/>
                <w:b/>
                <w:sz w:val="24"/>
              </w:rPr>
              <w:t>Lignes</w:t>
            </w:r>
          </w:p>
        </w:tc>
      </w:tr>
      <w:tr w:rsidR="000B0B09" w:rsidRPr="00392FFD" w:rsidTr="00092F67">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010</w:t>
            </w:r>
          </w:p>
        </w:tc>
        <w:tc>
          <w:tcPr>
            <w:tcW w:w="7903"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TOTAL DES POSITIONS</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Correspond à la portion du risque de position, du risque de change et du risque sur matières premières, visés à l’article 363, paragraphe 1 du CRR, liée aux fa</w:t>
            </w:r>
            <w:r>
              <w:rPr>
                <w:rFonts w:ascii="Times New Roman" w:hAnsi="Times New Roman"/>
                <w:sz w:val="24"/>
              </w:rPr>
              <w:t>c</w:t>
            </w:r>
            <w:r>
              <w:rPr>
                <w:rFonts w:ascii="Times New Roman" w:hAnsi="Times New Roman"/>
                <w:sz w:val="24"/>
              </w:rPr>
              <w:t xml:space="preserve">teurs de risque énoncés à l’article 367, paragraphe 2, du CRR. </w:t>
            </w: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 xml:space="preserve">En ce qui concerne les colonnes 030 à 060 (VaR et sVaR), les chiffres de la ligne du total ne sont pas égaux à la décomposition des chiffres pour la VaR/sVaR des composantes de risque pertinentes. La décomposition est donc pour mémoire. </w:t>
            </w:r>
          </w:p>
          <w:p w:rsidR="000B0B09" w:rsidRPr="00392FFD" w:rsidRDefault="000B0B09" w:rsidP="000B0B09">
            <w:pPr>
              <w:autoSpaceDE w:val="0"/>
              <w:autoSpaceDN w:val="0"/>
              <w:adjustRightInd w:val="0"/>
              <w:spacing w:before="0" w:after="0"/>
              <w:rPr>
                <w:rFonts w:ascii="Times New Roman" w:hAnsi="Times New Roman"/>
                <w:sz w:val="24"/>
              </w:rPr>
            </w:pPr>
          </w:p>
        </w:tc>
      </w:tr>
      <w:tr w:rsidR="000B0B09" w:rsidRPr="00392FFD" w:rsidTr="00092F67">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020</w:t>
            </w:r>
          </w:p>
        </w:tc>
        <w:tc>
          <w:tcPr>
            <w:tcW w:w="7903"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TITRES DE CRÉANCE NÉGOCIÉS</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lastRenderedPageBreak/>
              <w:t>Correspond à la portion du risque de position visé à l’article 363, paragraphe 1, du CRR liée aux facteurs de risque de taux d’intérêt énoncés à l’article 367, p</w:t>
            </w:r>
            <w:r>
              <w:rPr>
                <w:rFonts w:ascii="Times New Roman" w:hAnsi="Times New Roman"/>
                <w:sz w:val="24"/>
              </w:rPr>
              <w:t>a</w:t>
            </w:r>
            <w:r>
              <w:rPr>
                <w:rFonts w:ascii="Times New Roman" w:hAnsi="Times New Roman"/>
                <w:sz w:val="24"/>
              </w:rPr>
              <w:t xml:space="preserve">ragraphe 2, du CRR. </w:t>
            </w:r>
          </w:p>
        </w:tc>
      </w:tr>
      <w:tr w:rsidR="000B0B09" w:rsidRPr="00392FFD" w:rsidTr="00092F67">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lastRenderedPageBreak/>
              <w:t>030</w:t>
            </w:r>
          </w:p>
        </w:tc>
        <w:tc>
          <w:tcPr>
            <w:tcW w:w="7903"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TITRES DE CRÉANCE NÉGOCIÉS - RISQUE GÉNÉRAL</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 xml:space="preserve">Le risque général est défini à l’article 362 du CRR. </w:t>
            </w:r>
          </w:p>
        </w:tc>
      </w:tr>
      <w:tr w:rsidR="000B0B09" w:rsidRPr="00392FFD" w:rsidTr="00092F67">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040</w:t>
            </w:r>
          </w:p>
        </w:tc>
        <w:tc>
          <w:tcPr>
            <w:tcW w:w="7903"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TITRES DE CRÉANCE NÉGOCIÉS - RISQUE SPÉCIFIQUE</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sz w:val="24"/>
              </w:rPr>
              <w:t xml:space="preserve">Le risque spécifique est défini à l’article 362 du CRR. </w:t>
            </w:r>
          </w:p>
        </w:tc>
      </w:tr>
      <w:tr w:rsidR="000B0B09" w:rsidRPr="00392FFD" w:rsidTr="00092F67">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050</w:t>
            </w:r>
          </w:p>
        </w:tc>
        <w:tc>
          <w:tcPr>
            <w:tcW w:w="7903"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ACTIONS</w:t>
            </w:r>
          </w:p>
          <w:p w:rsidR="000B0B09" w:rsidRPr="00392FFD" w:rsidRDefault="000B0B09" w:rsidP="000B0B09">
            <w:pPr>
              <w:autoSpaceDE w:val="0"/>
              <w:autoSpaceDN w:val="0"/>
              <w:adjustRightInd w:val="0"/>
              <w:spacing w:before="0" w:after="0"/>
              <w:rPr>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Correspond à la portion du risque de position visé à l’article 363, paragraphe 1, du CRR liée aux facteurs de risque sur actions énoncés à l’article 367, par</w:t>
            </w:r>
            <w:r>
              <w:rPr>
                <w:rFonts w:ascii="Times New Roman" w:hAnsi="Times New Roman"/>
                <w:sz w:val="24"/>
              </w:rPr>
              <w:t>a</w:t>
            </w:r>
            <w:r>
              <w:rPr>
                <w:rFonts w:ascii="Times New Roman" w:hAnsi="Times New Roman"/>
                <w:sz w:val="24"/>
              </w:rPr>
              <w:t xml:space="preserve">graphe 2, du CRR. </w:t>
            </w:r>
          </w:p>
          <w:p w:rsidR="000B0B09" w:rsidRPr="00392FFD" w:rsidRDefault="000B0B09" w:rsidP="000B0B09">
            <w:pPr>
              <w:autoSpaceDE w:val="0"/>
              <w:autoSpaceDN w:val="0"/>
              <w:adjustRightInd w:val="0"/>
              <w:spacing w:before="0" w:after="0"/>
              <w:rPr>
                <w:rFonts w:ascii="Times New Roman" w:hAnsi="Times New Roman"/>
                <w:b/>
                <w:bCs/>
                <w:sz w:val="24"/>
                <w:u w:val="single"/>
              </w:rPr>
            </w:pPr>
          </w:p>
        </w:tc>
      </w:tr>
      <w:tr w:rsidR="000B0B09" w:rsidRPr="00392FFD" w:rsidTr="00092F67">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060</w:t>
            </w:r>
          </w:p>
        </w:tc>
        <w:tc>
          <w:tcPr>
            <w:tcW w:w="7903"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ACTIONS - RISQUE GÉNÉRAL</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sz w:val="24"/>
              </w:rPr>
              <w:t>Le risque général est défini à l’article 362 du CRR.</w:t>
            </w:r>
          </w:p>
        </w:tc>
      </w:tr>
      <w:tr w:rsidR="000B0B09" w:rsidRPr="00392FFD" w:rsidTr="00092F67">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070</w:t>
            </w:r>
          </w:p>
        </w:tc>
        <w:tc>
          <w:tcPr>
            <w:tcW w:w="7903"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ACTIONS - RISQUE SPÉCIFIQUE</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sz w:val="24"/>
              </w:rPr>
              <w:t xml:space="preserve">Le risque spécifique est défini à l’article 362 du CRR. </w:t>
            </w:r>
          </w:p>
        </w:tc>
      </w:tr>
      <w:tr w:rsidR="000B0B09" w:rsidRPr="00392FFD" w:rsidTr="00092F67">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080</w:t>
            </w:r>
          </w:p>
        </w:tc>
        <w:tc>
          <w:tcPr>
            <w:tcW w:w="7903"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RISQUE DE CHANGE</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sz w:val="24"/>
              </w:rPr>
              <w:t>Article 363, paragraphe 1, et article 367, paragraphe 2, du CRR.</w:t>
            </w:r>
          </w:p>
        </w:tc>
      </w:tr>
      <w:tr w:rsidR="000B0B09" w:rsidRPr="00392FFD" w:rsidTr="00092F67">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090</w:t>
            </w:r>
          </w:p>
        </w:tc>
        <w:tc>
          <w:tcPr>
            <w:tcW w:w="7903"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RISQUE SUR MATIÈRES PREMIÈRES</w:t>
            </w:r>
          </w:p>
          <w:p w:rsidR="000B0B09" w:rsidRPr="00392FFD" w:rsidRDefault="000B0B09" w:rsidP="000B0B09">
            <w:pPr>
              <w:autoSpaceDE w:val="0"/>
              <w:autoSpaceDN w:val="0"/>
              <w:adjustRightInd w:val="0"/>
              <w:spacing w:before="0" w:after="0"/>
              <w:rPr>
                <w:rFonts w:ascii="Times New Roman" w:hAnsi="Times New Roman"/>
                <w:b/>
                <w:bCs/>
                <w:sz w:val="24"/>
                <w:u w:val="single"/>
              </w:rPr>
            </w:pPr>
          </w:p>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sz w:val="24"/>
              </w:rPr>
              <w:t xml:space="preserve">Article 363, paragraphe 1, et article 367, paragraphe 2, du CRR. </w:t>
            </w:r>
          </w:p>
        </w:tc>
      </w:tr>
      <w:tr w:rsidR="000B0B09" w:rsidRPr="00392FFD" w:rsidTr="00092F67">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100</w:t>
            </w:r>
          </w:p>
        </w:tc>
        <w:tc>
          <w:tcPr>
            <w:tcW w:w="7903"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MONTANT TOTAL RISQUE GÉNÉRAL</w:t>
            </w:r>
          </w:p>
          <w:p w:rsidR="000B0B09" w:rsidRPr="00392FFD" w:rsidRDefault="000B0B09" w:rsidP="000B0B09">
            <w:pPr>
              <w:autoSpaceDE w:val="0"/>
              <w:autoSpaceDN w:val="0"/>
              <w:adjustRightInd w:val="0"/>
              <w:spacing w:before="0" w:after="0"/>
              <w:rPr>
                <w:rStyle w:val="InstructionsTabelleText"/>
                <w:rFonts w:ascii="Times New Roman" w:hAnsi="Times New Roman"/>
                <w:sz w:val="24"/>
              </w:rPr>
            </w:pPr>
          </w:p>
          <w:p w:rsidR="000B0B09" w:rsidRPr="00392FFD" w:rsidRDefault="000B0B09" w:rsidP="000B0B09">
            <w:pPr>
              <w:autoSpaceDE w:val="0"/>
              <w:autoSpaceDN w:val="0"/>
              <w:adjustRightInd w:val="0"/>
              <w:spacing w:before="0" w:after="0"/>
              <w:rPr>
                <w:rStyle w:val="InstructionsTabelleText"/>
                <w:rFonts w:ascii="Times New Roman" w:hAnsi="Times New Roman"/>
                <w:sz w:val="24"/>
              </w:rPr>
            </w:pPr>
            <w:r>
              <w:rPr>
                <w:rStyle w:val="InstructionsTabelleText"/>
                <w:rFonts w:ascii="Times New Roman" w:hAnsi="Times New Roman"/>
                <w:sz w:val="24"/>
              </w:rPr>
              <w:t xml:space="preserve">Risque de marché provoqué par des mouvements généraux des marchés des titres de créance négociés, des actions, des changes et des matières premières. VaR pour risque général de tous les facteurs de risque (compte tenu des effets de corrélation, le cas échéant). </w:t>
            </w:r>
          </w:p>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 xml:space="preserve"> </w:t>
            </w:r>
          </w:p>
        </w:tc>
      </w:tr>
      <w:tr w:rsidR="000B0B09" w:rsidRPr="00392FFD" w:rsidTr="00092F67">
        <w:tc>
          <w:tcPr>
            <w:tcW w:w="993" w:type="dxa"/>
          </w:tcPr>
          <w:p w:rsidR="000B0B09" w:rsidRPr="00392FFD" w:rsidRDefault="000B0B09" w:rsidP="000B0B09">
            <w:pPr>
              <w:autoSpaceDE w:val="0"/>
              <w:autoSpaceDN w:val="0"/>
              <w:adjustRightInd w:val="0"/>
              <w:spacing w:before="0" w:after="0"/>
              <w:rPr>
                <w:rFonts w:ascii="Times New Roman" w:hAnsi="Times New Roman"/>
                <w:sz w:val="24"/>
              </w:rPr>
            </w:pPr>
            <w:r>
              <w:rPr>
                <w:rFonts w:ascii="Times New Roman" w:hAnsi="Times New Roman"/>
                <w:sz w:val="24"/>
              </w:rPr>
              <w:t>110</w:t>
            </w:r>
          </w:p>
          <w:p w:rsidR="000B0B09" w:rsidRPr="00392FFD" w:rsidRDefault="000B0B09" w:rsidP="000B0B09">
            <w:pPr>
              <w:jc w:val="center"/>
              <w:rPr>
                <w:rFonts w:ascii="Times New Roman" w:hAnsi="Times New Roman"/>
                <w:sz w:val="24"/>
              </w:rPr>
            </w:pPr>
          </w:p>
        </w:tc>
        <w:tc>
          <w:tcPr>
            <w:tcW w:w="7903" w:type="dxa"/>
          </w:tcPr>
          <w:p w:rsidR="000B0B09" w:rsidRPr="00392FFD" w:rsidRDefault="000B0B09" w:rsidP="000B0B09">
            <w:pPr>
              <w:autoSpaceDE w:val="0"/>
              <w:autoSpaceDN w:val="0"/>
              <w:adjustRightInd w:val="0"/>
              <w:spacing w:before="0" w:after="0"/>
              <w:rPr>
                <w:rFonts w:ascii="Times New Roman" w:hAnsi="Times New Roman"/>
                <w:b/>
                <w:bCs/>
                <w:sz w:val="24"/>
                <w:u w:val="single"/>
              </w:rPr>
            </w:pPr>
            <w:r>
              <w:rPr>
                <w:rFonts w:ascii="Times New Roman" w:hAnsi="Times New Roman"/>
                <w:b/>
                <w:sz w:val="24"/>
                <w:u w:val="single"/>
              </w:rPr>
              <w:t>MONTANT TOTAL RISQUE SPÉCIFIQUE</w:t>
            </w:r>
          </w:p>
          <w:p w:rsidR="000B0B09" w:rsidRPr="00392FFD" w:rsidRDefault="000B0B09" w:rsidP="000B0B09">
            <w:pPr>
              <w:autoSpaceDE w:val="0"/>
              <w:autoSpaceDN w:val="0"/>
              <w:adjustRightInd w:val="0"/>
              <w:spacing w:before="0" w:after="0"/>
              <w:rPr>
                <w:rStyle w:val="InstructionsTabelleText"/>
                <w:rFonts w:ascii="Times New Roman" w:hAnsi="Times New Roman"/>
                <w:sz w:val="24"/>
              </w:rPr>
            </w:pPr>
          </w:p>
          <w:p w:rsidR="000B0B09" w:rsidRPr="00392FFD" w:rsidRDefault="000B0B09" w:rsidP="000B0B09">
            <w:pPr>
              <w:autoSpaceDE w:val="0"/>
              <w:autoSpaceDN w:val="0"/>
              <w:adjustRightInd w:val="0"/>
              <w:spacing w:before="0" w:after="0"/>
              <w:rPr>
                <w:rFonts w:ascii="Times New Roman" w:hAnsi="Times New Roman"/>
                <w:b/>
                <w:bCs/>
                <w:sz w:val="24"/>
                <w:u w:val="single"/>
              </w:rPr>
            </w:pPr>
            <w:r>
              <w:rPr>
                <w:rStyle w:val="InstructionsTabelleText"/>
                <w:rFonts w:ascii="Times New Roman" w:hAnsi="Times New Roman"/>
                <w:sz w:val="24"/>
              </w:rPr>
              <w:t>Composante de risque spécifique des titres de créance négociés et des actions. VaR pour risque spécifique lié aux actions et aux titres de créance négociés du portefeuille de négociation (compte tenu des effets de corrélation, le cas échéant).</w:t>
            </w:r>
          </w:p>
        </w:tc>
      </w:tr>
    </w:tbl>
    <w:p w:rsidR="000B0B09" w:rsidRPr="00392FFD" w:rsidRDefault="000B0B09" w:rsidP="00B34B77">
      <w:pPr>
        <w:spacing w:before="0" w:after="0"/>
        <w:jc w:val="left"/>
        <w:rPr>
          <w:rStyle w:val="InstructionsTabelleText"/>
          <w:rFonts w:ascii="Times New Roman" w:hAnsi="Times New Roman"/>
          <w:sz w:val="24"/>
        </w:rPr>
      </w:pPr>
    </w:p>
    <w:p w:rsidR="000B0B09" w:rsidRPr="00392FFD" w:rsidRDefault="000B0B09">
      <w:pPr>
        <w:spacing w:before="0" w:after="0"/>
        <w:jc w:val="left"/>
        <w:rPr>
          <w:rStyle w:val="InstructionsTabelleText"/>
          <w:rFonts w:ascii="Times New Roman" w:hAnsi="Times New Roman"/>
          <w:sz w:val="24"/>
        </w:rPr>
      </w:pPr>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660" w:name="_Toc360188413"/>
      <w:bookmarkStart w:id="661" w:name="_Toc473561053"/>
      <w:bookmarkStart w:id="662" w:name="_Toc496022364"/>
      <w:r>
        <w:rPr>
          <w:rFonts w:ascii="Times New Roman" w:hAnsi="Times New Roman"/>
          <w:sz w:val="24"/>
          <w:u w:val="none"/>
        </w:rPr>
        <w:t>5.8.</w:t>
      </w:r>
      <w:r>
        <w:tab/>
      </w:r>
      <w:r>
        <w:rPr>
          <w:rFonts w:ascii="Times New Roman" w:hAnsi="Times New Roman"/>
          <w:sz w:val="24"/>
        </w:rPr>
        <w:t>C 25.00 - RISQUE D'AJUSTEMENT DE L'ÉVALUATION DE CRÉDIT</w:t>
      </w:r>
      <w:bookmarkEnd w:id="660"/>
      <w:r>
        <w:rPr>
          <w:rFonts w:ascii="Times New Roman" w:hAnsi="Times New Roman"/>
          <w:sz w:val="24"/>
        </w:rPr>
        <w:t xml:space="preserve"> (CVA)</w:t>
      </w:r>
      <w:bookmarkEnd w:id="661"/>
      <w:bookmarkEnd w:id="662"/>
    </w:p>
    <w:p w:rsidR="000B0B09" w:rsidRPr="00321A3B" w:rsidRDefault="00125707" w:rsidP="0023700C">
      <w:pPr>
        <w:pStyle w:val="Instructionsberschrift2"/>
        <w:numPr>
          <w:ilvl w:val="0"/>
          <w:numId w:val="0"/>
        </w:numPr>
        <w:ind w:left="357" w:hanging="357"/>
        <w:rPr>
          <w:rFonts w:ascii="Times New Roman" w:hAnsi="Times New Roman" w:cs="Times New Roman"/>
          <w:sz w:val="24"/>
        </w:rPr>
      </w:pPr>
      <w:bookmarkStart w:id="663" w:name="_Toc360188414"/>
      <w:bookmarkStart w:id="664" w:name="_Toc473561054"/>
      <w:bookmarkStart w:id="665" w:name="_Toc310008820"/>
      <w:bookmarkStart w:id="666" w:name="_Toc496022365"/>
      <w:r>
        <w:rPr>
          <w:rFonts w:ascii="Times New Roman" w:hAnsi="Times New Roman"/>
          <w:sz w:val="24"/>
          <w:u w:val="none"/>
        </w:rPr>
        <w:t>5.8.1.</w:t>
      </w:r>
      <w:r>
        <w:tab/>
      </w:r>
      <w:r>
        <w:rPr>
          <w:rFonts w:ascii="Times New Roman" w:hAnsi="Times New Roman"/>
          <w:sz w:val="24"/>
        </w:rPr>
        <w:t>Instructions concernant certaines positions</w:t>
      </w:r>
      <w:bookmarkEnd w:id="663"/>
      <w:bookmarkEnd w:id="664"/>
      <w:bookmarkEnd w:id="6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
        <w:gridCol w:w="8004"/>
      </w:tblGrid>
      <w:tr w:rsidR="000B0B09" w:rsidRPr="00392FFD" w:rsidTr="000B0B09">
        <w:tc>
          <w:tcPr>
            <w:tcW w:w="8856" w:type="dxa"/>
            <w:gridSpan w:val="2"/>
            <w:shd w:val="clear" w:color="auto" w:fill="CCCCCC"/>
          </w:tcPr>
          <w:p w:rsidR="000B0B09" w:rsidRPr="00392FFD" w:rsidRDefault="000B0B09" w:rsidP="000B0B09">
            <w:pPr>
              <w:rPr>
                <w:rFonts w:ascii="Times New Roman" w:hAnsi="Times New Roman"/>
                <w:b/>
                <w:sz w:val="24"/>
              </w:rPr>
            </w:pPr>
            <w:r>
              <w:rPr>
                <w:rFonts w:ascii="Times New Roman" w:hAnsi="Times New Roman"/>
                <w:b/>
                <w:sz w:val="24"/>
              </w:rPr>
              <w:t>Colonnes</w:t>
            </w:r>
          </w:p>
        </w:tc>
      </w:tr>
      <w:tr w:rsidR="000B0B09" w:rsidRPr="00392FFD" w:rsidTr="000B0B09">
        <w:tc>
          <w:tcPr>
            <w:tcW w:w="852" w:type="dxa"/>
          </w:tcPr>
          <w:p w:rsidR="000B0B09" w:rsidRPr="00392FFD" w:rsidRDefault="000B0B09" w:rsidP="000B0B09">
            <w:pPr>
              <w:rPr>
                <w:rFonts w:ascii="Times New Roman" w:hAnsi="Times New Roman"/>
                <w:sz w:val="24"/>
              </w:rPr>
            </w:pPr>
            <w:r>
              <w:rPr>
                <w:rFonts w:ascii="Times New Roman" w:hAnsi="Times New Roman"/>
                <w:sz w:val="24"/>
              </w:rPr>
              <w:lastRenderedPageBreak/>
              <w:t>010</w:t>
            </w:r>
          </w:p>
        </w:tc>
        <w:tc>
          <w:tcPr>
            <w:tcW w:w="8004" w:type="dxa"/>
          </w:tcPr>
          <w:p w:rsidR="000B0B09" w:rsidRPr="00392FFD" w:rsidRDefault="000B0B09" w:rsidP="000B0B09">
            <w:pPr>
              <w:rPr>
                <w:rFonts w:ascii="Times New Roman" w:hAnsi="Times New Roman"/>
                <w:b/>
                <w:bCs/>
                <w:sz w:val="24"/>
                <w:u w:val="single"/>
              </w:rPr>
            </w:pPr>
            <w:r>
              <w:rPr>
                <w:rFonts w:ascii="Times New Roman" w:hAnsi="Times New Roman"/>
                <w:b/>
                <w:sz w:val="24"/>
                <w:u w:val="single"/>
              </w:rPr>
              <w:t xml:space="preserve">Valeur exposée au risque </w:t>
            </w:r>
          </w:p>
          <w:p w:rsidR="000B0B09" w:rsidRPr="00392FFD" w:rsidRDefault="000B0B09" w:rsidP="000B0B09">
            <w:pPr>
              <w:rPr>
                <w:rFonts w:ascii="Times New Roman" w:hAnsi="Times New Roman"/>
                <w:sz w:val="24"/>
              </w:rPr>
            </w:pPr>
            <w:r>
              <w:rPr>
                <w:rFonts w:ascii="Times New Roman" w:hAnsi="Times New Roman"/>
                <w:sz w:val="24"/>
              </w:rPr>
              <w:t>Article 271 du CRR, en relation avec l’article 382 du CRR.</w:t>
            </w:r>
          </w:p>
          <w:p w:rsidR="000B0B09" w:rsidRPr="00392FFD" w:rsidRDefault="000B0B09" w:rsidP="000B0B09">
            <w:pPr>
              <w:rPr>
                <w:rFonts w:ascii="Times New Roman" w:hAnsi="Times New Roman"/>
                <w:sz w:val="24"/>
              </w:rPr>
            </w:pPr>
            <w:r>
              <w:rPr>
                <w:rFonts w:ascii="Times New Roman" w:hAnsi="Times New Roman"/>
                <w:sz w:val="24"/>
              </w:rPr>
              <w:t xml:space="preserve">Valeur totale exposée au risque provenant de toutes les opérations soumises à une exigence de fonds propres pour risque de CVA. </w:t>
            </w:r>
          </w:p>
        </w:tc>
      </w:tr>
      <w:tr w:rsidR="000B0B09" w:rsidRPr="00392FFD" w:rsidTr="000B0B09">
        <w:tc>
          <w:tcPr>
            <w:tcW w:w="852" w:type="dxa"/>
          </w:tcPr>
          <w:p w:rsidR="000B0B09" w:rsidRPr="00392FFD" w:rsidRDefault="000B0B09" w:rsidP="000B0B09">
            <w:pPr>
              <w:rPr>
                <w:rFonts w:ascii="Times New Roman" w:hAnsi="Times New Roman"/>
                <w:sz w:val="24"/>
              </w:rPr>
            </w:pPr>
            <w:r>
              <w:rPr>
                <w:rFonts w:ascii="Times New Roman" w:hAnsi="Times New Roman"/>
                <w:sz w:val="24"/>
              </w:rPr>
              <w:t>020</w:t>
            </w:r>
          </w:p>
        </w:tc>
        <w:tc>
          <w:tcPr>
            <w:tcW w:w="8004" w:type="dxa"/>
          </w:tcPr>
          <w:p w:rsidR="000B0B09" w:rsidRPr="00392FFD" w:rsidRDefault="000B0B09" w:rsidP="000B0B09">
            <w:pPr>
              <w:rPr>
                <w:rFonts w:ascii="Times New Roman" w:hAnsi="Times New Roman"/>
                <w:b/>
                <w:bCs/>
                <w:sz w:val="24"/>
                <w:u w:val="single"/>
              </w:rPr>
            </w:pPr>
            <w:r>
              <w:rPr>
                <w:rFonts w:ascii="Times New Roman" w:hAnsi="Times New Roman"/>
                <w:b/>
                <w:sz w:val="24"/>
                <w:u w:val="single"/>
              </w:rPr>
              <w:t xml:space="preserve">Dont: Instruments dérivés de gré à gré </w:t>
            </w:r>
          </w:p>
          <w:p w:rsidR="000B0B09" w:rsidRPr="00392FFD" w:rsidRDefault="000B0B09" w:rsidP="000B0B09">
            <w:pPr>
              <w:rPr>
                <w:rFonts w:ascii="Times New Roman" w:hAnsi="Times New Roman"/>
                <w:sz w:val="24"/>
              </w:rPr>
            </w:pPr>
            <w:r>
              <w:rPr>
                <w:rFonts w:ascii="Times New Roman" w:hAnsi="Times New Roman"/>
                <w:sz w:val="24"/>
              </w:rPr>
              <w:t>Article 271 du CRR, en relation avec l’article 382, paragraphe 1, du CRR.</w:t>
            </w:r>
          </w:p>
          <w:p w:rsidR="000B0B09" w:rsidRPr="00392FFD" w:rsidRDefault="000B0B09" w:rsidP="000B0B09">
            <w:pPr>
              <w:rPr>
                <w:rFonts w:ascii="Times New Roman" w:hAnsi="Times New Roman"/>
                <w:sz w:val="24"/>
              </w:rPr>
            </w:pPr>
            <w:r>
              <w:rPr>
                <w:rFonts w:ascii="Times New Roman" w:hAnsi="Times New Roman"/>
                <w:sz w:val="24"/>
              </w:rPr>
              <w:t>La portion du risque total de crédit de contrepartie due aux seuls dérivés de gré à gré. Ces données ne sont pas demandées pour les établissements utilisant les modèles internes, et qui ont placé leurs dérivés de gré à gré et leurs opérations de financement sur titres dans un même ensemble de compensation.</w:t>
            </w:r>
          </w:p>
        </w:tc>
      </w:tr>
      <w:tr w:rsidR="000B0B09" w:rsidRPr="00392FFD" w:rsidTr="000B0B09">
        <w:tc>
          <w:tcPr>
            <w:tcW w:w="852" w:type="dxa"/>
          </w:tcPr>
          <w:p w:rsidR="000B0B09" w:rsidRPr="00392FFD" w:rsidRDefault="000B0B09" w:rsidP="000B0B09">
            <w:pPr>
              <w:rPr>
                <w:rFonts w:ascii="Times New Roman" w:hAnsi="Times New Roman"/>
                <w:sz w:val="24"/>
              </w:rPr>
            </w:pPr>
            <w:r>
              <w:rPr>
                <w:rFonts w:ascii="Times New Roman" w:hAnsi="Times New Roman"/>
                <w:sz w:val="24"/>
              </w:rPr>
              <w:t>030</w:t>
            </w:r>
          </w:p>
        </w:tc>
        <w:tc>
          <w:tcPr>
            <w:tcW w:w="8004" w:type="dxa"/>
          </w:tcPr>
          <w:p w:rsidR="000B0B09" w:rsidRPr="00392FFD" w:rsidRDefault="000B0B09" w:rsidP="000B0B09">
            <w:pPr>
              <w:rPr>
                <w:rFonts w:ascii="Times New Roman" w:hAnsi="Times New Roman"/>
                <w:b/>
                <w:bCs/>
                <w:sz w:val="24"/>
                <w:u w:val="single"/>
              </w:rPr>
            </w:pPr>
            <w:r>
              <w:rPr>
                <w:rFonts w:ascii="Times New Roman" w:hAnsi="Times New Roman"/>
                <w:b/>
                <w:sz w:val="24"/>
                <w:u w:val="single"/>
              </w:rPr>
              <w:t xml:space="preserve">Dont: Opérations de financement sur titres </w:t>
            </w:r>
          </w:p>
          <w:p w:rsidR="000B0B09" w:rsidRPr="00392FFD" w:rsidRDefault="000B0B09" w:rsidP="000B0B09">
            <w:pPr>
              <w:rPr>
                <w:rFonts w:ascii="Times New Roman" w:hAnsi="Times New Roman"/>
                <w:sz w:val="24"/>
              </w:rPr>
            </w:pPr>
            <w:r>
              <w:rPr>
                <w:rFonts w:ascii="Times New Roman" w:hAnsi="Times New Roman"/>
                <w:sz w:val="24"/>
              </w:rPr>
              <w:t>Article 271 du CRR, en relation avec l’article 382, paragraphe 2 du CRR.</w:t>
            </w:r>
          </w:p>
          <w:p w:rsidR="000B0B09" w:rsidRPr="00392FFD" w:rsidRDefault="000B0B09" w:rsidP="000B0B09">
            <w:pPr>
              <w:rPr>
                <w:rFonts w:ascii="Times New Roman" w:hAnsi="Times New Roman"/>
                <w:sz w:val="24"/>
              </w:rPr>
            </w:pPr>
            <w:r>
              <w:rPr>
                <w:rFonts w:ascii="Times New Roman" w:hAnsi="Times New Roman"/>
                <w:sz w:val="24"/>
              </w:rPr>
              <w:t>La portion du risque total de crédit de contrepartie due aux seuls dérivés sur op</w:t>
            </w:r>
            <w:r>
              <w:rPr>
                <w:rFonts w:ascii="Times New Roman" w:hAnsi="Times New Roman"/>
                <w:sz w:val="24"/>
              </w:rPr>
              <w:t>é</w:t>
            </w:r>
            <w:r>
              <w:rPr>
                <w:rFonts w:ascii="Times New Roman" w:hAnsi="Times New Roman"/>
                <w:sz w:val="24"/>
              </w:rPr>
              <w:t>rations de financement sur titres. Ces données ne sont pas demandées pour les établissements utilisant les modèles internes, et qui ont placé leurs dérivés de gré à gré et leurs opérations de financement sur titres dans un même ensemble de compensation.</w:t>
            </w:r>
          </w:p>
        </w:tc>
      </w:tr>
      <w:tr w:rsidR="000B0B09" w:rsidRPr="00392FFD" w:rsidTr="000B0B09">
        <w:tc>
          <w:tcPr>
            <w:tcW w:w="852" w:type="dxa"/>
          </w:tcPr>
          <w:p w:rsidR="000B0B09" w:rsidRPr="00392FFD" w:rsidRDefault="000B0B09" w:rsidP="000B0B09">
            <w:pPr>
              <w:rPr>
                <w:rFonts w:ascii="Times New Roman" w:hAnsi="Times New Roman"/>
                <w:sz w:val="24"/>
              </w:rPr>
            </w:pPr>
            <w:r>
              <w:rPr>
                <w:rFonts w:ascii="Times New Roman" w:hAnsi="Times New Roman"/>
                <w:sz w:val="24"/>
              </w:rPr>
              <w:t>040</w:t>
            </w:r>
          </w:p>
        </w:tc>
        <w:tc>
          <w:tcPr>
            <w:tcW w:w="8004" w:type="dxa"/>
          </w:tcPr>
          <w:p w:rsidR="000B0B09" w:rsidRPr="00392FFD" w:rsidRDefault="000B0B09" w:rsidP="000B0B09">
            <w:pPr>
              <w:rPr>
                <w:rFonts w:ascii="Times New Roman" w:hAnsi="Times New Roman"/>
                <w:b/>
                <w:sz w:val="24"/>
                <w:u w:val="single"/>
              </w:rPr>
            </w:pPr>
            <w:r>
              <w:rPr>
                <w:rFonts w:ascii="Times New Roman" w:hAnsi="Times New Roman"/>
                <w:b/>
                <w:sz w:val="24"/>
                <w:u w:val="single"/>
              </w:rPr>
              <w:t>FACTEUR DE MULTIPLICATION (mc) x MOYENNE DES 60 DE</w:t>
            </w:r>
            <w:r>
              <w:rPr>
                <w:rFonts w:ascii="Times New Roman" w:hAnsi="Times New Roman"/>
                <w:b/>
                <w:sz w:val="24"/>
                <w:u w:val="single"/>
              </w:rPr>
              <w:t>R</w:t>
            </w:r>
            <w:r>
              <w:rPr>
                <w:rFonts w:ascii="Times New Roman" w:hAnsi="Times New Roman"/>
                <w:b/>
                <w:sz w:val="24"/>
                <w:u w:val="single"/>
              </w:rPr>
              <w:t>NIERS JOURS OUVRÉS (VaRavg)</w:t>
            </w:r>
          </w:p>
          <w:p w:rsidR="000B0B09" w:rsidRPr="00392FFD" w:rsidRDefault="000B0B09" w:rsidP="000B0B09">
            <w:pPr>
              <w:rPr>
                <w:rFonts w:ascii="Times New Roman" w:hAnsi="Times New Roman"/>
                <w:sz w:val="24"/>
              </w:rPr>
            </w:pPr>
            <w:r>
              <w:rPr>
                <w:rFonts w:ascii="Times New Roman" w:hAnsi="Times New Roman"/>
                <w:sz w:val="24"/>
              </w:rPr>
              <w:t>Article 383 du CRR, en relation avec l’article 363, paragraphe 1, point d), du CRR.</w:t>
            </w:r>
          </w:p>
          <w:p w:rsidR="000B0B09" w:rsidRPr="00392FFD" w:rsidRDefault="000B0B09" w:rsidP="000B0B09">
            <w:pPr>
              <w:rPr>
                <w:rFonts w:ascii="Times New Roman" w:hAnsi="Times New Roman"/>
                <w:sz w:val="24"/>
              </w:rPr>
            </w:pPr>
            <w:r>
              <w:rPr>
                <w:rFonts w:ascii="Times New Roman" w:hAnsi="Times New Roman"/>
                <w:sz w:val="24"/>
              </w:rPr>
              <w:t>Calcul de la valeur en risque fondé sur les modèles internes pour risque de ma</w:t>
            </w:r>
            <w:r>
              <w:rPr>
                <w:rFonts w:ascii="Times New Roman" w:hAnsi="Times New Roman"/>
                <w:sz w:val="24"/>
              </w:rPr>
              <w:t>r</w:t>
            </w:r>
            <w:r>
              <w:rPr>
                <w:rFonts w:ascii="Times New Roman" w:hAnsi="Times New Roman"/>
                <w:sz w:val="24"/>
              </w:rPr>
              <w:t xml:space="preserve">ché. </w:t>
            </w:r>
          </w:p>
        </w:tc>
      </w:tr>
      <w:tr w:rsidR="000B0B09" w:rsidRPr="00392FFD" w:rsidTr="000B0B09">
        <w:tc>
          <w:tcPr>
            <w:tcW w:w="852" w:type="dxa"/>
          </w:tcPr>
          <w:p w:rsidR="000B0B09" w:rsidRPr="00392FFD" w:rsidRDefault="000B0B09" w:rsidP="000B0B09">
            <w:pPr>
              <w:rPr>
                <w:rFonts w:ascii="Times New Roman" w:hAnsi="Times New Roman"/>
                <w:sz w:val="24"/>
              </w:rPr>
            </w:pPr>
            <w:r>
              <w:rPr>
                <w:rFonts w:ascii="Times New Roman" w:hAnsi="Times New Roman"/>
                <w:sz w:val="24"/>
              </w:rPr>
              <w:t>050</w:t>
            </w:r>
          </w:p>
        </w:tc>
        <w:tc>
          <w:tcPr>
            <w:tcW w:w="8004" w:type="dxa"/>
          </w:tcPr>
          <w:p w:rsidR="000B0B09" w:rsidRPr="00392FFD" w:rsidRDefault="000B0B09" w:rsidP="000B0B09">
            <w:pPr>
              <w:rPr>
                <w:rFonts w:ascii="Times New Roman" w:hAnsi="Times New Roman"/>
                <w:b/>
                <w:bCs/>
                <w:sz w:val="24"/>
                <w:u w:val="single"/>
              </w:rPr>
            </w:pPr>
            <w:r>
              <w:rPr>
                <w:rFonts w:ascii="Times New Roman" w:hAnsi="Times New Roman"/>
                <w:b/>
                <w:sz w:val="24"/>
                <w:u w:val="single"/>
              </w:rPr>
              <w:t>VaR DE LA VEILLE (VaRt-1)</w:t>
            </w:r>
          </w:p>
          <w:p w:rsidR="000B0B09" w:rsidRPr="00392FFD" w:rsidRDefault="000B0B09" w:rsidP="000B0B09">
            <w:pPr>
              <w:rPr>
                <w:rFonts w:ascii="Times New Roman" w:hAnsi="Times New Roman"/>
                <w:sz w:val="24"/>
              </w:rPr>
            </w:pPr>
            <w:r>
              <w:rPr>
                <w:rFonts w:ascii="Times New Roman" w:hAnsi="Times New Roman"/>
                <w:sz w:val="24"/>
              </w:rPr>
              <w:t>Voir les instructions concernant la colonne 040.</w:t>
            </w:r>
          </w:p>
        </w:tc>
      </w:tr>
      <w:tr w:rsidR="000B0B09" w:rsidRPr="00392FFD" w:rsidTr="000B0B09">
        <w:tc>
          <w:tcPr>
            <w:tcW w:w="852" w:type="dxa"/>
          </w:tcPr>
          <w:p w:rsidR="000B0B09" w:rsidRPr="00392FFD" w:rsidRDefault="000B0B09" w:rsidP="000B0B09">
            <w:pPr>
              <w:rPr>
                <w:rFonts w:ascii="Times New Roman" w:hAnsi="Times New Roman"/>
                <w:sz w:val="24"/>
              </w:rPr>
            </w:pPr>
            <w:r>
              <w:rPr>
                <w:rFonts w:ascii="Times New Roman" w:hAnsi="Times New Roman"/>
                <w:sz w:val="24"/>
              </w:rPr>
              <w:t>060</w:t>
            </w:r>
          </w:p>
        </w:tc>
        <w:tc>
          <w:tcPr>
            <w:tcW w:w="8004" w:type="dxa"/>
          </w:tcPr>
          <w:p w:rsidR="000B0B09" w:rsidRPr="00392FFD" w:rsidRDefault="000B0B09" w:rsidP="000B0B09">
            <w:pPr>
              <w:rPr>
                <w:rFonts w:ascii="Times New Roman" w:hAnsi="Times New Roman"/>
                <w:b/>
                <w:bCs/>
                <w:sz w:val="24"/>
                <w:u w:val="single"/>
              </w:rPr>
            </w:pPr>
            <w:r>
              <w:rPr>
                <w:rFonts w:ascii="Times New Roman" w:hAnsi="Times New Roman"/>
                <w:b/>
                <w:sz w:val="24"/>
                <w:u w:val="single"/>
              </w:rPr>
              <w:t>FACTEUR DE MULTIPLICATION (ms) x MOYENNE DES 60 DE</w:t>
            </w:r>
            <w:r>
              <w:rPr>
                <w:rFonts w:ascii="Times New Roman" w:hAnsi="Times New Roman"/>
                <w:b/>
                <w:sz w:val="24"/>
                <w:u w:val="single"/>
              </w:rPr>
              <w:t>R</w:t>
            </w:r>
            <w:r>
              <w:rPr>
                <w:rFonts w:ascii="Times New Roman" w:hAnsi="Times New Roman"/>
                <w:b/>
                <w:sz w:val="24"/>
                <w:u w:val="single"/>
              </w:rPr>
              <w:t>NIERS OUVRÉS (SVaRavg)</w:t>
            </w:r>
          </w:p>
          <w:p w:rsidR="000B0B09" w:rsidRPr="00392FFD" w:rsidRDefault="000B0B09" w:rsidP="000B0B09">
            <w:pPr>
              <w:rPr>
                <w:rFonts w:ascii="Times New Roman" w:hAnsi="Times New Roman"/>
                <w:sz w:val="24"/>
              </w:rPr>
            </w:pPr>
            <w:r>
              <w:rPr>
                <w:rFonts w:ascii="Times New Roman" w:hAnsi="Times New Roman"/>
                <w:sz w:val="24"/>
              </w:rPr>
              <w:t>Voir les instructions concernant la colonne 040.</w:t>
            </w:r>
          </w:p>
        </w:tc>
      </w:tr>
      <w:tr w:rsidR="000B0B09" w:rsidRPr="00392FFD" w:rsidTr="000B0B09">
        <w:tc>
          <w:tcPr>
            <w:tcW w:w="852" w:type="dxa"/>
          </w:tcPr>
          <w:p w:rsidR="000B0B09" w:rsidRPr="00392FFD" w:rsidRDefault="000B0B09" w:rsidP="000B0B09">
            <w:pPr>
              <w:rPr>
                <w:rFonts w:ascii="Times New Roman" w:hAnsi="Times New Roman"/>
                <w:sz w:val="24"/>
              </w:rPr>
            </w:pPr>
            <w:r>
              <w:rPr>
                <w:rFonts w:ascii="Times New Roman" w:hAnsi="Times New Roman"/>
                <w:sz w:val="24"/>
              </w:rPr>
              <w:t>070</w:t>
            </w:r>
          </w:p>
        </w:tc>
        <w:tc>
          <w:tcPr>
            <w:tcW w:w="8004" w:type="dxa"/>
          </w:tcPr>
          <w:p w:rsidR="000B0B09" w:rsidRPr="00392FFD" w:rsidRDefault="000B0B09" w:rsidP="000B0B09">
            <w:pPr>
              <w:rPr>
                <w:rFonts w:ascii="Times New Roman" w:hAnsi="Times New Roman"/>
                <w:b/>
                <w:sz w:val="24"/>
                <w:u w:val="single"/>
              </w:rPr>
            </w:pPr>
            <w:r>
              <w:rPr>
                <w:rFonts w:ascii="Times New Roman" w:hAnsi="Times New Roman"/>
                <w:b/>
                <w:sz w:val="24"/>
                <w:u w:val="single"/>
              </w:rPr>
              <w:t>DERNIÈRE MESURE DISPONIBLE (SVaRt-1)</w:t>
            </w:r>
          </w:p>
          <w:p w:rsidR="000B0B09" w:rsidRPr="00392FFD" w:rsidRDefault="000B0B09" w:rsidP="000B0B09">
            <w:pPr>
              <w:rPr>
                <w:rFonts w:ascii="Times New Roman" w:hAnsi="Times New Roman"/>
                <w:b/>
                <w:sz w:val="24"/>
                <w:u w:val="single"/>
              </w:rPr>
            </w:pPr>
            <w:r>
              <w:rPr>
                <w:rFonts w:ascii="Times New Roman" w:hAnsi="Times New Roman"/>
                <w:sz w:val="24"/>
              </w:rPr>
              <w:t>Voir les instructions concernant la colonne 040.</w:t>
            </w:r>
          </w:p>
        </w:tc>
      </w:tr>
      <w:tr w:rsidR="000B0B09" w:rsidRPr="00392FFD" w:rsidTr="000B0B09">
        <w:tc>
          <w:tcPr>
            <w:tcW w:w="852" w:type="dxa"/>
          </w:tcPr>
          <w:p w:rsidR="000B0B09" w:rsidRPr="00392FFD" w:rsidRDefault="000B0B09" w:rsidP="000B0B09">
            <w:pPr>
              <w:rPr>
                <w:rFonts w:ascii="Times New Roman" w:hAnsi="Times New Roman"/>
                <w:sz w:val="24"/>
              </w:rPr>
            </w:pPr>
            <w:r>
              <w:rPr>
                <w:rFonts w:ascii="Times New Roman" w:hAnsi="Times New Roman"/>
                <w:sz w:val="24"/>
              </w:rPr>
              <w:t>080</w:t>
            </w:r>
          </w:p>
        </w:tc>
        <w:tc>
          <w:tcPr>
            <w:tcW w:w="8004" w:type="dxa"/>
          </w:tcPr>
          <w:p w:rsidR="000B0B09" w:rsidRPr="00392FFD" w:rsidRDefault="000B0B09" w:rsidP="000B0B09">
            <w:pPr>
              <w:rPr>
                <w:rFonts w:ascii="Times New Roman" w:hAnsi="Times New Roman"/>
                <w:b/>
                <w:sz w:val="24"/>
                <w:u w:val="single"/>
              </w:rPr>
            </w:pPr>
            <w:r>
              <w:rPr>
                <w:rFonts w:ascii="Times New Roman" w:hAnsi="Times New Roman"/>
                <w:b/>
                <w:sz w:val="24"/>
                <w:u w:val="single"/>
              </w:rPr>
              <w:t>EXIGENCES DE FONDS PROPRES</w:t>
            </w:r>
          </w:p>
          <w:p w:rsidR="000B0B09" w:rsidRPr="00392FFD" w:rsidRDefault="000B0B09" w:rsidP="000B0B09">
            <w:pPr>
              <w:rPr>
                <w:rFonts w:ascii="Times New Roman" w:hAnsi="Times New Roman"/>
                <w:sz w:val="24"/>
              </w:rPr>
            </w:pPr>
            <w:r>
              <w:rPr>
                <w:rFonts w:ascii="Times New Roman" w:hAnsi="Times New Roman"/>
                <w:sz w:val="24"/>
              </w:rPr>
              <w:t>Article 92, paragraphe 3, point d), du CRR</w:t>
            </w:r>
          </w:p>
          <w:p w:rsidR="000B0B09" w:rsidRPr="00392FFD" w:rsidRDefault="000B0B09" w:rsidP="000B0B09">
            <w:pPr>
              <w:rPr>
                <w:rFonts w:ascii="Times New Roman" w:hAnsi="Times New Roman"/>
                <w:sz w:val="24"/>
              </w:rPr>
            </w:pPr>
            <w:r>
              <w:rPr>
                <w:rFonts w:ascii="Times New Roman" w:hAnsi="Times New Roman"/>
                <w:sz w:val="24"/>
              </w:rPr>
              <w:t xml:space="preserve">Exigences de fonds propres pour risque de CVA, calculées selon la méthode choisie. </w:t>
            </w:r>
          </w:p>
        </w:tc>
      </w:tr>
      <w:tr w:rsidR="000B0B09" w:rsidRPr="00392FFD" w:rsidTr="000B0B09">
        <w:tc>
          <w:tcPr>
            <w:tcW w:w="852" w:type="dxa"/>
          </w:tcPr>
          <w:p w:rsidR="000B0B09" w:rsidRPr="00392FFD" w:rsidRDefault="000B0B09" w:rsidP="000B0B09">
            <w:pPr>
              <w:rPr>
                <w:rFonts w:ascii="Times New Roman" w:hAnsi="Times New Roman"/>
                <w:sz w:val="24"/>
              </w:rPr>
            </w:pPr>
            <w:r>
              <w:rPr>
                <w:rFonts w:ascii="Times New Roman" w:hAnsi="Times New Roman"/>
                <w:sz w:val="24"/>
              </w:rPr>
              <w:t>090</w:t>
            </w:r>
          </w:p>
        </w:tc>
        <w:tc>
          <w:tcPr>
            <w:tcW w:w="8004" w:type="dxa"/>
          </w:tcPr>
          <w:p w:rsidR="000B0B09" w:rsidRPr="00392FFD" w:rsidRDefault="000B0B09" w:rsidP="000B0B09">
            <w:pPr>
              <w:rPr>
                <w:rFonts w:ascii="Times New Roman" w:hAnsi="Times New Roman"/>
                <w:b/>
                <w:sz w:val="24"/>
                <w:u w:val="single"/>
              </w:rPr>
            </w:pPr>
            <w:r>
              <w:rPr>
                <w:rFonts w:ascii="Times New Roman" w:hAnsi="Times New Roman"/>
                <w:b/>
                <w:sz w:val="24"/>
                <w:u w:val="single"/>
              </w:rPr>
              <w:t>MONTANT TOTAL D'EXPOSITION AU RISQUE</w:t>
            </w:r>
          </w:p>
          <w:p w:rsidR="000B0B09" w:rsidRPr="00392FFD" w:rsidRDefault="000B0B09" w:rsidP="000B0B09">
            <w:pPr>
              <w:rPr>
                <w:rFonts w:ascii="Times New Roman" w:hAnsi="Times New Roman"/>
                <w:sz w:val="24"/>
              </w:rPr>
            </w:pPr>
            <w:r>
              <w:rPr>
                <w:rFonts w:ascii="Times New Roman" w:hAnsi="Times New Roman"/>
                <w:sz w:val="24"/>
              </w:rPr>
              <w:t>Article 92, paragraphe 4, point b), du CRR</w:t>
            </w:r>
          </w:p>
          <w:p w:rsidR="000B0B09" w:rsidRPr="00392FFD" w:rsidRDefault="000B0B09" w:rsidP="000B0B09">
            <w:pPr>
              <w:rPr>
                <w:rFonts w:ascii="Times New Roman" w:hAnsi="Times New Roman"/>
                <w:sz w:val="24"/>
              </w:rPr>
            </w:pPr>
            <w:r>
              <w:rPr>
                <w:rFonts w:ascii="Times New Roman" w:hAnsi="Times New Roman"/>
                <w:sz w:val="24"/>
              </w:rPr>
              <w:lastRenderedPageBreak/>
              <w:t>Exigences de fonds propres multipliées par 12,5.</w:t>
            </w:r>
          </w:p>
        </w:tc>
      </w:tr>
      <w:tr w:rsidR="000B0B09" w:rsidRPr="00392FFD" w:rsidTr="000B0B09">
        <w:tc>
          <w:tcPr>
            <w:tcW w:w="852" w:type="dxa"/>
          </w:tcPr>
          <w:p w:rsidR="000B0B09" w:rsidRPr="00392FFD" w:rsidRDefault="000B0B09" w:rsidP="000B0B09">
            <w:pPr>
              <w:rPr>
                <w:rFonts w:ascii="Times New Roman" w:hAnsi="Times New Roman"/>
                <w:sz w:val="24"/>
              </w:rPr>
            </w:pPr>
          </w:p>
        </w:tc>
        <w:tc>
          <w:tcPr>
            <w:tcW w:w="8004" w:type="dxa"/>
          </w:tcPr>
          <w:p w:rsidR="000B0B09" w:rsidRPr="00392FFD" w:rsidRDefault="000B0B09" w:rsidP="000B0B09">
            <w:pPr>
              <w:rPr>
                <w:rFonts w:ascii="Times New Roman" w:hAnsi="Times New Roman"/>
                <w:b/>
                <w:sz w:val="24"/>
                <w:u w:val="single"/>
              </w:rPr>
            </w:pPr>
            <w:r>
              <w:rPr>
                <w:rFonts w:ascii="Times New Roman" w:hAnsi="Times New Roman"/>
                <w:b/>
                <w:sz w:val="24"/>
                <w:u w:val="single"/>
              </w:rPr>
              <w:t>Postes pour mémoire</w:t>
            </w:r>
          </w:p>
        </w:tc>
      </w:tr>
      <w:tr w:rsidR="000B0B09" w:rsidRPr="00392FFD" w:rsidTr="000B0B09">
        <w:tc>
          <w:tcPr>
            <w:tcW w:w="852" w:type="dxa"/>
          </w:tcPr>
          <w:p w:rsidR="000B0B09" w:rsidRPr="00392FFD" w:rsidRDefault="000B0B09" w:rsidP="000B0B09">
            <w:pPr>
              <w:rPr>
                <w:rFonts w:ascii="Times New Roman" w:hAnsi="Times New Roman"/>
                <w:sz w:val="24"/>
              </w:rPr>
            </w:pPr>
            <w:r>
              <w:rPr>
                <w:rFonts w:ascii="Times New Roman" w:hAnsi="Times New Roman"/>
                <w:sz w:val="24"/>
              </w:rPr>
              <w:t>100</w:t>
            </w:r>
          </w:p>
        </w:tc>
        <w:tc>
          <w:tcPr>
            <w:tcW w:w="8004" w:type="dxa"/>
          </w:tcPr>
          <w:p w:rsidR="000B0B09" w:rsidRPr="00392FFD" w:rsidRDefault="000B0B09" w:rsidP="000B0B09">
            <w:pPr>
              <w:rPr>
                <w:rFonts w:ascii="Times New Roman" w:hAnsi="Times New Roman"/>
                <w:b/>
                <w:sz w:val="24"/>
                <w:u w:val="single"/>
              </w:rPr>
            </w:pPr>
            <w:r>
              <w:rPr>
                <w:rFonts w:ascii="Times New Roman" w:hAnsi="Times New Roman"/>
                <w:b/>
                <w:sz w:val="24"/>
                <w:u w:val="single"/>
              </w:rPr>
              <w:t>Nombre de contreparties</w:t>
            </w:r>
          </w:p>
          <w:p w:rsidR="000B0B09" w:rsidRPr="00392FFD" w:rsidRDefault="000B0B09" w:rsidP="000B0B09">
            <w:pPr>
              <w:rPr>
                <w:rFonts w:ascii="Times New Roman" w:hAnsi="Times New Roman"/>
                <w:sz w:val="24"/>
              </w:rPr>
            </w:pPr>
            <w:r>
              <w:rPr>
                <w:rFonts w:ascii="Times New Roman" w:hAnsi="Times New Roman"/>
                <w:sz w:val="24"/>
              </w:rPr>
              <w:t>Article 382 du CRR</w:t>
            </w:r>
          </w:p>
          <w:p w:rsidR="000B0B09" w:rsidRPr="00392FFD" w:rsidRDefault="000B0B09" w:rsidP="000B0B09">
            <w:pPr>
              <w:rPr>
                <w:rFonts w:ascii="Times New Roman" w:hAnsi="Times New Roman"/>
                <w:sz w:val="24"/>
              </w:rPr>
            </w:pPr>
            <w:r>
              <w:rPr>
                <w:rFonts w:ascii="Times New Roman" w:hAnsi="Times New Roman"/>
                <w:sz w:val="24"/>
              </w:rPr>
              <w:t>Nombre de contreparties incluses dans le calcul des fonds propres pour risque de CVA.</w:t>
            </w:r>
          </w:p>
          <w:p w:rsidR="000B0B09" w:rsidRPr="00392FFD" w:rsidRDefault="000B0B09" w:rsidP="000B0B09">
            <w:pPr>
              <w:rPr>
                <w:rFonts w:ascii="Times New Roman" w:hAnsi="Times New Roman"/>
                <w:sz w:val="24"/>
              </w:rPr>
            </w:pPr>
            <w:r>
              <w:rPr>
                <w:rFonts w:ascii="Times New Roman" w:hAnsi="Times New Roman"/>
                <w:sz w:val="24"/>
              </w:rPr>
              <w:t xml:space="preserve">Les contreparties forment un sous-ensemble de débiteurs. Ces contreparties n’existent qu’en cas d’opérations sur dérivés ou d’opérations de financement sur titres pour lesquelles elles sont simplement l’autre partie au contrat. </w:t>
            </w:r>
          </w:p>
        </w:tc>
      </w:tr>
      <w:tr w:rsidR="000B0B09" w:rsidRPr="00392FFD" w:rsidTr="000B0B09">
        <w:tc>
          <w:tcPr>
            <w:tcW w:w="852" w:type="dxa"/>
          </w:tcPr>
          <w:p w:rsidR="000B0B09" w:rsidRPr="00392FFD" w:rsidRDefault="000B0B09" w:rsidP="000B0B09">
            <w:pPr>
              <w:rPr>
                <w:rFonts w:ascii="Times New Roman" w:hAnsi="Times New Roman"/>
                <w:sz w:val="24"/>
              </w:rPr>
            </w:pPr>
            <w:r>
              <w:rPr>
                <w:rFonts w:ascii="Times New Roman" w:hAnsi="Times New Roman"/>
                <w:sz w:val="24"/>
              </w:rPr>
              <w:t>110</w:t>
            </w:r>
          </w:p>
        </w:tc>
        <w:tc>
          <w:tcPr>
            <w:tcW w:w="8004" w:type="dxa"/>
          </w:tcPr>
          <w:p w:rsidR="000B0B09" w:rsidRPr="00392FFD" w:rsidRDefault="000B0B09" w:rsidP="000B0B09">
            <w:pPr>
              <w:rPr>
                <w:rFonts w:ascii="Times New Roman" w:hAnsi="Times New Roman"/>
                <w:b/>
                <w:sz w:val="24"/>
                <w:u w:val="single"/>
              </w:rPr>
            </w:pPr>
            <w:r>
              <w:rPr>
                <w:rFonts w:ascii="Times New Roman" w:hAnsi="Times New Roman"/>
                <w:b/>
                <w:sz w:val="24"/>
                <w:u w:val="single"/>
              </w:rPr>
              <w:t>Dont: une approximation est utilisée pour déterminer l’écart de crédit</w:t>
            </w:r>
          </w:p>
          <w:p w:rsidR="000B0B09" w:rsidRPr="00321A3B" w:rsidRDefault="000B0B09" w:rsidP="000B0B09">
            <w:pPr>
              <w:rPr>
                <w:rFonts w:ascii="Times New Roman" w:hAnsi="Times New Roman"/>
                <w:sz w:val="24"/>
              </w:rPr>
            </w:pPr>
            <w:r>
              <w:rPr>
                <w:rFonts w:ascii="Times New Roman" w:hAnsi="Times New Roman"/>
                <w:sz w:val="24"/>
              </w:rPr>
              <w:t>Nombre de contreparties lorsque l’écart de crédit a été déterminé par le biais d’une approximation et non de données de marché directement observées.</w:t>
            </w:r>
          </w:p>
          <w:p w:rsidR="000B0B09" w:rsidRPr="00321A3B" w:rsidRDefault="000B0B09" w:rsidP="000B0B09">
            <w:pPr>
              <w:rPr>
                <w:rFonts w:ascii="Times New Roman" w:hAnsi="Times New Roman"/>
                <w:b/>
                <w:sz w:val="24"/>
                <w:u w:val="single"/>
              </w:rPr>
            </w:pPr>
          </w:p>
        </w:tc>
      </w:tr>
      <w:tr w:rsidR="000B0B09" w:rsidRPr="00392FFD" w:rsidTr="000B0B09">
        <w:tc>
          <w:tcPr>
            <w:tcW w:w="852" w:type="dxa"/>
          </w:tcPr>
          <w:p w:rsidR="000B0B09" w:rsidRPr="00392FFD" w:rsidRDefault="000B0B09" w:rsidP="000B0B09">
            <w:pPr>
              <w:rPr>
                <w:rFonts w:ascii="Times New Roman" w:hAnsi="Times New Roman"/>
                <w:sz w:val="24"/>
              </w:rPr>
            </w:pPr>
            <w:r>
              <w:rPr>
                <w:rFonts w:ascii="Times New Roman" w:hAnsi="Times New Roman"/>
                <w:sz w:val="24"/>
              </w:rPr>
              <w:t>120</w:t>
            </w:r>
          </w:p>
        </w:tc>
        <w:tc>
          <w:tcPr>
            <w:tcW w:w="8004" w:type="dxa"/>
          </w:tcPr>
          <w:p w:rsidR="000B0B09" w:rsidRPr="00392FFD" w:rsidRDefault="000B0B09" w:rsidP="000B0B09">
            <w:pPr>
              <w:rPr>
                <w:rFonts w:ascii="Times New Roman" w:hAnsi="Times New Roman"/>
                <w:b/>
                <w:sz w:val="24"/>
                <w:u w:val="single"/>
              </w:rPr>
            </w:pPr>
            <w:r>
              <w:rPr>
                <w:rFonts w:ascii="Times New Roman" w:hAnsi="Times New Roman"/>
                <w:b/>
                <w:sz w:val="24"/>
                <w:u w:val="single"/>
              </w:rPr>
              <w:t>CVA EFFECTUÉ</w:t>
            </w:r>
          </w:p>
          <w:p w:rsidR="000B0B09" w:rsidRPr="00392FFD" w:rsidRDefault="000B0B09" w:rsidP="000B0B09">
            <w:pPr>
              <w:rPr>
                <w:rFonts w:ascii="Times New Roman" w:hAnsi="Times New Roman"/>
                <w:sz w:val="24"/>
              </w:rPr>
            </w:pPr>
          </w:p>
          <w:p w:rsidR="000B0B09" w:rsidRPr="00392FFD" w:rsidRDefault="000B0B09" w:rsidP="000B0B09">
            <w:pPr>
              <w:rPr>
                <w:rFonts w:ascii="Times New Roman" w:hAnsi="Times New Roman"/>
                <w:sz w:val="24"/>
              </w:rPr>
            </w:pPr>
            <w:r>
              <w:rPr>
                <w:rFonts w:ascii="Times New Roman" w:hAnsi="Times New Roman"/>
                <w:sz w:val="24"/>
              </w:rPr>
              <w:t>Provisions comptables effectuées en raison d’une baisse de la qualité de crédit des contreparties des dérivés.</w:t>
            </w:r>
          </w:p>
        </w:tc>
      </w:tr>
      <w:tr w:rsidR="000B0B09" w:rsidRPr="00392FFD" w:rsidTr="000B0B09">
        <w:tc>
          <w:tcPr>
            <w:tcW w:w="852" w:type="dxa"/>
          </w:tcPr>
          <w:p w:rsidR="000B0B09" w:rsidRPr="00392FFD" w:rsidRDefault="000B0B09" w:rsidP="000B0B09">
            <w:pPr>
              <w:rPr>
                <w:rFonts w:ascii="Times New Roman" w:hAnsi="Times New Roman"/>
                <w:sz w:val="24"/>
              </w:rPr>
            </w:pPr>
            <w:r>
              <w:rPr>
                <w:rFonts w:ascii="Times New Roman" w:hAnsi="Times New Roman"/>
                <w:sz w:val="24"/>
              </w:rPr>
              <w:t>130</w:t>
            </w:r>
          </w:p>
        </w:tc>
        <w:tc>
          <w:tcPr>
            <w:tcW w:w="8004" w:type="dxa"/>
          </w:tcPr>
          <w:p w:rsidR="000B0B09" w:rsidRPr="00392FFD" w:rsidRDefault="000B0B09" w:rsidP="000B0B09">
            <w:pPr>
              <w:rPr>
                <w:rFonts w:ascii="Times New Roman" w:hAnsi="Times New Roman"/>
                <w:b/>
                <w:sz w:val="24"/>
                <w:u w:val="single"/>
              </w:rPr>
            </w:pPr>
            <w:r>
              <w:rPr>
                <w:rFonts w:ascii="Times New Roman" w:hAnsi="Times New Roman"/>
                <w:b/>
                <w:sz w:val="24"/>
                <w:u w:val="single"/>
              </w:rPr>
              <w:t>CDS À SIGNATURE UNIQUE</w:t>
            </w:r>
          </w:p>
          <w:p w:rsidR="000B0B09" w:rsidRPr="00392FFD" w:rsidRDefault="000B0B09" w:rsidP="000B0B09">
            <w:pPr>
              <w:rPr>
                <w:rFonts w:ascii="Times New Roman" w:hAnsi="Times New Roman"/>
                <w:sz w:val="24"/>
              </w:rPr>
            </w:pPr>
            <w:r>
              <w:rPr>
                <w:rFonts w:ascii="Times New Roman" w:hAnsi="Times New Roman"/>
                <w:sz w:val="24"/>
              </w:rPr>
              <w:t xml:space="preserve">Article 386, paragraphe 1, point a), du CRR </w:t>
            </w:r>
          </w:p>
          <w:p w:rsidR="000B0B09" w:rsidRPr="00392FFD" w:rsidRDefault="000B0B09" w:rsidP="000B0B09">
            <w:pPr>
              <w:rPr>
                <w:rFonts w:ascii="Times New Roman" w:hAnsi="Times New Roman"/>
                <w:sz w:val="24"/>
              </w:rPr>
            </w:pPr>
            <w:r>
              <w:rPr>
                <w:rFonts w:ascii="Times New Roman" w:hAnsi="Times New Roman"/>
                <w:sz w:val="24"/>
              </w:rPr>
              <w:t xml:space="preserve">Montant notionnel total des CDS à signature unique utilisés pour couvrir le risque de CVA. </w:t>
            </w:r>
          </w:p>
        </w:tc>
      </w:tr>
      <w:tr w:rsidR="000B0B09" w:rsidRPr="00392FFD" w:rsidTr="000B0B09">
        <w:tc>
          <w:tcPr>
            <w:tcW w:w="852" w:type="dxa"/>
          </w:tcPr>
          <w:p w:rsidR="000B0B09" w:rsidRPr="00392FFD" w:rsidRDefault="000B0B09" w:rsidP="000B0B09">
            <w:pPr>
              <w:rPr>
                <w:rFonts w:ascii="Times New Roman" w:hAnsi="Times New Roman"/>
                <w:sz w:val="24"/>
              </w:rPr>
            </w:pPr>
            <w:r>
              <w:rPr>
                <w:rFonts w:ascii="Times New Roman" w:hAnsi="Times New Roman"/>
                <w:sz w:val="24"/>
              </w:rPr>
              <w:t>140</w:t>
            </w:r>
          </w:p>
        </w:tc>
        <w:tc>
          <w:tcPr>
            <w:tcW w:w="8004" w:type="dxa"/>
          </w:tcPr>
          <w:p w:rsidR="000B0B09" w:rsidRPr="00321A3B" w:rsidRDefault="000B0B09" w:rsidP="000B0B09">
            <w:pPr>
              <w:rPr>
                <w:rFonts w:ascii="Times New Roman" w:hAnsi="Times New Roman"/>
                <w:b/>
                <w:sz w:val="24"/>
                <w:u w:val="single"/>
              </w:rPr>
            </w:pPr>
            <w:r>
              <w:rPr>
                <w:rFonts w:ascii="Times New Roman" w:hAnsi="Times New Roman"/>
                <w:b/>
                <w:sz w:val="24"/>
                <w:u w:val="single"/>
              </w:rPr>
              <w:t>CDS INDICIEL</w:t>
            </w:r>
          </w:p>
          <w:p w:rsidR="000B0B09" w:rsidRPr="00321A3B" w:rsidRDefault="000B0B09" w:rsidP="000B0B09">
            <w:pPr>
              <w:rPr>
                <w:rFonts w:ascii="Times New Roman" w:hAnsi="Times New Roman"/>
                <w:sz w:val="24"/>
              </w:rPr>
            </w:pPr>
            <w:r>
              <w:rPr>
                <w:rFonts w:ascii="Times New Roman" w:hAnsi="Times New Roman"/>
                <w:sz w:val="24"/>
              </w:rPr>
              <w:t>Article 386, paragraphe 1, point b), du CRR</w:t>
            </w:r>
          </w:p>
          <w:p w:rsidR="000B0B09" w:rsidRPr="00392FFD" w:rsidRDefault="000B0B09" w:rsidP="000B0B09">
            <w:pPr>
              <w:rPr>
                <w:rFonts w:ascii="Times New Roman" w:hAnsi="Times New Roman"/>
                <w:b/>
                <w:sz w:val="24"/>
                <w:u w:val="single"/>
              </w:rPr>
            </w:pPr>
            <w:r>
              <w:rPr>
                <w:rFonts w:ascii="Times New Roman" w:hAnsi="Times New Roman"/>
                <w:sz w:val="24"/>
              </w:rPr>
              <w:t xml:space="preserve">Montant notionnel total des CDS indiciels utilisés pour couvrir le risque de CVA. </w:t>
            </w:r>
          </w:p>
        </w:tc>
      </w:tr>
    </w:tbl>
    <w:p w:rsidR="000B0B09" w:rsidRPr="00392FFD" w:rsidRDefault="000B0B09" w:rsidP="000B0B09">
      <w:pPr>
        <w:rPr>
          <w:rFonts w:ascii="Times New Roman" w:hAnsi="Times New Roman"/>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
        <w:gridCol w:w="8004"/>
      </w:tblGrid>
      <w:tr w:rsidR="000B0B09" w:rsidRPr="00392FFD" w:rsidTr="000B0B09">
        <w:tc>
          <w:tcPr>
            <w:tcW w:w="8856" w:type="dxa"/>
            <w:gridSpan w:val="2"/>
            <w:shd w:val="clear" w:color="auto" w:fill="CCCCCC"/>
          </w:tcPr>
          <w:p w:rsidR="000B0B09" w:rsidRPr="00392FFD" w:rsidRDefault="000B0B09" w:rsidP="000B0B09">
            <w:pPr>
              <w:rPr>
                <w:rFonts w:ascii="Times New Roman" w:hAnsi="Times New Roman"/>
                <w:b/>
                <w:sz w:val="24"/>
              </w:rPr>
            </w:pPr>
            <w:r>
              <w:rPr>
                <w:rFonts w:ascii="Times New Roman" w:hAnsi="Times New Roman"/>
                <w:b/>
                <w:sz w:val="24"/>
              </w:rPr>
              <w:t>Lignes</w:t>
            </w:r>
          </w:p>
        </w:tc>
      </w:tr>
      <w:tr w:rsidR="000B0B09" w:rsidRPr="00392FFD" w:rsidTr="000B0B09">
        <w:tc>
          <w:tcPr>
            <w:tcW w:w="852" w:type="dxa"/>
          </w:tcPr>
          <w:p w:rsidR="000B0B09" w:rsidRPr="00392FFD" w:rsidRDefault="000B0B09" w:rsidP="000B0B09">
            <w:pPr>
              <w:rPr>
                <w:rFonts w:ascii="Times New Roman" w:hAnsi="Times New Roman"/>
                <w:sz w:val="24"/>
              </w:rPr>
            </w:pPr>
            <w:r>
              <w:rPr>
                <w:rFonts w:ascii="Times New Roman" w:hAnsi="Times New Roman"/>
                <w:sz w:val="24"/>
              </w:rPr>
              <w:t>010</w:t>
            </w:r>
          </w:p>
        </w:tc>
        <w:tc>
          <w:tcPr>
            <w:tcW w:w="8004" w:type="dxa"/>
          </w:tcPr>
          <w:p w:rsidR="000B0B09" w:rsidRPr="00392FFD" w:rsidRDefault="000B0B09" w:rsidP="000B0B09">
            <w:pPr>
              <w:rPr>
                <w:rFonts w:ascii="Times New Roman" w:hAnsi="Times New Roman"/>
                <w:b/>
                <w:bCs/>
                <w:sz w:val="24"/>
                <w:u w:val="single"/>
              </w:rPr>
            </w:pPr>
            <w:r>
              <w:rPr>
                <w:rFonts w:ascii="Times New Roman" w:hAnsi="Times New Roman"/>
                <w:b/>
                <w:sz w:val="24"/>
                <w:u w:val="single"/>
              </w:rPr>
              <w:t>Total risque de CVA</w:t>
            </w:r>
          </w:p>
          <w:p w:rsidR="000B0B09" w:rsidRPr="00392FFD" w:rsidRDefault="000B0B09" w:rsidP="000B0B09">
            <w:pPr>
              <w:rPr>
                <w:rFonts w:ascii="Times New Roman" w:hAnsi="Times New Roman"/>
                <w:bCs/>
                <w:sz w:val="24"/>
              </w:rPr>
            </w:pPr>
            <w:r>
              <w:rPr>
                <w:rFonts w:ascii="Times New Roman" w:hAnsi="Times New Roman"/>
                <w:sz w:val="24"/>
              </w:rPr>
              <w:t>Somme des lignes 020-040, le cas échéant.</w:t>
            </w:r>
          </w:p>
        </w:tc>
      </w:tr>
      <w:tr w:rsidR="000B0B09" w:rsidRPr="00392FFD" w:rsidTr="000B0B09">
        <w:tc>
          <w:tcPr>
            <w:tcW w:w="852" w:type="dxa"/>
          </w:tcPr>
          <w:p w:rsidR="000B0B09" w:rsidRPr="00392FFD" w:rsidRDefault="000B0B09" w:rsidP="000B0B09">
            <w:pPr>
              <w:rPr>
                <w:rFonts w:ascii="Times New Roman" w:hAnsi="Times New Roman"/>
                <w:sz w:val="24"/>
              </w:rPr>
            </w:pPr>
            <w:r>
              <w:rPr>
                <w:rFonts w:ascii="Times New Roman" w:hAnsi="Times New Roman"/>
                <w:sz w:val="24"/>
              </w:rPr>
              <w:t xml:space="preserve">020 </w:t>
            </w:r>
          </w:p>
        </w:tc>
        <w:tc>
          <w:tcPr>
            <w:tcW w:w="8004" w:type="dxa"/>
          </w:tcPr>
          <w:p w:rsidR="000B0B09" w:rsidRPr="00392FFD" w:rsidRDefault="000B0B09" w:rsidP="000B0B09">
            <w:pPr>
              <w:rPr>
                <w:rFonts w:ascii="Times New Roman" w:hAnsi="Times New Roman"/>
                <w:b/>
                <w:bCs/>
                <w:sz w:val="24"/>
                <w:u w:val="single"/>
              </w:rPr>
            </w:pPr>
            <w:r>
              <w:rPr>
                <w:rFonts w:ascii="Times New Roman" w:hAnsi="Times New Roman"/>
                <w:b/>
                <w:sz w:val="24"/>
                <w:u w:val="single"/>
              </w:rPr>
              <w:t>D’après la méthode avancée</w:t>
            </w:r>
          </w:p>
          <w:p w:rsidR="000B0B09" w:rsidRPr="00392FFD" w:rsidRDefault="000B0B09" w:rsidP="000B0B09">
            <w:pPr>
              <w:rPr>
                <w:rFonts w:ascii="Times New Roman" w:hAnsi="Times New Roman"/>
                <w:bCs/>
                <w:sz w:val="24"/>
              </w:rPr>
            </w:pPr>
            <w:r>
              <w:rPr>
                <w:rFonts w:ascii="Times New Roman" w:hAnsi="Times New Roman"/>
                <w:sz w:val="24"/>
              </w:rPr>
              <w:t xml:space="preserve">Méthode avancée pour risque de CVA, prescrite par l’article 383 du CRR. </w:t>
            </w:r>
          </w:p>
        </w:tc>
      </w:tr>
      <w:tr w:rsidR="000B0B09" w:rsidRPr="00392FFD" w:rsidTr="000B0B09">
        <w:tc>
          <w:tcPr>
            <w:tcW w:w="852" w:type="dxa"/>
          </w:tcPr>
          <w:p w:rsidR="000B0B09" w:rsidRPr="00392FFD" w:rsidRDefault="000B0B09" w:rsidP="000B0B09">
            <w:pPr>
              <w:rPr>
                <w:rFonts w:ascii="Times New Roman" w:hAnsi="Times New Roman"/>
                <w:sz w:val="24"/>
              </w:rPr>
            </w:pPr>
            <w:r>
              <w:rPr>
                <w:rFonts w:ascii="Times New Roman" w:hAnsi="Times New Roman"/>
                <w:sz w:val="24"/>
              </w:rPr>
              <w:t>030</w:t>
            </w:r>
          </w:p>
        </w:tc>
        <w:tc>
          <w:tcPr>
            <w:tcW w:w="8004" w:type="dxa"/>
          </w:tcPr>
          <w:p w:rsidR="000B0B09" w:rsidRPr="00392FFD" w:rsidRDefault="000B0B09" w:rsidP="000B0B09">
            <w:pPr>
              <w:rPr>
                <w:rFonts w:ascii="Times New Roman" w:hAnsi="Times New Roman"/>
                <w:b/>
                <w:bCs/>
                <w:sz w:val="24"/>
                <w:u w:val="single"/>
              </w:rPr>
            </w:pPr>
            <w:r>
              <w:rPr>
                <w:rFonts w:ascii="Times New Roman" w:hAnsi="Times New Roman"/>
                <w:b/>
                <w:sz w:val="24"/>
                <w:u w:val="single"/>
              </w:rPr>
              <w:t>D’après la méthode standard</w:t>
            </w:r>
          </w:p>
          <w:p w:rsidR="000B0B09" w:rsidRPr="00392FFD" w:rsidRDefault="000B0B09" w:rsidP="000B0B09">
            <w:pPr>
              <w:rPr>
                <w:rFonts w:ascii="Times New Roman" w:hAnsi="Times New Roman"/>
                <w:bCs/>
                <w:sz w:val="24"/>
              </w:rPr>
            </w:pPr>
            <w:r>
              <w:rPr>
                <w:rFonts w:ascii="Times New Roman" w:hAnsi="Times New Roman"/>
                <w:sz w:val="24"/>
              </w:rPr>
              <w:t xml:space="preserve">Méthode standard pour risque de CVA, prescrite par l’article 384 du CRR. </w:t>
            </w:r>
          </w:p>
        </w:tc>
      </w:tr>
      <w:tr w:rsidR="000B0B09" w:rsidRPr="00392FFD" w:rsidTr="000B0B09">
        <w:tc>
          <w:tcPr>
            <w:tcW w:w="852" w:type="dxa"/>
          </w:tcPr>
          <w:p w:rsidR="000B0B09" w:rsidRPr="00392FFD" w:rsidRDefault="000B0B09" w:rsidP="000B0B09">
            <w:pPr>
              <w:rPr>
                <w:rFonts w:ascii="Times New Roman" w:hAnsi="Times New Roman"/>
                <w:sz w:val="24"/>
              </w:rPr>
            </w:pPr>
            <w:r>
              <w:rPr>
                <w:rFonts w:ascii="Times New Roman" w:hAnsi="Times New Roman"/>
                <w:sz w:val="24"/>
              </w:rPr>
              <w:lastRenderedPageBreak/>
              <w:t>040</w:t>
            </w:r>
          </w:p>
        </w:tc>
        <w:tc>
          <w:tcPr>
            <w:tcW w:w="8004" w:type="dxa"/>
          </w:tcPr>
          <w:p w:rsidR="000B0B09" w:rsidRPr="00392FFD" w:rsidRDefault="000B0B09" w:rsidP="000B0B09">
            <w:pPr>
              <w:rPr>
                <w:rFonts w:ascii="Times New Roman" w:hAnsi="Times New Roman"/>
                <w:b/>
                <w:bCs/>
                <w:sz w:val="24"/>
                <w:u w:val="single"/>
              </w:rPr>
            </w:pPr>
            <w:r>
              <w:rPr>
                <w:rFonts w:ascii="Times New Roman" w:hAnsi="Times New Roman"/>
                <w:b/>
                <w:sz w:val="24"/>
                <w:u w:val="single"/>
              </w:rPr>
              <w:t>Méthode de l'exposition initiale</w:t>
            </w:r>
          </w:p>
          <w:p w:rsidR="000B0B09" w:rsidRPr="00392FFD" w:rsidRDefault="000B0B09" w:rsidP="00E871FE">
            <w:pPr>
              <w:rPr>
                <w:rFonts w:ascii="Times New Roman" w:hAnsi="Times New Roman"/>
                <w:bCs/>
                <w:sz w:val="24"/>
              </w:rPr>
            </w:pPr>
            <w:r>
              <w:rPr>
                <w:rFonts w:ascii="Times New Roman" w:hAnsi="Times New Roman"/>
                <w:sz w:val="24"/>
              </w:rPr>
              <w:t>Montants soumis à l’application de l’article 385 du CRR.</w:t>
            </w:r>
          </w:p>
        </w:tc>
      </w:tr>
      <w:bookmarkEnd w:id="665"/>
    </w:tbl>
    <w:p w:rsidR="00633DEB" w:rsidRPr="00392FFD" w:rsidRDefault="00633DEB" w:rsidP="00C61FF5">
      <w:pPr>
        <w:rPr>
          <w:rStyle w:val="InstructionsTabelleText"/>
          <w:rFonts w:ascii="Times New Roman" w:hAnsi="Times New Roman"/>
          <w:sz w:val="24"/>
        </w:rPr>
      </w:pPr>
    </w:p>
    <w:p w:rsidR="00FD54FC" w:rsidRPr="00392FFD" w:rsidRDefault="00125707" w:rsidP="0023700C">
      <w:pPr>
        <w:pStyle w:val="Instructionsberschrift2"/>
        <w:numPr>
          <w:ilvl w:val="0"/>
          <w:numId w:val="0"/>
        </w:numPr>
        <w:ind w:left="357" w:hanging="357"/>
        <w:rPr>
          <w:rFonts w:ascii="Times New Roman" w:hAnsi="Times New Roman" w:cs="Times New Roman"/>
          <w:sz w:val="24"/>
        </w:rPr>
      </w:pPr>
      <w:bookmarkStart w:id="667" w:name="_Toc473561055"/>
      <w:bookmarkStart w:id="668" w:name="_Toc496022366"/>
      <w:r>
        <w:rPr>
          <w:rFonts w:ascii="Times New Roman" w:hAnsi="Times New Roman"/>
          <w:sz w:val="24"/>
          <w:u w:val="none"/>
        </w:rPr>
        <w:t>6.</w:t>
      </w:r>
      <w:r>
        <w:tab/>
      </w:r>
      <w:r>
        <w:rPr>
          <w:rFonts w:ascii="Times New Roman" w:hAnsi="Times New Roman"/>
          <w:sz w:val="24"/>
        </w:rPr>
        <w:t>C 33.00 - Expositions sur les administrations publiques (GOV)</w:t>
      </w:r>
      <w:bookmarkEnd w:id="667"/>
      <w:bookmarkEnd w:id="668"/>
    </w:p>
    <w:p w:rsidR="00FD54FC" w:rsidRPr="00392FFD" w:rsidRDefault="00125707" w:rsidP="0023700C">
      <w:pPr>
        <w:pStyle w:val="Instructionsberschrift2"/>
        <w:numPr>
          <w:ilvl w:val="0"/>
          <w:numId w:val="0"/>
        </w:numPr>
        <w:ind w:left="357" w:hanging="357"/>
        <w:rPr>
          <w:rFonts w:ascii="Times New Roman" w:hAnsi="Times New Roman" w:cs="Times New Roman"/>
          <w:sz w:val="24"/>
        </w:rPr>
      </w:pPr>
      <w:bookmarkStart w:id="669" w:name="_Toc367202008"/>
      <w:bookmarkStart w:id="670" w:name="_Toc473561056"/>
      <w:bookmarkStart w:id="671" w:name="_Toc496022367"/>
      <w:r>
        <w:rPr>
          <w:rFonts w:ascii="Times New Roman" w:hAnsi="Times New Roman"/>
          <w:sz w:val="24"/>
          <w:u w:val="none"/>
        </w:rPr>
        <w:t>6.1.</w:t>
      </w:r>
      <w:r>
        <w:tab/>
      </w:r>
      <w:r>
        <w:rPr>
          <w:rFonts w:ascii="Times New Roman" w:hAnsi="Times New Roman"/>
          <w:sz w:val="24"/>
        </w:rPr>
        <w:t>Remarques générales</w:t>
      </w:r>
      <w:bookmarkEnd w:id="669"/>
      <w:bookmarkEnd w:id="670"/>
      <w:bookmarkEnd w:id="671"/>
      <w:r>
        <w:rPr>
          <w:rFonts w:ascii="Times New Roman" w:hAnsi="Times New Roman"/>
          <w:sz w:val="24"/>
        </w:rPr>
        <w:t xml:space="preserve"> </w:t>
      </w:r>
    </w:p>
    <w:p w:rsidR="00FD54FC" w:rsidRPr="00392FFD" w:rsidRDefault="00125707" w:rsidP="0023700C">
      <w:pPr>
        <w:pStyle w:val="InstructionsText2"/>
        <w:numPr>
          <w:ilvl w:val="0"/>
          <w:numId w:val="0"/>
        </w:numPr>
        <w:ind w:left="1353" w:hanging="360"/>
      </w:pPr>
      <w:r>
        <w:t>155.</w:t>
      </w:r>
      <w:r>
        <w:tab/>
        <w:t>Les informations pour le modèle C 33.00 couvrent toutes les expositions sur les «administrations publiques» telles que définies à l’annexe V, paragraphe 42, point b).</w:t>
      </w:r>
    </w:p>
    <w:p w:rsidR="00FD54FC" w:rsidRPr="00392FFD" w:rsidRDefault="00125707" w:rsidP="0023700C">
      <w:pPr>
        <w:pStyle w:val="InstructionsText2"/>
        <w:numPr>
          <w:ilvl w:val="0"/>
          <w:numId w:val="0"/>
        </w:numPr>
        <w:ind w:left="1353" w:hanging="360"/>
      </w:pPr>
      <w:r>
        <w:t>156.</w:t>
      </w:r>
      <w:r>
        <w:tab/>
        <w:t>Les expositions sur les «administrations publiques» sont incluses dans diff</w:t>
      </w:r>
      <w:r>
        <w:t>é</w:t>
      </w:r>
      <w:r>
        <w:t xml:space="preserve">rentes catégories d’expositions conformément à l’article 112 et à l'article 147 du CRR, comme indiqué dans les instructions pour les modèles C 07.00, C 08.01 et C 08.02. </w:t>
      </w:r>
    </w:p>
    <w:p w:rsidR="00FD54FC" w:rsidRPr="00392FFD" w:rsidRDefault="00125707" w:rsidP="0023700C">
      <w:pPr>
        <w:pStyle w:val="InstructionsText2"/>
        <w:numPr>
          <w:ilvl w:val="0"/>
          <w:numId w:val="0"/>
        </w:numPr>
        <w:ind w:left="1353" w:hanging="360"/>
      </w:pPr>
      <w:r>
        <w:t>157.</w:t>
      </w:r>
      <w:r>
        <w:tab/>
        <w:t>Le tableau 2 (Approche standard) et le tableau 3 (Approche NI) qui figurent dans la partie 3 de l'annexe V seront respectés pour la mise en correspondance des catégories d’expositions utilisées pour calculer les exigences de fonds propres en vertu du CRR avec le secteur de contreparties «administrations p</w:t>
      </w:r>
      <w:r>
        <w:t>u</w:t>
      </w:r>
      <w:r>
        <w:t xml:space="preserve">bliques». </w:t>
      </w:r>
    </w:p>
    <w:p w:rsidR="00FD54FC" w:rsidRPr="00392FFD" w:rsidRDefault="00125707" w:rsidP="0023700C">
      <w:pPr>
        <w:pStyle w:val="InstructionsText2"/>
        <w:numPr>
          <w:ilvl w:val="0"/>
          <w:numId w:val="0"/>
        </w:numPr>
        <w:ind w:left="1353" w:hanging="360"/>
      </w:pPr>
      <w:r>
        <w:t>158.</w:t>
      </w:r>
      <w:r>
        <w:tab/>
        <w:t>Des informations seront fournies pour les expositions agrégées totales (c’est-à-dire la somme de tous les pays dans lesquels la banque a des expositions souv</w:t>
      </w:r>
      <w:r>
        <w:t>e</w:t>
      </w:r>
      <w:r>
        <w:t xml:space="preserve">raines) et pour chaque pays en fonction de la résidence de la contrepartie sur la base de l’«emprunteur direct». </w:t>
      </w:r>
    </w:p>
    <w:p w:rsidR="00FD54FC" w:rsidRPr="00392FFD" w:rsidRDefault="00125707" w:rsidP="0023700C">
      <w:pPr>
        <w:pStyle w:val="InstructionsText2"/>
        <w:numPr>
          <w:ilvl w:val="0"/>
          <w:numId w:val="0"/>
        </w:numPr>
        <w:ind w:left="1353" w:hanging="360"/>
      </w:pPr>
      <w:r>
        <w:t>159.</w:t>
      </w:r>
      <w:r>
        <w:tab/>
        <w:t>L’affectation des expositions aux catégories d’expositions ou aux juridictions sera effectuée sans prendre en considération les techniques d'atténuation du risque de crédit, et en particulier sans prendre en considération les effets de substitution. Cependant, le calcul des valeurs exposées au risque et des mo</w:t>
      </w:r>
      <w:r>
        <w:t>n</w:t>
      </w:r>
      <w:r>
        <w:t>tants d’exposition pondérés pour chaque catégorie d’expositions et chaque jur</w:t>
      </w:r>
      <w:r>
        <w:t>i</w:t>
      </w:r>
      <w:r>
        <w:t xml:space="preserve">diction inclut l’incidence des techniques d'atténuation du risque de crédit, y compris les effets de substitution. </w:t>
      </w:r>
    </w:p>
    <w:p w:rsidR="00FD54FC" w:rsidRPr="00392FFD" w:rsidRDefault="00125707" w:rsidP="0023700C">
      <w:pPr>
        <w:pStyle w:val="InstructionsText2"/>
        <w:numPr>
          <w:ilvl w:val="0"/>
          <w:numId w:val="0"/>
        </w:numPr>
        <w:ind w:left="1353" w:hanging="360"/>
      </w:pPr>
      <w:r>
        <w:t>160.</w:t>
      </w:r>
      <w:r>
        <w:tab/>
        <w:t>La déclaration des informations relatives aux expositions sur les «administr</w:t>
      </w:r>
      <w:r>
        <w:t>a</w:t>
      </w:r>
      <w:r>
        <w:t>tions publiques» par juridiction de la résidence de la contrepartie immédiate autre que la juridiction nationale de l’établissement déclarant est soumise aux seuils prévus à l’article 5, point b), point 3), du présent règlement.</w:t>
      </w:r>
    </w:p>
    <w:p w:rsidR="00FD54FC" w:rsidRPr="00392FFD" w:rsidRDefault="00125707" w:rsidP="0023700C">
      <w:pPr>
        <w:pStyle w:val="Instructionsberschrift2"/>
        <w:numPr>
          <w:ilvl w:val="0"/>
          <w:numId w:val="0"/>
        </w:numPr>
        <w:ind w:left="357" w:hanging="357"/>
        <w:rPr>
          <w:rFonts w:ascii="Times New Roman" w:hAnsi="Times New Roman" w:cs="Times New Roman"/>
          <w:sz w:val="24"/>
        </w:rPr>
      </w:pPr>
      <w:bookmarkStart w:id="672" w:name="_Toc367202009"/>
      <w:bookmarkStart w:id="673" w:name="_Toc473561057"/>
      <w:bookmarkStart w:id="674" w:name="_Toc496022368"/>
      <w:r>
        <w:rPr>
          <w:rFonts w:ascii="Times New Roman" w:hAnsi="Times New Roman"/>
          <w:sz w:val="24"/>
          <w:u w:val="none"/>
        </w:rPr>
        <w:t>6.2.</w:t>
      </w:r>
      <w:r>
        <w:tab/>
      </w:r>
      <w:r>
        <w:rPr>
          <w:rFonts w:ascii="Times New Roman" w:hAnsi="Times New Roman"/>
          <w:sz w:val="24"/>
        </w:rPr>
        <w:t>Champ d'application du modèle</w:t>
      </w:r>
      <w:bookmarkEnd w:id="672"/>
      <w:r>
        <w:rPr>
          <w:rFonts w:ascii="Times New Roman" w:hAnsi="Times New Roman"/>
          <w:sz w:val="24"/>
        </w:rPr>
        <w:t xml:space="preserve"> consacré aux expositions sur les «administrations publiques»</w:t>
      </w:r>
      <w:bookmarkEnd w:id="673"/>
      <w:bookmarkEnd w:id="674"/>
    </w:p>
    <w:p w:rsidR="00FD54FC" w:rsidRPr="00392FFD" w:rsidRDefault="00125707" w:rsidP="0023700C">
      <w:pPr>
        <w:pStyle w:val="InstructionsText2"/>
        <w:numPr>
          <w:ilvl w:val="0"/>
          <w:numId w:val="0"/>
        </w:numPr>
        <w:ind w:left="1353" w:hanging="360"/>
      </w:pPr>
      <w:r>
        <w:t>161.</w:t>
      </w:r>
      <w:r>
        <w:tab/>
        <w:t>Le champ d'application du modèle GOV couvre les expositions directes au b</w:t>
      </w:r>
      <w:r>
        <w:t>i</w:t>
      </w:r>
      <w:r>
        <w:t>lan, hors bilan et sous la forme de dérivés sur les «administrations publiques» dans le portefeuille d’intermédiation bancaire et dans le portefeuille de négoci</w:t>
      </w:r>
      <w:r>
        <w:t>a</w:t>
      </w:r>
      <w:r>
        <w:t>tion. En outre, un poste pour mémoire est également demandé concernant les expositions indirectes correspondant à des dérivés de crédit vendus dont les a</w:t>
      </w:r>
      <w:r>
        <w:t>c</w:t>
      </w:r>
      <w:r>
        <w:t>tifs sous-jacents sont des expositions sur des administrations publiques.</w:t>
      </w:r>
    </w:p>
    <w:p w:rsidR="00FD54FC" w:rsidRPr="00392FFD" w:rsidRDefault="00125707" w:rsidP="0023700C">
      <w:pPr>
        <w:pStyle w:val="InstructionsText2"/>
        <w:numPr>
          <w:ilvl w:val="0"/>
          <w:numId w:val="0"/>
        </w:numPr>
        <w:ind w:left="1353" w:hanging="360"/>
      </w:pPr>
      <w:r>
        <w:lastRenderedPageBreak/>
        <w:t>162.</w:t>
      </w:r>
      <w:r>
        <w:tab/>
        <w:t xml:space="preserve">Une exposition est dite directe lorsque la contrepartie immédiate est une entité entrant dans la définition des «administrations publiques». </w:t>
      </w:r>
    </w:p>
    <w:p w:rsidR="00FD54FC" w:rsidRPr="00392FFD" w:rsidRDefault="00125707" w:rsidP="0023700C">
      <w:pPr>
        <w:pStyle w:val="InstructionsText2"/>
        <w:numPr>
          <w:ilvl w:val="0"/>
          <w:numId w:val="0"/>
        </w:numPr>
        <w:ind w:left="1353" w:hanging="360"/>
      </w:pPr>
      <w:r>
        <w:t>163.</w:t>
      </w:r>
      <w:r>
        <w:tab/>
        <w:t>Le modèle est divisé en deux sections. La première repose sur une répartition des expositions par risque, approche réglementaire et catégorie d’expositions, et la seconde sur une répartition par échéance résiduelle.</w:t>
      </w:r>
    </w:p>
    <w:p w:rsidR="00FD54FC" w:rsidRPr="00392FFD" w:rsidRDefault="00125707" w:rsidP="0023700C">
      <w:pPr>
        <w:pStyle w:val="Instructionsberschrift2"/>
        <w:numPr>
          <w:ilvl w:val="0"/>
          <w:numId w:val="0"/>
        </w:numPr>
        <w:ind w:left="357" w:hanging="357"/>
        <w:rPr>
          <w:rFonts w:ascii="Times New Roman" w:hAnsi="Times New Roman" w:cs="Times New Roman"/>
          <w:sz w:val="24"/>
        </w:rPr>
      </w:pPr>
      <w:bookmarkStart w:id="675" w:name="_Toc473561058"/>
      <w:bookmarkStart w:id="676" w:name="_Toc496022369"/>
      <w:r>
        <w:rPr>
          <w:rFonts w:ascii="Times New Roman" w:hAnsi="Times New Roman"/>
          <w:sz w:val="24"/>
          <w:u w:val="none"/>
        </w:rPr>
        <w:t>6.3.</w:t>
      </w:r>
      <w:r>
        <w:tab/>
      </w:r>
      <w:r>
        <w:rPr>
          <w:rFonts w:ascii="Times New Roman" w:hAnsi="Times New Roman"/>
          <w:sz w:val="24"/>
        </w:rPr>
        <w:t>Instructions concernant certaines positions</w:t>
      </w:r>
      <w:bookmarkEnd w:id="675"/>
      <w:bookmarkEnd w:id="676"/>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8640"/>
      </w:tblGrid>
      <w:tr w:rsidR="00FD54FC" w:rsidRPr="00392FFD" w:rsidTr="00FD54FC">
        <w:tc>
          <w:tcPr>
            <w:tcW w:w="1188" w:type="dxa"/>
            <w:shd w:val="pct25" w:color="auto" w:fill="auto"/>
          </w:tcPr>
          <w:p w:rsidR="00FD54FC" w:rsidRPr="00392FFD" w:rsidRDefault="00FD54FC" w:rsidP="00FD54FC">
            <w:pPr>
              <w:spacing w:before="0" w:after="0"/>
              <w:ind w:left="33"/>
              <w:rPr>
                <w:rFonts w:ascii="Times New Roman" w:hAnsi="Times New Roman"/>
                <w:bCs/>
                <w:sz w:val="24"/>
              </w:rPr>
            </w:pPr>
            <w:r>
              <w:rPr>
                <w:rFonts w:ascii="Times New Roman" w:hAnsi="Times New Roman"/>
                <w:sz w:val="24"/>
              </w:rPr>
              <w:t>Colonnes</w:t>
            </w:r>
          </w:p>
          <w:p w:rsidR="00FD54FC" w:rsidRPr="00392FFD" w:rsidRDefault="00FD54FC" w:rsidP="00FD54FC">
            <w:pPr>
              <w:spacing w:before="0" w:after="0"/>
              <w:ind w:left="33"/>
              <w:rPr>
                <w:rFonts w:ascii="Times New Roman" w:hAnsi="Times New Roman"/>
                <w:bCs/>
                <w:sz w:val="24"/>
              </w:rPr>
            </w:pPr>
          </w:p>
        </w:tc>
        <w:tc>
          <w:tcPr>
            <w:tcW w:w="8640" w:type="dxa"/>
            <w:shd w:val="pct25" w:color="auto" w:fill="auto"/>
          </w:tcPr>
          <w:p w:rsidR="00FD54FC" w:rsidRPr="00392FFD" w:rsidRDefault="00FD54FC" w:rsidP="00FD54FC">
            <w:pPr>
              <w:spacing w:before="0" w:after="0"/>
              <w:ind w:left="33"/>
              <w:rPr>
                <w:rFonts w:ascii="Times New Roman" w:hAnsi="Times New Roman"/>
                <w:bCs/>
                <w:sz w:val="24"/>
              </w:rPr>
            </w:pPr>
            <w:r>
              <w:rPr>
                <w:rFonts w:ascii="Times New Roman" w:hAnsi="Times New Roman"/>
                <w:sz w:val="24"/>
              </w:rPr>
              <w:t>Instructions</w:t>
            </w:r>
          </w:p>
        </w:tc>
      </w:tr>
      <w:tr w:rsidR="00FD54FC" w:rsidRPr="00392FFD" w:rsidTr="00FD54FC">
        <w:tc>
          <w:tcPr>
            <w:tcW w:w="1188" w:type="dxa"/>
            <w:tcBorders>
              <w:bottom w:val="single" w:sz="4" w:space="0" w:color="auto"/>
            </w:tcBorders>
          </w:tcPr>
          <w:p w:rsidR="00FD54FC" w:rsidRPr="00392FFD" w:rsidRDefault="00FD54FC" w:rsidP="00B74792">
            <w:pPr>
              <w:spacing w:before="0" w:after="0"/>
              <w:ind w:left="33"/>
              <w:rPr>
                <w:rFonts w:ascii="Times New Roman" w:hAnsi="Times New Roman"/>
                <w:bCs/>
                <w:sz w:val="24"/>
                <w:highlight w:val="yellow"/>
              </w:rPr>
            </w:pPr>
            <w:r>
              <w:rPr>
                <w:rFonts w:ascii="Times New Roman" w:hAnsi="Times New Roman"/>
                <w:sz w:val="24"/>
              </w:rPr>
              <w:t>010-260</w:t>
            </w:r>
          </w:p>
        </w:tc>
        <w:tc>
          <w:tcPr>
            <w:tcW w:w="8640" w:type="dxa"/>
            <w:tcBorders>
              <w:bottom w:val="single" w:sz="4" w:space="0" w:color="auto"/>
            </w:tcBorders>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 xml:space="preserve">EXPOSITIONS DIRECTES </w:t>
            </w:r>
          </w:p>
        </w:tc>
      </w:tr>
      <w:tr w:rsidR="00FD54FC" w:rsidRPr="00392FFD" w:rsidTr="00FD54FC">
        <w:tc>
          <w:tcPr>
            <w:tcW w:w="1188" w:type="dxa"/>
          </w:tcPr>
          <w:p w:rsidR="00FD54FC" w:rsidRPr="00392FFD" w:rsidRDefault="00FD54FC" w:rsidP="00B74792">
            <w:pPr>
              <w:spacing w:before="0" w:after="0"/>
              <w:ind w:left="33"/>
              <w:rPr>
                <w:rFonts w:ascii="Times New Roman" w:hAnsi="Times New Roman"/>
                <w:bCs/>
                <w:sz w:val="24"/>
                <w:highlight w:val="yellow"/>
              </w:rPr>
            </w:pPr>
            <w:r>
              <w:rPr>
                <w:rFonts w:ascii="Times New Roman" w:hAnsi="Times New Roman"/>
                <w:sz w:val="24"/>
              </w:rPr>
              <w:t>010-140</w:t>
            </w:r>
          </w:p>
        </w:tc>
        <w:tc>
          <w:tcPr>
            <w:tcW w:w="8640" w:type="dxa"/>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EXPOSITIONS AU BILAN</w:t>
            </w:r>
          </w:p>
        </w:tc>
      </w:tr>
      <w:tr w:rsidR="00FD54FC" w:rsidRPr="00392FFD" w:rsidTr="00FD54FC">
        <w:tc>
          <w:tcPr>
            <w:tcW w:w="1188" w:type="dxa"/>
          </w:tcPr>
          <w:p w:rsidR="00FD54FC" w:rsidRPr="00392FFD" w:rsidRDefault="00FD54FC" w:rsidP="00FD54FC">
            <w:pPr>
              <w:spacing w:before="0" w:after="0"/>
              <w:ind w:left="33"/>
              <w:rPr>
                <w:rFonts w:ascii="Times New Roman" w:hAnsi="Times New Roman"/>
                <w:bCs/>
                <w:sz w:val="24"/>
              </w:rPr>
            </w:pPr>
            <w:r>
              <w:rPr>
                <w:rFonts w:ascii="Times New Roman" w:hAnsi="Times New Roman"/>
                <w:sz w:val="24"/>
              </w:rPr>
              <w:t>010</w:t>
            </w:r>
          </w:p>
        </w:tc>
        <w:tc>
          <w:tcPr>
            <w:tcW w:w="8640" w:type="dxa"/>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 xml:space="preserve">Valeur comptable brute totale des actifs financiers non dérivés </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Total de la valeur comptable brute, déterminée conformément à l’annexe V, partie 1, paragraphe 34, des actifs financiers non dérivés qui sont des expositions sur des adm</w:t>
            </w:r>
            <w:r>
              <w:rPr>
                <w:rFonts w:ascii="Times New Roman" w:hAnsi="Times New Roman"/>
                <w:sz w:val="24"/>
              </w:rPr>
              <w:t>i</w:t>
            </w:r>
            <w:r>
              <w:rPr>
                <w:rFonts w:ascii="Times New Roman" w:hAnsi="Times New Roman"/>
                <w:sz w:val="24"/>
              </w:rPr>
              <w:t>nistrations publiques, pour tous les portefeuilles comptables appliquant les normes IFRS ou les référentiels comptables nationaux fondés sur la directive 86/635/CEE (d</w:t>
            </w:r>
            <w:r>
              <w:rPr>
                <w:rFonts w:ascii="Times New Roman" w:hAnsi="Times New Roman"/>
                <w:sz w:val="24"/>
              </w:rPr>
              <w:t>i</w:t>
            </w:r>
            <w:r>
              <w:rPr>
                <w:rFonts w:ascii="Times New Roman" w:hAnsi="Times New Roman"/>
                <w:sz w:val="24"/>
              </w:rPr>
              <w:t xml:space="preserve">rective sur la comptabilité des banques, ci-après la «BAD») définis à l'annexe V, partie 1, paragraphes15 à 22, et énumérés dans les colonnes 030 à 120. </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Les corrections de valeur à des fins d’évaluation prudente ne réduisent pas la valeur comptable brute des expositions du portefeuille de négociation et du portefeuille hors négociation mesurées à leur juste valeur.</w:t>
            </w:r>
          </w:p>
          <w:p w:rsidR="00FD54FC" w:rsidRPr="00392FFD" w:rsidRDefault="00FD54FC" w:rsidP="00FD54FC">
            <w:pPr>
              <w:spacing w:before="0" w:after="0"/>
              <w:rPr>
                <w:rFonts w:ascii="Times New Roman" w:hAnsi="Times New Roman"/>
                <w:bCs/>
                <w:sz w:val="24"/>
              </w:rPr>
            </w:pPr>
          </w:p>
        </w:tc>
      </w:tr>
      <w:tr w:rsidR="00FD54FC" w:rsidRPr="00392FFD"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t>020</w:t>
            </w:r>
          </w:p>
        </w:tc>
        <w:tc>
          <w:tcPr>
            <w:tcW w:w="8640" w:type="dxa"/>
          </w:tcPr>
          <w:p w:rsidR="00FD54FC" w:rsidRPr="00321A3B" w:rsidRDefault="00FD54FC" w:rsidP="00FD54FC">
            <w:pPr>
              <w:spacing w:before="0" w:after="0"/>
              <w:ind w:left="33"/>
              <w:rPr>
                <w:rFonts w:ascii="Times New Roman" w:hAnsi="Times New Roman"/>
                <w:b/>
                <w:bCs/>
                <w:sz w:val="24"/>
                <w:u w:val="single"/>
              </w:rPr>
            </w:pPr>
            <w:r>
              <w:rPr>
                <w:rFonts w:ascii="Times New Roman" w:hAnsi="Times New Roman"/>
                <w:b/>
                <w:sz w:val="24"/>
                <w:u w:val="single"/>
              </w:rPr>
              <w:t>Valeur comptable totale des actifs financiers non dérivés (nette des positions courtes)</w:t>
            </w:r>
          </w:p>
          <w:p w:rsidR="00FD54FC" w:rsidRPr="00321A3B"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Total de la valeur comptable, conformément à l’annexe V, partie 1, paragraphe 27, des actifs financiers non dérivés qui sont des expositions sur des administrations p</w:t>
            </w:r>
            <w:r>
              <w:rPr>
                <w:rFonts w:ascii="Times New Roman" w:hAnsi="Times New Roman"/>
                <w:sz w:val="24"/>
              </w:rPr>
              <w:t>u</w:t>
            </w:r>
            <w:r>
              <w:rPr>
                <w:rFonts w:ascii="Times New Roman" w:hAnsi="Times New Roman"/>
                <w:sz w:val="24"/>
              </w:rPr>
              <w:t>bliques, pour tous les portefeuilles comptables appliquant les normes IFRS ou les référentiels comptables nationaux fondés sur la BAD définis à l’annexe V, partie 1, p</w:t>
            </w:r>
            <w:r>
              <w:rPr>
                <w:rFonts w:ascii="Times New Roman" w:hAnsi="Times New Roman"/>
                <w:sz w:val="24"/>
              </w:rPr>
              <w:t>a</w:t>
            </w:r>
            <w:r>
              <w:rPr>
                <w:rFonts w:ascii="Times New Roman" w:hAnsi="Times New Roman"/>
                <w:sz w:val="24"/>
              </w:rPr>
              <w:t>ragraphes 15 à 22, et énumérés dans les colonnes 030 à 120, nette des positions courtes.</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Lorsque l’établissement a une position courte, pour la même échéance résiduelle et pour la même contrepartie immédiate, la valeur comptable de la position courte sera compensée avec la valeur comptable de la position directe. Ce montant net sera cons</w:t>
            </w:r>
            <w:r>
              <w:rPr>
                <w:rFonts w:ascii="Times New Roman" w:hAnsi="Times New Roman"/>
                <w:sz w:val="24"/>
              </w:rPr>
              <w:t>i</w:t>
            </w:r>
            <w:r>
              <w:rPr>
                <w:rFonts w:ascii="Times New Roman" w:hAnsi="Times New Roman"/>
                <w:sz w:val="24"/>
              </w:rPr>
              <w:t>déré comme nul s'il est négatif.</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La somme des colonnes 030 à 120 moins la colonne 130 doit être déclarée.</w:t>
            </w:r>
            <w:r>
              <w:rPr>
                <w:sz w:val="24"/>
              </w:rPr>
              <w:t xml:space="preserve"> </w:t>
            </w:r>
            <w:r>
              <w:rPr>
                <w:rFonts w:ascii="Times New Roman" w:hAnsi="Times New Roman"/>
                <w:sz w:val="24"/>
              </w:rPr>
              <w:t>Si ce mo</w:t>
            </w:r>
            <w:r>
              <w:rPr>
                <w:rFonts w:ascii="Times New Roman" w:hAnsi="Times New Roman"/>
                <w:sz w:val="24"/>
              </w:rPr>
              <w:t>n</w:t>
            </w:r>
            <w:r>
              <w:rPr>
                <w:rFonts w:ascii="Times New Roman" w:hAnsi="Times New Roman"/>
                <w:sz w:val="24"/>
              </w:rPr>
              <w:t>tant est inférieur à zéro, le montant à déclarer sera zéro.</w:t>
            </w:r>
          </w:p>
          <w:p w:rsidR="00FD54FC" w:rsidRPr="00392FFD" w:rsidRDefault="00FD54FC" w:rsidP="00FD54FC">
            <w:pPr>
              <w:spacing w:before="0" w:after="0"/>
              <w:ind w:left="33"/>
              <w:rPr>
                <w:rFonts w:ascii="Times New Roman" w:hAnsi="Times New Roman"/>
                <w:bCs/>
                <w:sz w:val="24"/>
              </w:rPr>
            </w:pPr>
          </w:p>
          <w:p w:rsidR="00FD54FC" w:rsidRPr="00392FFD" w:rsidDel="00FB1EBF" w:rsidRDefault="00FD54FC" w:rsidP="00FD54FC">
            <w:pPr>
              <w:spacing w:before="0" w:after="0"/>
              <w:ind w:left="33"/>
              <w:rPr>
                <w:rFonts w:ascii="Times New Roman" w:hAnsi="Times New Roman"/>
                <w:bCs/>
                <w:sz w:val="24"/>
              </w:rPr>
            </w:pPr>
          </w:p>
        </w:tc>
      </w:tr>
      <w:tr w:rsidR="00FD54FC" w:rsidRPr="00392FFD" w:rsidTr="00FD54FC">
        <w:tc>
          <w:tcPr>
            <w:tcW w:w="1188" w:type="dxa"/>
          </w:tcPr>
          <w:p w:rsidR="00FD54FC" w:rsidRPr="00392FFD" w:rsidRDefault="00FD54FC" w:rsidP="00FD54FC">
            <w:pPr>
              <w:spacing w:before="0" w:after="0"/>
              <w:ind w:left="33"/>
              <w:rPr>
                <w:rFonts w:ascii="Times New Roman" w:hAnsi="Times New Roman"/>
                <w:bCs/>
                <w:sz w:val="24"/>
              </w:rPr>
            </w:pPr>
            <w:r>
              <w:rPr>
                <w:rFonts w:ascii="Times New Roman" w:hAnsi="Times New Roman"/>
                <w:sz w:val="24"/>
              </w:rPr>
              <w:t>030-120</w:t>
            </w:r>
          </w:p>
        </w:tc>
        <w:tc>
          <w:tcPr>
            <w:tcW w:w="8640" w:type="dxa"/>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ACTIFS FINANCIERS NON DÉRIVÉS PAR PORTEFEUILLE COMPTABLE</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Valeur comptable totale des actifs financiers non dérivés, telle que définie ci-dessus, qui sont des expositions sur des administrations publiques par portefeuille comptable selon le référentiel comptable applicable.</w:t>
            </w:r>
          </w:p>
          <w:p w:rsidR="00FD54FC" w:rsidRPr="00392FFD" w:rsidDel="00FB1EBF" w:rsidRDefault="00FD54FC" w:rsidP="00FD54FC">
            <w:pPr>
              <w:spacing w:before="0" w:after="0"/>
              <w:ind w:left="33"/>
              <w:rPr>
                <w:rFonts w:ascii="Times New Roman" w:hAnsi="Times New Roman"/>
                <w:bCs/>
                <w:sz w:val="24"/>
              </w:rPr>
            </w:pPr>
          </w:p>
        </w:tc>
      </w:tr>
      <w:tr w:rsidR="00FD54FC" w:rsidRPr="00024ED7"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lastRenderedPageBreak/>
              <w:t>030</w:t>
            </w:r>
          </w:p>
        </w:tc>
        <w:tc>
          <w:tcPr>
            <w:tcW w:w="8640" w:type="dxa"/>
          </w:tcPr>
          <w:p w:rsidR="00FD54FC" w:rsidRPr="00321A3B" w:rsidRDefault="00FD54FC" w:rsidP="00FD54FC">
            <w:pPr>
              <w:spacing w:before="0" w:after="0"/>
              <w:ind w:left="33"/>
              <w:rPr>
                <w:rFonts w:ascii="Times New Roman" w:hAnsi="Times New Roman"/>
                <w:bCs/>
                <w:sz w:val="24"/>
              </w:rPr>
            </w:pPr>
            <w:r>
              <w:rPr>
                <w:rFonts w:ascii="Times New Roman" w:hAnsi="Times New Roman"/>
                <w:b/>
                <w:sz w:val="24"/>
                <w:u w:val="single"/>
              </w:rPr>
              <w:t>Actifs financiers détenus à des fins de négociation</w:t>
            </w:r>
          </w:p>
          <w:p w:rsidR="00FD54FC" w:rsidRPr="00321A3B" w:rsidRDefault="00FD54FC" w:rsidP="00FD54FC">
            <w:pPr>
              <w:spacing w:before="0" w:after="0"/>
              <w:ind w:left="33"/>
              <w:rPr>
                <w:rFonts w:ascii="Times New Roman" w:hAnsi="Times New Roman"/>
                <w:bCs/>
                <w:sz w:val="24"/>
              </w:rPr>
            </w:pPr>
          </w:p>
          <w:p w:rsidR="00FD54FC" w:rsidRPr="00024ED7" w:rsidRDefault="001C79CB" w:rsidP="00FD54FC">
            <w:pPr>
              <w:spacing w:before="0" w:after="0"/>
              <w:ind w:left="33"/>
              <w:rPr>
                <w:rFonts w:ascii="Times New Roman" w:hAnsi="Times New Roman"/>
                <w:bCs/>
                <w:sz w:val="24"/>
                <w:lang w:val="en-US"/>
              </w:rPr>
            </w:pPr>
            <w:r w:rsidRPr="00024ED7">
              <w:rPr>
                <w:rFonts w:ascii="Times New Roman" w:hAnsi="Times New Roman"/>
                <w:sz w:val="24"/>
                <w:lang w:val="en-US"/>
              </w:rPr>
              <w:t>IFRS 7.8(a)(ii); IFRS 9 Annexe A</w:t>
            </w:r>
          </w:p>
          <w:p w:rsidR="00FD54FC" w:rsidRPr="00024ED7" w:rsidDel="00FB1EBF" w:rsidRDefault="00FD54FC" w:rsidP="00FD54FC">
            <w:pPr>
              <w:spacing w:before="0" w:after="0"/>
              <w:ind w:left="33"/>
              <w:rPr>
                <w:rFonts w:ascii="Times New Roman" w:hAnsi="Times New Roman"/>
                <w:bCs/>
                <w:sz w:val="24"/>
                <w:lang w:val="en-US"/>
              </w:rPr>
            </w:pPr>
          </w:p>
        </w:tc>
      </w:tr>
      <w:tr w:rsidR="00FD54FC" w:rsidRPr="00321A3B"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t>040</w:t>
            </w:r>
          </w:p>
        </w:tc>
        <w:tc>
          <w:tcPr>
            <w:tcW w:w="8640" w:type="dxa"/>
          </w:tcPr>
          <w:p w:rsidR="00FD54FC" w:rsidRPr="00321A3B" w:rsidRDefault="00FD54FC" w:rsidP="00FD54FC">
            <w:pPr>
              <w:spacing w:before="0" w:after="0"/>
              <w:ind w:left="33"/>
              <w:rPr>
                <w:rFonts w:ascii="Times New Roman" w:hAnsi="Times New Roman"/>
                <w:b/>
                <w:bCs/>
                <w:sz w:val="24"/>
                <w:u w:val="single"/>
              </w:rPr>
            </w:pPr>
            <w:r>
              <w:rPr>
                <w:rFonts w:ascii="Times New Roman" w:hAnsi="Times New Roman"/>
                <w:b/>
                <w:sz w:val="24"/>
                <w:u w:val="single"/>
              </w:rPr>
              <w:t>Actifs financiers de négociation</w:t>
            </w:r>
          </w:p>
          <w:p w:rsidR="00FD54FC" w:rsidRPr="00321A3B" w:rsidRDefault="00FD54FC" w:rsidP="00FD54FC">
            <w:pPr>
              <w:spacing w:before="0" w:after="0"/>
              <w:ind w:left="33"/>
              <w:rPr>
                <w:rFonts w:ascii="Times New Roman" w:hAnsi="Times New Roman"/>
                <w:bCs/>
                <w:sz w:val="24"/>
              </w:rPr>
            </w:pP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Directive 86/635/CEE articles 32-33; Annexe V. Partie 1.16; Directive comptable a</w:t>
            </w:r>
            <w:r>
              <w:rPr>
                <w:rFonts w:ascii="Times New Roman" w:hAnsi="Times New Roman"/>
                <w:sz w:val="24"/>
              </w:rPr>
              <w:t>r</w:t>
            </w:r>
            <w:r>
              <w:rPr>
                <w:rFonts w:ascii="Times New Roman" w:hAnsi="Times New Roman"/>
                <w:sz w:val="24"/>
              </w:rPr>
              <w:t>ticle 8, paragraphe 1, point a)</w:t>
            </w: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 xml:space="preserve">À ne déclarer que par les établissements appliquant les référentiels </w:t>
            </w: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comptables nationaux.</w:t>
            </w:r>
          </w:p>
          <w:p w:rsidR="00FD54FC" w:rsidRPr="00321A3B" w:rsidDel="00FB1EBF" w:rsidRDefault="00FD54FC" w:rsidP="00FD54FC">
            <w:pPr>
              <w:spacing w:before="0" w:after="0"/>
              <w:ind w:left="33"/>
              <w:rPr>
                <w:rFonts w:ascii="Times New Roman" w:hAnsi="Times New Roman"/>
                <w:bCs/>
                <w:sz w:val="24"/>
              </w:rPr>
            </w:pPr>
          </w:p>
        </w:tc>
      </w:tr>
      <w:tr w:rsidR="00FD54FC" w:rsidRPr="00321A3B"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t>050</w:t>
            </w:r>
          </w:p>
        </w:tc>
        <w:tc>
          <w:tcPr>
            <w:tcW w:w="8640" w:type="dxa"/>
          </w:tcPr>
          <w:p w:rsidR="00FD54FC" w:rsidRPr="00321A3B" w:rsidRDefault="00FD54FC" w:rsidP="00FD54FC">
            <w:pPr>
              <w:spacing w:before="0" w:after="0"/>
              <w:ind w:left="33"/>
              <w:rPr>
                <w:rFonts w:ascii="Times New Roman" w:hAnsi="Times New Roman"/>
                <w:b/>
                <w:bCs/>
                <w:sz w:val="24"/>
                <w:u w:val="single"/>
              </w:rPr>
            </w:pPr>
            <w:r>
              <w:rPr>
                <w:rFonts w:ascii="Times New Roman" w:hAnsi="Times New Roman"/>
                <w:b/>
                <w:sz w:val="24"/>
                <w:u w:val="single"/>
              </w:rPr>
              <w:t>Actifs financiers détenus à des fins autres que de négociation obligatoirement év</w:t>
            </w:r>
            <w:r>
              <w:rPr>
                <w:rFonts w:ascii="Times New Roman" w:hAnsi="Times New Roman"/>
                <w:b/>
                <w:sz w:val="24"/>
                <w:u w:val="single"/>
              </w:rPr>
              <w:t>a</w:t>
            </w:r>
            <w:r>
              <w:rPr>
                <w:rFonts w:ascii="Times New Roman" w:hAnsi="Times New Roman"/>
                <w:b/>
                <w:sz w:val="24"/>
                <w:u w:val="single"/>
              </w:rPr>
              <w:t>lués à la juste valeur par le biais du compte de résultat</w:t>
            </w:r>
          </w:p>
          <w:p w:rsidR="00FD54FC" w:rsidRPr="00321A3B" w:rsidRDefault="00FD54FC" w:rsidP="00FD54FC">
            <w:pPr>
              <w:spacing w:before="0" w:after="0"/>
              <w:ind w:left="33"/>
              <w:rPr>
                <w:rFonts w:ascii="Times New Roman" w:hAnsi="Times New Roman"/>
                <w:bCs/>
                <w:sz w:val="24"/>
              </w:rPr>
            </w:pP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IFRS 7.8(a)(ii); IFRS 9.4.1.4</w:t>
            </w:r>
          </w:p>
          <w:p w:rsidR="00FD54FC" w:rsidRPr="00321A3B" w:rsidRDefault="00FD54FC" w:rsidP="00FD54FC">
            <w:pPr>
              <w:spacing w:before="0" w:after="0"/>
              <w:ind w:left="33"/>
              <w:rPr>
                <w:rFonts w:ascii="Times New Roman" w:hAnsi="Times New Roman"/>
                <w:bCs/>
                <w:sz w:val="24"/>
              </w:rPr>
            </w:pPr>
          </w:p>
        </w:tc>
      </w:tr>
      <w:tr w:rsidR="00FD54FC" w:rsidRPr="00321A3B"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t>060</w:t>
            </w:r>
          </w:p>
        </w:tc>
        <w:tc>
          <w:tcPr>
            <w:tcW w:w="8640" w:type="dxa"/>
          </w:tcPr>
          <w:p w:rsidR="00FD54FC" w:rsidRPr="00321A3B" w:rsidRDefault="00FD54FC" w:rsidP="00FD54FC">
            <w:pPr>
              <w:spacing w:before="0" w:after="0"/>
              <w:ind w:left="33"/>
              <w:rPr>
                <w:rFonts w:ascii="Times New Roman" w:hAnsi="Times New Roman"/>
                <w:b/>
                <w:bCs/>
                <w:sz w:val="24"/>
                <w:u w:val="single"/>
              </w:rPr>
            </w:pPr>
            <w:r>
              <w:rPr>
                <w:rFonts w:ascii="Times New Roman" w:hAnsi="Times New Roman"/>
                <w:b/>
                <w:sz w:val="24"/>
                <w:u w:val="single"/>
              </w:rPr>
              <w:t>Actifs financiers désignés comme évalués à la juste valeur par le biais du compte de résultat</w:t>
            </w:r>
          </w:p>
          <w:p w:rsidR="00FD54FC" w:rsidRPr="00321A3B" w:rsidRDefault="00FD54FC" w:rsidP="00FD54FC">
            <w:pPr>
              <w:spacing w:before="0" w:after="0"/>
              <w:ind w:left="33"/>
              <w:rPr>
                <w:rFonts w:ascii="Times New Roman" w:hAnsi="Times New Roman"/>
                <w:bCs/>
                <w:sz w:val="24"/>
              </w:rPr>
            </w:pP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IFRS 7.8(a)(i); IFRS 9.4.1.5 et directive comptable article 8, paragraphe 1, point a), et paragraphe 6</w:t>
            </w:r>
          </w:p>
          <w:p w:rsidR="00FD54FC" w:rsidRPr="00321A3B" w:rsidRDefault="00FD54FC" w:rsidP="00FD54FC">
            <w:pPr>
              <w:spacing w:before="0" w:after="0"/>
              <w:ind w:left="33"/>
              <w:rPr>
                <w:rFonts w:ascii="Times New Roman" w:hAnsi="Times New Roman"/>
                <w:bCs/>
                <w:sz w:val="24"/>
              </w:rPr>
            </w:pPr>
          </w:p>
        </w:tc>
      </w:tr>
      <w:tr w:rsidR="00FD54FC" w:rsidRPr="00321A3B"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t>070</w:t>
            </w:r>
          </w:p>
        </w:tc>
        <w:tc>
          <w:tcPr>
            <w:tcW w:w="8640" w:type="dxa"/>
          </w:tcPr>
          <w:p w:rsidR="00FD54FC" w:rsidRPr="00321A3B" w:rsidRDefault="00FD54FC" w:rsidP="00FD54FC">
            <w:pPr>
              <w:spacing w:before="0" w:after="0"/>
              <w:ind w:left="33"/>
              <w:rPr>
                <w:rFonts w:ascii="Times New Roman" w:hAnsi="Times New Roman"/>
                <w:b/>
                <w:bCs/>
                <w:sz w:val="24"/>
                <w:u w:val="single"/>
              </w:rPr>
            </w:pPr>
            <w:r>
              <w:rPr>
                <w:rFonts w:ascii="Times New Roman" w:hAnsi="Times New Roman"/>
                <w:b/>
                <w:sz w:val="24"/>
                <w:u w:val="single"/>
              </w:rPr>
              <w:t>Actifs financiers non dérivés détenus à des fins autres que de négociation évalués à la juste valeur par le biais du compte de résultat</w:t>
            </w:r>
          </w:p>
          <w:p w:rsidR="00FD54FC" w:rsidRPr="00321A3B" w:rsidRDefault="00FD54FC" w:rsidP="00FD54FC">
            <w:pPr>
              <w:spacing w:before="0" w:after="0"/>
              <w:ind w:left="33"/>
              <w:rPr>
                <w:rFonts w:ascii="Times New Roman" w:hAnsi="Times New Roman"/>
                <w:bCs/>
                <w:sz w:val="24"/>
              </w:rPr>
            </w:pP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Directive 86/635/CEE article 36, paragraphe 2; Directive comptable article 8, par</w:t>
            </w:r>
            <w:r>
              <w:rPr>
                <w:rFonts w:ascii="Times New Roman" w:hAnsi="Times New Roman"/>
                <w:sz w:val="24"/>
              </w:rPr>
              <w:t>a</w:t>
            </w:r>
            <w:r>
              <w:rPr>
                <w:rFonts w:ascii="Times New Roman" w:hAnsi="Times New Roman"/>
                <w:sz w:val="24"/>
              </w:rPr>
              <w:t>graphe 1, point a)</w:t>
            </w:r>
          </w:p>
          <w:p w:rsidR="00FD54FC" w:rsidRPr="00321A3B" w:rsidRDefault="00FD54FC" w:rsidP="00FD54FC">
            <w:pPr>
              <w:spacing w:before="0" w:after="0"/>
              <w:ind w:left="33"/>
              <w:rPr>
                <w:rFonts w:ascii="Times New Roman" w:hAnsi="Times New Roman"/>
                <w:bCs/>
                <w:sz w:val="24"/>
              </w:rPr>
            </w:pP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À ne déclarer que par les établissements appliquant les référentiels</w:t>
            </w: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comptables nationaux.</w:t>
            </w:r>
          </w:p>
          <w:p w:rsidR="00FD54FC" w:rsidRPr="00321A3B" w:rsidRDefault="00FD54FC" w:rsidP="00FD54FC">
            <w:pPr>
              <w:spacing w:before="0" w:after="0"/>
              <w:ind w:left="33"/>
              <w:rPr>
                <w:rFonts w:ascii="Times New Roman" w:hAnsi="Times New Roman"/>
                <w:bCs/>
                <w:sz w:val="24"/>
              </w:rPr>
            </w:pPr>
          </w:p>
        </w:tc>
      </w:tr>
      <w:tr w:rsidR="00FD54FC" w:rsidRPr="00321A3B"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t>080</w:t>
            </w:r>
          </w:p>
        </w:tc>
        <w:tc>
          <w:tcPr>
            <w:tcW w:w="8640" w:type="dxa"/>
          </w:tcPr>
          <w:p w:rsidR="00FD54FC" w:rsidRPr="00321A3B" w:rsidRDefault="00FD54FC" w:rsidP="00FD54FC">
            <w:pPr>
              <w:spacing w:before="0" w:after="0"/>
              <w:ind w:left="33"/>
              <w:rPr>
                <w:rFonts w:ascii="Times New Roman" w:hAnsi="Times New Roman"/>
                <w:b/>
                <w:bCs/>
                <w:sz w:val="24"/>
                <w:u w:val="single"/>
              </w:rPr>
            </w:pPr>
            <w:r>
              <w:rPr>
                <w:rFonts w:ascii="Times New Roman" w:hAnsi="Times New Roman"/>
                <w:b/>
                <w:sz w:val="24"/>
                <w:u w:val="single"/>
              </w:rPr>
              <w:t>Actifs financiers évalués à la juste valeur par le biais des autres éléments du résu</w:t>
            </w:r>
            <w:r>
              <w:rPr>
                <w:rFonts w:ascii="Times New Roman" w:hAnsi="Times New Roman"/>
                <w:b/>
                <w:sz w:val="24"/>
                <w:u w:val="single"/>
              </w:rPr>
              <w:t>l</w:t>
            </w:r>
            <w:r>
              <w:rPr>
                <w:rFonts w:ascii="Times New Roman" w:hAnsi="Times New Roman"/>
                <w:b/>
                <w:sz w:val="24"/>
                <w:u w:val="single"/>
              </w:rPr>
              <w:t>tat global</w:t>
            </w:r>
          </w:p>
          <w:p w:rsidR="00FD54FC" w:rsidRPr="00321A3B" w:rsidRDefault="00FD54FC" w:rsidP="00FD54FC">
            <w:pPr>
              <w:spacing w:before="0" w:after="0"/>
              <w:ind w:left="33"/>
              <w:rPr>
                <w:rFonts w:ascii="Times New Roman" w:hAnsi="Times New Roman"/>
                <w:bCs/>
                <w:sz w:val="24"/>
              </w:rPr>
            </w:pP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IFRS 7.8(d); IFRS 9.4.1.2A</w:t>
            </w:r>
          </w:p>
          <w:p w:rsidR="00FD54FC" w:rsidRPr="00321A3B" w:rsidRDefault="00FD54FC" w:rsidP="00FD54FC">
            <w:pPr>
              <w:spacing w:before="0" w:after="0"/>
              <w:ind w:left="33"/>
              <w:rPr>
                <w:rFonts w:ascii="Times New Roman" w:hAnsi="Times New Roman"/>
                <w:b/>
                <w:bCs/>
                <w:sz w:val="24"/>
              </w:rPr>
            </w:pPr>
          </w:p>
        </w:tc>
      </w:tr>
      <w:tr w:rsidR="00FD54FC" w:rsidRPr="00321A3B"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t>090</w:t>
            </w:r>
          </w:p>
        </w:tc>
        <w:tc>
          <w:tcPr>
            <w:tcW w:w="8640" w:type="dxa"/>
          </w:tcPr>
          <w:p w:rsidR="00FD54FC" w:rsidRPr="00321A3B" w:rsidRDefault="00FD54FC" w:rsidP="00FD54FC">
            <w:pPr>
              <w:spacing w:before="0" w:after="0"/>
              <w:ind w:left="33"/>
              <w:rPr>
                <w:rFonts w:ascii="Times New Roman" w:hAnsi="Times New Roman"/>
                <w:b/>
                <w:bCs/>
                <w:sz w:val="24"/>
                <w:u w:val="single"/>
              </w:rPr>
            </w:pPr>
            <w:r>
              <w:rPr>
                <w:rFonts w:ascii="Times New Roman" w:hAnsi="Times New Roman"/>
                <w:b/>
                <w:sz w:val="24"/>
                <w:u w:val="single"/>
              </w:rPr>
              <w:t>Actifs financiers non dérivés détenus à des fins autres que de négociation évalués à la juste valeur en capitaux propres</w:t>
            </w:r>
          </w:p>
          <w:p w:rsidR="00FD54FC" w:rsidRPr="00321A3B" w:rsidRDefault="00FD54FC" w:rsidP="00FD54FC">
            <w:pPr>
              <w:spacing w:before="0" w:after="0"/>
              <w:ind w:left="33"/>
              <w:rPr>
                <w:rFonts w:ascii="Times New Roman" w:hAnsi="Times New Roman"/>
                <w:bCs/>
                <w:sz w:val="24"/>
              </w:rPr>
            </w:pP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Directive comptable article 8, paragraphe 1, point a), et paragraphe 8</w:t>
            </w:r>
          </w:p>
          <w:p w:rsidR="00FD54FC" w:rsidRPr="00321A3B" w:rsidRDefault="00FD54FC" w:rsidP="00FD54FC">
            <w:pPr>
              <w:spacing w:before="0" w:after="0"/>
              <w:ind w:left="33"/>
              <w:rPr>
                <w:rFonts w:ascii="Times New Roman" w:hAnsi="Times New Roman"/>
                <w:bCs/>
                <w:sz w:val="24"/>
              </w:rPr>
            </w:pP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À ne déclarer que par les établissements appliquant les référentiels</w:t>
            </w: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comptables nationaux.</w:t>
            </w:r>
          </w:p>
          <w:p w:rsidR="00FD54FC" w:rsidRPr="00321A3B" w:rsidRDefault="00FD54FC" w:rsidP="00FD54FC">
            <w:pPr>
              <w:spacing w:before="0" w:after="0"/>
              <w:ind w:left="33"/>
              <w:rPr>
                <w:rFonts w:ascii="Times New Roman" w:hAnsi="Times New Roman"/>
                <w:bCs/>
                <w:sz w:val="24"/>
              </w:rPr>
            </w:pPr>
          </w:p>
        </w:tc>
      </w:tr>
      <w:tr w:rsidR="00FD54FC" w:rsidRPr="00321A3B"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t>100</w:t>
            </w:r>
          </w:p>
        </w:tc>
        <w:tc>
          <w:tcPr>
            <w:tcW w:w="8640" w:type="dxa"/>
          </w:tcPr>
          <w:p w:rsidR="00FD54FC" w:rsidRPr="00321A3B" w:rsidRDefault="00FD54FC" w:rsidP="00FD54FC">
            <w:pPr>
              <w:spacing w:before="0" w:after="0"/>
              <w:ind w:left="33"/>
              <w:rPr>
                <w:rFonts w:ascii="Times New Roman" w:hAnsi="Times New Roman"/>
                <w:b/>
                <w:bCs/>
                <w:sz w:val="24"/>
                <w:u w:val="single"/>
              </w:rPr>
            </w:pPr>
            <w:r>
              <w:rPr>
                <w:rFonts w:ascii="Times New Roman" w:hAnsi="Times New Roman"/>
                <w:b/>
                <w:sz w:val="24"/>
                <w:u w:val="single"/>
              </w:rPr>
              <w:t>Actifs financiers au coût amorti</w:t>
            </w:r>
          </w:p>
          <w:p w:rsidR="00FD54FC" w:rsidRPr="00321A3B" w:rsidRDefault="00FD54FC" w:rsidP="00FD54FC">
            <w:pPr>
              <w:spacing w:before="0" w:after="0"/>
              <w:ind w:left="33"/>
              <w:rPr>
                <w:rFonts w:ascii="Times New Roman" w:hAnsi="Times New Roman"/>
                <w:bCs/>
                <w:sz w:val="24"/>
              </w:rPr>
            </w:pPr>
          </w:p>
          <w:p w:rsidR="00FD54FC" w:rsidRPr="00321A3B" w:rsidDel="00501397" w:rsidRDefault="00FD54FC" w:rsidP="00FD54FC">
            <w:pPr>
              <w:spacing w:before="0" w:after="0"/>
              <w:ind w:left="33"/>
              <w:rPr>
                <w:rFonts w:ascii="Times New Roman" w:hAnsi="Times New Roman"/>
                <w:b/>
                <w:bCs/>
                <w:sz w:val="24"/>
                <w:u w:val="single"/>
              </w:rPr>
            </w:pPr>
            <w:r>
              <w:rPr>
                <w:rFonts w:ascii="Times New Roman" w:hAnsi="Times New Roman"/>
                <w:sz w:val="24"/>
              </w:rPr>
              <w:t xml:space="preserve">IFRS 7.8(f); IFRS 9.4.1.2; Annexe V. partie 1.15 </w:t>
            </w:r>
          </w:p>
          <w:p w:rsidR="00FD54FC" w:rsidRPr="00321A3B" w:rsidRDefault="00FD54FC" w:rsidP="00FD54FC">
            <w:pPr>
              <w:spacing w:before="0" w:after="0"/>
              <w:ind w:left="33"/>
              <w:rPr>
                <w:rFonts w:ascii="Times New Roman" w:hAnsi="Times New Roman"/>
                <w:bCs/>
                <w:sz w:val="24"/>
              </w:rPr>
            </w:pPr>
          </w:p>
        </w:tc>
      </w:tr>
      <w:tr w:rsidR="00FD54FC" w:rsidRPr="00321A3B"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t>110</w:t>
            </w:r>
          </w:p>
        </w:tc>
        <w:tc>
          <w:tcPr>
            <w:tcW w:w="8640" w:type="dxa"/>
          </w:tcPr>
          <w:p w:rsidR="00FD54FC" w:rsidRPr="00321A3B" w:rsidRDefault="00FD54FC" w:rsidP="00FD54FC">
            <w:pPr>
              <w:spacing w:before="0" w:after="0"/>
              <w:ind w:left="33"/>
              <w:rPr>
                <w:rFonts w:ascii="Times New Roman" w:hAnsi="Times New Roman"/>
                <w:b/>
                <w:bCs/>
                <w:sz w:val="24"/>
                <w:u w:val="single"/>
              </w:rPr>
            </w:pPr>
            <w:r>
              <w:rPr>
                <w:rFonts w:ascii="Times New Roman" w:hAnsi="Times New Roman"/>
                <w:b/>
                <w:sz w:val="24"/>
                <w:u w:val="single"/>
              </w:rPr>
              <w:t>Actifs financiers non dérivés détenus à des fins autres que de négociation évalués au coût</w:t>
            </w:r>
          </w:p>
          <w:p w:rsidR="00FD54FC" w:rsidRPr="00321A3B" w:rsidRDefault="00FD54FC" w:rsidP="00FD54FC">
            <w:pPr>
              <w:spacing w:before="0" w:after="0"/>
              <w:ind w:left="33"/>
              <w:rPr>
                <w:rFonts w:ascii="Times New Roman" w:hAnsi="Times New Roman"/>
                <w:bCs/>
                <w:sz w:val="24"/>
              </w:rPr>
            </w:pP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Directive 86/635/CEE article 35; Directive comptable article 6, paragraphe 1, point i), et article 8, paragraphe 2; Annexe V. Partie 1.16</w:t>
            </w:r>
          </w:p>
          <w:p w:rsidR="00FD54FC" w:rsidRPr="00321A3B" w:rsidRDefault="00FD54FC" w:rsidP="00FD54FC">
            <w:pPr>
              <w:spacing w:before="0" w:after="0"/>
              <w:ind w:left="33"/>
              <w:rPr>
                <w:rFonts w:ascii="Times New Roman" w:hAnsi="Times New Roman"/>
                <w:bCs/>
                <w:sz w:val="24"/>
              </w:rPr>
            </w:pP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 xml:space="preserve">À ne déclarer que par les établissements appliquant les référentiels </w:t>
            </w: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comptables nationaux.</w:t>
            </w:r>
          </w:p>
          <w:p w:rsidR="00FD54FC" w:rsidRPr="00321A3B" w:rsidRDefault="00FD54FC" w:rsidP="00FD54FC">
            <w:pPr>
              <w:spacing w:before="0" w:after="0"/>
              <w:ind w:left="33"/>
              <w:rPr>
                <w:rFonts w:ascii="Times New Roman" w:hAnsi="Times New Roman"/>
                <w:bCs/>
                <w:sz w:val="24"/>
              </w:rPr>
            </w:pPr>
          </w:p>
        </w:tc>
      </w:tr>
      <w:tr w:rsidR="00FD54FC" w:rsidRPr="00321A3B"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lastRenderedPageBreak/>
              <w:t>120</w:t>
            </w:r>
          </w:p>
        </w:tc>
        <w:tc>
          <w:tcPr>
            <w:tcW w:w="8640" w:type="dxa"/>
          </w:tcPr>
          <w:p w:rsidR="00FD54FC" w:rsidRPr="00321A3B" w:rsidRDefault="00FD54FC" w:rsidP="00FD54FC">
            <w:pPr>
              <w:spacing w:before="0" w:after="0"/>
              <w:ind w:left="33"/>
              <w:rPr>
                <w:rFonts w:ascii="Times New Roman" w:hAnsi="Times New Roman"/>
                <w:b/>
                <w:bCs/>
                <w:sz w:val="24"/>
                <w:u w:val="single"/>
              </w:rPr>
            </w:pPr>
            <w:r>
              <w:rPr>
                <w:rFonts w:ascii="Times New Roman" w:hAnsi="Times New Roman"/>
                <w:b/>
                <w:sz w:val="24"/>
                <w:u w:val="single"/>
              </w:rPr>
              <w:t>Autres actifs financiers non dérivés détenus à des fins autres que de négociation</w:t>
            </w:r>
          </w:p>
          <w:p w:rsidR="00FD54FC" w:rsidRPr="00321A3B" w:rsidRDefault="00FD54FC" w:rsidP="00FD54FC">
            <w:pPr>
              <w:spacing w:before="0" w:after="0"/>
              <w:ind w:left="33"/>
              <w:rPr>
                <w:rFonts w:ascii="Times New Roman" w:hAnsi="Times New Roman"/>
                <w:bCs/>
                <w:sz w:val="24"/>
              </w:rPr>
            </w:pP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Directive 86/635/CEE article 37; Directive comptable article 12, paragraphe 7; A</w:t>
            </w:r>
            <w:r>
              <w:rPr>
                <w:rFonts w:ascii="Times New Roman" w:hAnsi="Times New Roman"/>
                <w:sz w:val="24"/>
              </w:rPr>
              <w:t>n</w:t>
            </w:r>
            <w:r>
              <w:rPr>
                <w:rFonts w:ascii="Times New Roman" w:hAnsi="Times New Roman"/>
                <w:sz w:val="24"/>
              </w:rPr>
              <w:t>nexe V. Partie 1.16</w:t>
            </w:r>
          </w:p>
          <w:p w:rsidR="00FD54FC" w:rsidRPr="00321A3B" w:rsidRDefault="00FD54FC" w:rsidP="00FD54FC">
            <w:pPr>
              <w:spacing w:before="0" w:after="0"/>
              <w:ind w:left="33"/>
              <w:rPr>
                <w:rFonts w:ascii="Times New Roman" w:hAnsi="Times New Roman"/>
                <w:bCs/>
                <w:sz w:val="24"/>
              </w:rPr>
            </w:pP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À ne déclarer que par les établissements appliquant les référentiels</w:t>
            </w: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comptables nationaux.</w:t>
            </w:r>
          </w:p>
          <w:p w:rsidR="00FD54FC" w:rsidRPr="00321A3B" w:rsidRDefault="00FD54FC" w:rsidP="00FD54FC">
            <w:pPr>
              <w:spacing w:before="0" w:after="0"/>
              <w:ind w:left="33"/>
              <w:rPr>
                <w:rFonts w:ascii="Times New Roman" w:hAnsi="Times New Roman"/>
                <w:bCs/>
                <w:sz w:val="24"/>
              </w:rPr>
            </w:pPr>
          </w:p>
        </w:tc>
      </w:tr>
      <w:tr w:rsidR="00FD54FC" w:rsidRPr="00392FFD"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t>130</w:t>
            </w:r>
          </w:p>
        </w:tc>
        <w:tc>
          <w:tcPr>
            <w:tcW w:w="8640" w:type="dxa"/>
          </w:tcPr>
          <w:p w:rsidR="00FD54FC" w:rsidRPr="00321A3B" w:rsidRDefault="00FD54FC" w:rsidP="00FD54FC">
            <w:pPr>
              <w:spacing w:before="0" w:after="0"/>
              <w:ind w:left="33"/>
              <w:rPr>
                <w:rFonts w:ascii="Times New Roman" w:hAnsi="Times New Roman"/>
                <w:b/>
                <w:bCs/>
                <w:sz w:val="24"/>
                <w:u w:val="single"/>
              </w:rPr>
            </w:pPr>
            <w:r>
              <w:rPr>
                <w:rFonts w:ascii="Times New Roman" w:hAnsi="Times New Roman"/>
                <w:b/>
                <w:sz w:val="24"/>
                <w:u w:val="single"/>
              </w:rPr>
              <w:t>Positions courtes</w:t>
            </w:r>
          </w:p>
          <w:p w:rsidR="00FD54FC" w:rsidRPr="00321A3B" w:rsidRDefault="00FD54FC" w:rsidP="00FD54FC">
            <w:pPr>
              <w:spacing w:before="0" w:after="0"/>
              <w:ind w:left="33"/>
              <w:rPr>
                <w:rFonts w:ascii="Times New Roman" w:hAnsi="Times New Roman"/>
                <w:bCs/>
                <w:sz w:val="24"/>
              </w:rPr>
            </w:pP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Valeur comptable des positions courtes, telles que définies dans IFRS 9 BA.7(b) lor</w:t>
            </w:r>
            <w:r>
              <w:rPr>
                <w:rFonts w:ascii="Times New Roman" w:hAnsi="Times New Roman"/>
                <w:sz w:val="24"/>
              </w:rPr>
              <w:t>s</w:t>
            </w:r>
            <w:r>
              <w:rPr>
                <w:rFonts w:ascii="Times New Roman" w:hAnsi="Times New Roman"/>
                <w:sz w:val="24"/>
              </w:rPr>
              <w:t>que la contrepartie directe est une administration publique telle que définie au par</w:t>
            </w:r>
            <w:r>
              <w:rPr>
                <w:rFonts w:ascii="Times New Roman" w:hAnsi="Times New Roman"/>
                <w:sz w:val="24"/>
              </w:rPr>
              <w:t>a</w:t>
            </w:r>
            <w:r>
              <w:rPr>
                <w:rFonts w:ascii="Times New Roman" w:hAnsi="Times New Roman"/>
                <w:sz w:val="24"/>
              </w:rPr>
              <w:t>graphe 1.</w:t>
            </w:r>
          </w:p>
          <w:p w:rsidR="00FD54FC" w:rsidRPr="00321A3B"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Des positions courtes surviennent lorsque l’établissement vend des titres acquis dans le cadre d'une opération de prise en pension, ou empruntés dans le cadre d'une opér</w:t>
            </w:r>
            <w:r>
              <w:rPr>
                <w:rFonts w:ascii="Times New Roman" w:hAnsi="Times New Roman"/>
                <w:sz w:val="24"/>
              </w:rPr>
              <w:t>a</w:t>
            </w:r>
            <w:r>
              <w:rPr>
                <w:rFonts w:ascii="Times New Roman" w:hAnsi="Times New Roman"/>
                <w:sz w:val="24"/>
              </w:rPr>
              <w:t>tion de prêt de titres, dont la contrepartie directe est une administration publique.</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La valeur comptable est la juste valeur des positions courtes.</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Les positions courtes doivent être déclarées par catégorie d'échéance résiduelle, telle que définie dans les lignes 170 à 230, et par contrepartie immédiate. Les positions courtes seront alors utilisées pour procéder à une compensation avec les positions de même échéance résiduelle et de même contrepartie immédiate pour le calcul des c</w:t>
            </w:r>
            <w:r>
              <w:rPr>
                <w:rFonts w:ascii="Times New Roman" w:hAnsi="Times New Roman"/>
                <w:sz w:val="24"/>
              </w:rPr>
              <w:t>o</w:t>
            </w:r>
            <w:r>
              <w:rPr>
                <w:rFonts w:ascii="Times New Roman" w:hAnsi="Times New Roman"/>
                <w:sz w:val="24"/>
              </w:rPr>
              <w:t>lonnes 030 à 120.</w:t>
            </w:r>
          </w:p>
        </w:tc>
      </w:tr>
      <w:tr w:rsidR="00FD54FC" w:rsidRPr="00392FFD" w:rsidTr="00FD54FC">
        <w:tc>
          <w:tcPr>
            <w:tcW w:w="1188" w:type="dxa"/>
          </w:tcPr>
          <w:p w:rsidR="00FD54FC" w:rsidRPr="00392FFD" w:rsidDel="00E97A51" w:rsidRDefault="00FD54FC" w:rsidP="00FD54FC">
            <w:pPr>
              <w:spacing w:before="0" w:after="0"/>
              <w:ind w:left="33"/>
              <w:rPr>
                <w:rFonts w:ascii="Times New Roman" w:hAnsi="Times New Roman"/>
                <w:bCs/>
                <w:sz w:val="24"/>
              </w:rPr>
            </w:pPr>
            <w:r>
              <w:rPr>
                <w:rFonts w:ascii="Times New Roman" w:hAnsi="Times New Roman"/>
                <w:sz w:val="24"/>
              </w:rPr>
              <w:t>140</w:t>
            </w:r>
          </w:p>
        </w:tc>
        <w:tc>
          <w:tcPr>
            <w:tcW w:w="8640" w:type="dxa"/>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Dont: Positions courtes de prises en pension classées comme détenues à des fins de négociation ou comme actifs financiers de négociation</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Valeur comptable des positions courtes, telles que définies dans IFRS 9 BA.7(b), qui surviennent lorsque l’établissement vend des titres acquis dans le cadre d’opérations de prise en pension, dont la contrepartie directe est une administration publique, qui sont inclus dans les portefeuilles comptables «détenus à des fins de négociations» ou d'«actifs financiers de négociation» (colonnes 030 ou 040).</w:t>
            </w:r>
          </w:p>
          <w:p w:rsidR="00FD54FC" w:rsidRPr="00392FFD" w:rsidRDefault="00FD54FC" w:rsidP="00FD54FC">
            <w:pPr>
              <w:spacing w:before="0" w:after="0"/>
              <w:ind w:left="33"/>
              <w:rPr>
                <w:rFonts w:ascii="Times New Roman" w:hAnsi="Times New Roman"/>
                <w:b/>
                <w:bCs/>
                <w:sz w:val="24"/>
                <w:u w:val="single"/>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Ne seront pas incluses dans cette colonne les positions courtes qui surviennent lor</w:t>
            </w:r>
            <w:r>
              <w:rPr>
                <w:rFonts w:ascii="Times New Roman" w:hAnsi="Times New Roman"/>
                <w:sz w:val="24"/>
              </w:rPr>
              <w:t>s</w:t>
            </w:r>
            <w:r>
              <w:rPr>
                <w:rFonts w:ascii="Times New Roman" w:hAnsi="Times New Roman"/>
                <w:sz w:val="24"/>
              </w:rPr>
              <w:t xml:space="preserve">que les titres vendus avaient été empruntés dans le cadre d'une opération de prêt de titres. </w:t>
            </w:r>
          </w:p>
          <w:p w:rsidR="00FD54FC" w:rsidRPr="00392FFD" w:rsidDel="00E97A51" w:rsidRDefault="00FD54FC" w:rsidP="00FD54FC">
            <w:pPr>
              <w:spacing w:before="0" w:after="0"/>
              <w:ind w:left="33"/>
              <w:rPr>
                <w:rFonts w:ascii="Times New Roman" w:hAnsi="Times New Roman"/>
                <w:b/>
                <w:bCs/>
                <w:sz w:val="24"/>
                <w:u w:val="single"/>
              </w:rPr>
            </w:pPr>
          </w:p>
        </w:tc>
      </w:tr>
      <w:tr w:rsidR="00FD54FC" w:rsidRPr="00321A3B" w:rsidDel="004A25FD" w:rsidTr="00FD54FC">
        <w:tc>
          <w:tcPr>
            <w:tcW w:w="1188" w:type="dxa"/>
          </w:tcPr>
          <w:p w:rsidR="00FD54FC" w:rsidRPr="00321A3B" w:rsidDel="004A25FD" w:rsidRDefault="00FD54FC" w:rsidP="00FD54FC">
            <w:pPr>
              <w:spacing w:before="0" w:after="0"/>
              <w:ind w:left="33"/>
              <w:rPr>
                <w:rFonts w:ascii="Times New Roman" w:hAnsi="Times New Roman"/>
                <w:bCs/>
                <w:sz w:val="24"/>
              </w:rPr>
            </w:pPr>
            <w:r>
              <w:rPr>
                <w:rFonts w:ascii="Times New Roman" w:hAnsi="Times New Roman"/>
                <w:sz w:val="24"/>
              </w:rPr>
              <w:t>150</w:t>
            </w:r>
          </w:p>
        </w:tc>
        <w:tc>
          <w:tcPr>
            <w:tcW w:w="8640" w:type="dxa"/>
          </w:tcPr>
          <w:p w:rsidR="00FD54FC" w:rsidRPr="00321A3B" w:rsidRDefault="00FD54FC" w:rsidP="00FD54FC">
            <w:pPr>
              <w:spacing w:before="0" w:after="0"/>
              <w:ind w:left="33"/>
              <w:rPr>
                <w:rFonts w:ascii="Times New Roman" w:hAnsi="Times New Roman"/>
                <w:b/>
                <w:bCs/>
                <w:sz w:val="24"/>
                <w:u w:val="single"/>
              </w:rPr>
            </w:pPr>
            <w:r>
              <w:rPr>
                <w:rFonts w:ascii="Times New Roman" w:hAnsi="Times New Roman"/>
                <w:b/>
                <w:sz w:val="24"/>
                <w:u w:val="single"/>
              </w:rPr>
              <w:t>Dépréciation cumulée</w:t>
            </w:r>
          </w:p>
          <w:p w:rsidR="00FD54FC" w:rsidRPr="00321A3B" w:rsidRDefault="00FD54FC" w:rsidP="00FD54FC">
            <w:pPr>
              <w:spacing w:before="0" w:after="0"/>
              <w:ind w:left="33"/>
              <w:rPr>
                <w:rFonts w:ascii="Times New Roman" w:hAnsi="Times New Roman"/>
                <w:b/>
                <w:bCs/>
                <w:sz w:val="24"/>
                <w:u w:val="single"/>
              </w:rPr>
            </w:pP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Total de la dépréciation cumulée liée aux actifs financiers non dérivés déclarés dans les colonnes 080 à 120. [Annexe V, partie 2, paragraphes 70 et 71]</w:t>
            </w:r>
          </w:p>
          <w:p w:rsidR="00FD54FC" w:rsidRPr="00321A3B" w:rsidDel="004A25FD" w:rsidRDefault="00FD54FC" w:rsidP="00FD54FC">
            <w:pPr>
              <w:spacing w:before="0" w:after="0"/>
              <w:ind w:left="33"/>
              <w:rPr>
                <w:rFonts w:ascii="Times New Roman" w:hAnsi="Times New Roman"/>
                <w:bCs/>
                <w:sz w:val="24"/>
              </w:rPr>
            </w:pPr>
          </w:p>
        </w:tc>
      </w:tr>
      <w:tr w:rsidR="00FD54FC" w:rsidRPr="00392FFD"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t>160</w:t>
            </w:r>
          </w:p>
        </w:tc>
        <w:tc>
          <w:tcPr>
            <w:tcW w:w="8640" w:type="dxa"/>
          </w:tcPr>
          <w:p w:rsidR="00FD54FC" w:rsidRPr="00321A3B" w:rsidRDefault="00FD54FC" w:rsidP="00FD54FC">
            <w:pPr>
              <w:spacing w:before="0" w:after="0"/>
              <w:ind w:left="33"/>
              <w:rPr>
                <w:rFonts w:ascii="Times New Roman" w:hAnsi="Times New Roman"/>
                <w:b/>
                <w:bCs/>
                <w:sz w:val="24"/>
                <w:u w:val="single"/>
              </w:rPr>
            </w:pPr>
            <w:r>
              <w:rPr>
                <w:rFonts w:ascii="Times New Roman" w:hAnsi="Times New Roman"/>
                <w:b/>
                <w:sz w:val="24"/>
                <w:u w:val="single"/>
              </w:rPr>
              <w:t xml:space="preserve">Dépréciation cumulée - dont: d’actifs financiers évalués à la juste valeur par le </w:t>
            </w:r>
            <w:r>
              <w:rPr>
                <w:rFonts w:ascii="Times New Roman" w:hAnsi="Times New Roman"/>
                <w:b/>
                <w:sz w:val="24"/>
                <w:u w:val="single"/>
              </w:rPr>
              <w:lastRenderedPageBreak/>
              <w:t>biais des autres éléments du résultat global ou d’actifs financiers non dérivés d</w:t>
            </w:r>
            <w:r>
              <w:rPr>
                <w:rFonts w:ascii="Times New Roman" w:hAnsi="Times New Roman"/>
                <w:b/>
                <w:sz w:val="24"/>
                <w:u w:val="single"/>
              </w:rPr>
              <w:t>é</w:t>
            </w:r>
            <w:r>
              <w:rPr>
                <w:rFonts w:ascii="Times New Roman" w:hAnsi="Times New Roman"/>
                <w:b/>
                <w:sz w:val="24"/>
                <w:u w:val="single"/>
              </w:rPr>
              <w:t>tenus à des fins autres que de négociation évalués à la juste valeur en capitaux propres</w:t>
            </w:r>
          </w:p>
          <w:p w:rsidR="00FD54FC" w:rsidRPr="00321A3B" w:rsidRDefault="00FD54FC" w:rsidP="00FD54FC">
            <w:pPr>
              <w:spacing w:before="0" w:after="0"/>
              <w:ind w:left="33"/>
              <w:rPr>
                <w:rFonts w:ascii="Times New Roman" w:hAnsi="Times New Roman"/>
                <w:b/>
                <w:bCs/>
                <w:sz w:val="24"/>
                <w:u w:val="single"/>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 xml:space="preserve">Total de la dépréciation cumulée liée aux actifs financiers non dérivés déclarés dans les colonnes 080 et 090. </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
                <w:bCs/>
                <w:sz w:val="24"/>
                <w:u w:val="single"/>
              </w:rPr>
            </w:pPr>
          </w:p>
        </w:tc>
      </w:tr>
      <w:tr w:rsidR="00FD54FC" w:rsidRPr="00392FFD" w:rsidDel="004A25FD" w:rsidTr="00FD54FC">
        <w:tc>
          <w:tcPr>
            <w:tcW w:w="1188" w:type="dxa"/>
          </w:tcPr>
          <w:p w:rsidR="00FD54FC" w:rsidRPr="00392FFD" w:rsidDel="004A25FD" w:rsidRDefault="00FD54FC" w:rsidP="00FD54FC">
            <w:pPr>
              <w:spacing w:before="0" w:after="0"/>
              <w:ind w:left="33"/>
              <w:rPr>
                <w:rFonts w:ascii="Times New Roman" w:hAnsi="Times New Roman"/>
                <w:bCs/>
                <w:sz w:val="24"/>
              </w:rPr>
            </w:pPr>
            <w:r>
              <w:rPr>
                <w:rFonts w:ascii="Times New Roman" w:hAnsi="Times New Roman"/>
                <w:sz w:val="24"/>
              </w:rPr>
              <w:lastRenderedPageBreak/>
              <w:t>170</w:t>
            </w:r>
          </w:p>
        </w:tc>
        <w:tc>
          <w:tcPr>
            <w:tcW w:w="8640" w:type="dxa"/>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 xml:space="preserve">Variations négatives cumulées de la juste valeur dues au risque de crédit </w:t>
            </w:r>
          </w:p>
          <w:p w:rsidR="00FD54FC" w:rsidRPr="00392FFD" w:rsidRDefault="00FD54FC" w:rsidP="00FD54FC">
            <w:pPr>
              <w:spacing w:before="0" w:after="0"/>
              <w:ind w:left="33"/>
              <w:rPr>
                <w:rFonts w:ascii="Times New Roman" w:hAnsi="Times New Roman"/>
                <w:b/>
                <w:bCs/>
                <w:sz w:val="24"/>
                <w:u w:val="single"/>
              </w:rPr>
            </w:pPr>
          </w:p>
          <w:p w:rsidR="00FD54FC" w:rsidRPr="00392FFD" w:rsidRDefault="00FD54FC" w:rsidP="00E863C1">
            <w:pPr>
              <w:spacing w:before="0" w:after="0"/>
              <w:ind w:left="33"/>
              <w:rPr>
                <w:rFonts w:ascii="Times New Roman" w:hAnsi="Times New Roman"/>
                <w:bCs/>
                <w:sz w:val="24"/>
              </w:rPr>
            </w:pPr>
            <w:r>
              <w:rPr>
                <w:rFonts w:ascii="Times New Roman" w:hAnsi="Times New Roman"/>
                <w:sz w:val="24"/>
              </w:rPr>
              <w:t>Total des variations négatives cumulées de la juste valeur dues au risque de crédit liées aux positions indiquées dans les colonnes 050, 060, 070, 080 et 090. [Annexe V, partie 2, paragraphe 69]</w:t>
            </w:r>
          </w:p>
          <w:p w:rsidR="00FD54FC" w:rsidRPr="00392FFD" w:rsidDel="004A25FD" w:rsidRDefault="00FD54FC" w:rsidP="00BE47D8">
            <w:pPr>
              <w:spacing w:before="0" w:after="0"/>
              <w:ind w:left="33"/>
              <w:rPr>
                <w:rFonts w:ascii="Times New Roman" w:hAnsi="Times New Roman"/>
                <w:bCs/>
                <w:sz w:val="24"/>
              </w:rPr>
            </w:pPr>
          </w:p>
        </w:tc>
      </w:tr>
      <w:tr w:rsidR="00FD54FC" w:rsidRPr="00392FFD"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t>180</w:t>
            </w:r>
          </w:p>
        </w:tc>
        <w:tc>
          <w:tcPr>
            <w:tcW w:w="8640" w:type="dxa"/>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Variations négatives cumulées de la juste valeur dues au risque de crédit - dont: d’actifs financiers détenus à des fins autres que de négociation obligatoirement évalués à la juste valeur par le biais du compte de résultat, d’actifs financiers d</w:t>
            </w:r>
            <w:r>
              <w:rPr>
                <w:rFonts w:ascii="Times New Roman" w:hAnsi="Times New Roman"/>
                <w:b/>
                <w:sz w:val="24"/>
                <w:u w:val="single"/>
              </w:rPr>
              <w:t>é</w:t>
            </w:r>
            <w:r>
              <w:rPr>
                <w:rFonts w:ascii="Times New Roman" w:hAnsi="Times New Roman"/>
                <w:b/>
                <w:sz w:val="24"/>
                <w:u w:val="single"/>
              </w:rPr>
              <w:t>signés comme évalués à la juste valeur par le biais du compte de résultat ou d’actifs financiers détenus à des fins autres que de négociation évalués à la juste valeur par le biais du compte de résultat</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Total des variations négatives cumulées de la juste valeur dues au risque de crédit liées aux positions indiquées dans les colonnes 050, 060 et 070.</w:t>
            </w:r>
          </w:p>
          <w:p w:rsidR="00FD54FC" w:rsidRPr="00392FFD" w:rsidRDefault="00FD54FC" w:rsidP="00FD54FC">
            <w:pPr>
              <w:spacing w:before="0" w:after="0"/>
              <w:ind w:left="33"/>
              <w:rPr>
                <w:rFonts w:ascii="Times New Roman" w:hAnsi="Times New Roman"/>
                <w:bCs/>
                <w:sz w:val="24"/>
              </w:rPr>
            </w:pPr>
            <w:r>
              <w:rPr>
                <w:rFonts w:ascii="Times New Roman" w:hAnsi="Times New Roman"/>
                <w:b/>
                <w:sz w:val="24"/>
                <w:u w:val="single"/>
              </w:rPr>
              <w:t xml:space="preserve"> </w:t>
            </w:r>
          </w:p>
        </w:tc>
      </w:tr>
      <w:tr w:rsidR="00FD54FC" w:rsidRPr="00392FFD" w:rsidTr="00FD54FC">
        <w:tc>
          <w:tcPr>
            <w:tcW w:w="1188" w:type="dxa"/>
          </w:tcPr>
          <w:p w:rsidR="00FD54FC" w:rsidRPr="00392FFD" w:rsidRDefault="00FD54FC" w:rsidP="00FD54FC">
            <w:pPr>
              <w:spacing w:before="0" w:after="0"/>
              <w:ind w:left="33"/>
              <w:rPr>
                <w:rFonts w:ascii="Times New Roman" w:hAnsi="Times New Roman"/>
                <w:bCs/>
                <w:sz w:val="24"/>
              </w:rPr>
            </w:pPr>
            <w:r>
              <w:rPr>
                <w:rFonts w:ascii="Times New Roman" w:hAnsi="Times New Roman"/>
                <w:sz w:val="24"/>
              </w:rPr>
              <w:t>190</w:t>
            </w:r>
          </w:p>
        </w:tc>
        <w:tc>
          <w:tcPr>
            <w:tcW w:w="8640" w:type="dxa"/>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Variations négatives cumulées de la juste valeur dues au risque de crédit - dont: d’actifs financiers évalués à la juste valeur par le biais des autres éléments du r</w:t>
            </w:r>
            <w:r>
              <w:rPr>
                <w:rFonts w:ascii="Times New Roman" w:hAnsi="Times New Roman"/>
                <w:b/>
                <w:sz w:val="24"/>
                <w:u w:val="single"/>
              </w:rPr>
              <w:t>é</w:t>
            </w:r>
            <w:r>
              <w:rPr>
                <w:rFonts w:ascii="Times New Roman" w:hAnsi="Times New Roman"/>
                <w:b/>
                <w:sz w:val="24"/>
                <w:u w:val="single"/>
              </w:rPr>
              <w:t>sultat global ou d’actifs financiers non dérivés détenus à des fins autres que de nég</w:t>
            </w:r>
            <w:r>
              <w:rPr>
                <w:rFonts w:ascii="Times New Roman" w:hAnsi="Times New Roman"/>
                <w:b/>
                <w:sz w:val="24"/>
                <w:u w:val="single"/>
              </w:rPr>
              <w:t>o</w:t>
            </w:r>
            <w:r>
              <w:rPr>
                <w:rFonts w:ascii="Times New Roman" w:hAnsi="Times New Roman"/>
                <w:b/>
                <w:sz w:val="24"/>
                <w:u w:val="single"/>
              </w:rPr>
              <w:t>ciation évalués à la juste valeur en capitaux propres</w:t>
            </w:r>
          </w:p>
          <w:p w:rsidR="00FD54FC" w:rsidRPr="00392FFD" w:rsidRDefault="00FD54FC" w:rsidP="00FD54FC">
            <w:pPr>
              <w:spacing w:before="0" w:after="0"/>
              <w:ind w:left="33"/>
              <w:rPr>
                <w:rFonts w:ascii="Times New Roman" w:hAnsi="Times New Roman"/>
                <w:bCs/>
                <w:sz w:val="24"/>
              </w:rPr>
            </w:pPr>
          </w:p>
          <w:p w:rsidR="00FD54FC" w:rsidRDefault="00FD54FC" w:rsidP="00FD54FC">
            <w:pPr>
              <w:spacing w:before="0" w:after="0"/>
              <w:ind w:left="33"/>
              <w:rPr>
                <w:rFonts w:ascii="Times New Roman" w:hAnsi="Times New Roman"/>
                <w:bCs/>
                <w:sz w:val="24"/>
              </w:rPr>
            </w:pPr>
            <w:r>
              <w:rPr>
                <w:rFonts w:ascii="Times New Roman" w:hAnsi="Times New Roman"/>
                <w:sz w:val="24"/>
              </w:rPr>
              <w:t>Total des variations négatives cumulées de la juste valeur dues au risque de crédit liées aux positions indiquées dans les colonnes 080 et 090.</w:t>
            </w:r>
          </w:p>
          <w:p w:rsidR="00E863C1" w:rsidRPr="00392FFD" w:rsidRDefault="00E863C1" w:rsidP="00FD54FC">
            <w:pPr>
              <w:spacing w:before="0" w:after="0"/>
              <w:ind w:left="33"/>
              <w:rPr>
                <w:rFonts w:ascii="Times New Roman" w:hAnsi="Times New Roman"/>
                <w:bCs/>
                <w:sz w:val="24"/>
              </w:rPr>
            </w:pPr>
          </w:p>
        </w:tc>
      </w:tr>
      <w:tr w:rsidR="00FD54FC" w:rsidRPr="00321A3B"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t>200-230</w:t>
            </w:r>
          </w:p>
        </w:tc>
        <w:tc>
          <w:tcPr>
            <w:tcW w:w="8640" w:type="dxa"/>
          </w:tcPr>
          <w:p w:rsidR="00FD54FC" w:rsidRPr="00321A3B" w:rsidRDefault="00FD54FC" w:rsidP="00FD54FC">
            <w:pPr>
              <w:spacing w:before="0" w:after="0"/>
              <w:ind w:left="33"/>
              <w:rPr>
                <w:rFonts w:ascii="Times New Roman" w:hAnsi="Times New Roman"/>
                <w:b/>
                <w:bCs/>
                <w:sz w:val="24"/>
                <w:u w:val="single"/>
              </w:rPr>
            </w:pPr>
            <w:r>
              <w:rPr>
                <w:rFonts w:ascii="Times New Roman" w:hAnsi="Times New Roman"/>
                <w:b/>
                <w:sz w:val="24"/>
                <w:u w:val="single"/>
              </w:rPr>
              <w:t>DÉRIVÉS</w:t>
            </w:r>
          </w:p>
          <w:p w:rsidR="00FD54FC" w:rsidRPr="00321A3B" w:rsidRDefault="00FD54FC" w:rsidP="00FD54FC">
            <w:pPr>
              <w:spacing w:before="0" w:after="0"/>
              <w:ind w:left="33"/>
              <w:rPr>
                <w:rFonts w:ascii="Times New Roman" w:hAnsi="Times New Roman"/>
                <w:b/>
                <w:bCs/>
                <w:sz w:val="24"/>
                <w:u w:val="single"/>
              </w:rPr>
            </w:pP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Les positions dérivées directes doivent être déclarées dans les colonnes 200 et 230.</w:t>
            </w:r>
          </w:p>
          <w:p w:rsidR="00FD54FC" w:rsidRPr="00321A3B" w:rsidRDefault="00FD54FC" w:rsidP="00FD54FC">
            <w:pPr>
              <w:spacing w:before="0" w:after="0"/>
              <w:ind w:left="33"/>
              <w:rPr>
                <w:rFonts w:ascii="Times New Roman" w:hAnsi="Times New Roman"/>
                <w:b/>
                <w:bCs/>
                <w:sz w:val="24"/>
                <w:u w:val="single"/>
              </w:rPr>
            </w:pP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Pour la déclaration des dérivés soumis à la fois à des exigences de fonds propres pour risque de crédit de contrepartie et pour risque de marché, voir les instructions pour la répartition par ligne.</w:t>
            </w:r>
          </w:p>
          <w:p w:rsidR="00FD54FC" w:rsidRPr="00321A3B" w:rsidRDefault="00FD54FC" w:rsidP="00FD54FC">
            <w:pPr>
              <w:spacing w:before="0" w:after="0"/>
              <w:ind w:left="33"/>
              <w:rPr>
                <w:rFonts w:ascii="Times New Roman" w:hAnsi="Times New Roman"/>
                <w:b/>
                <w:bCs/>
                <w:sz w:val="24"/>
                <w:u w:val="single"/>
              </w:rPr>
            </w:pPr>
          </w:p>
        </w:tc>
      </w:tr>
      <w:tr w:rsidR="00FD54FC" w:rsidRPr="00392FFD"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t>200-210</w:t>
            </w:r>
          </w:p>
        </w:tc>
        <w:tc>
          <w:tcPr>
            <w:tcW w:w="8640" w:type="dxa"/>
          </w:tcPr>
          <w:p w:rsidR="00FD54FC" w:rsidRPr="00321A3B" w:rsidRDefault="00FD54FC" w:rsidP="00FD54FC">
            <w:pPr>
              <w:spacing w:before="0" w:after="0"/>
              <w:ind w:left="33"/>
              <w:rPr>
                <w:rFonts w:ascii="Times New Roman" w:hAnsi="Times New Roman"/>
                <w:b/>
                <w:bCs/>
                <w:sz w:val="24"/>
                <w:u w:val="single"/>
              </w:rPr>
            </w:pPr>
            <w:r>
              <w:rPr>
                <w:rFonts w:ascii="Times New Roman" w:hAnsi="Times New Roman"/>
                <w:b/>
                <w:sz w:val="24"/>
                <w:u w:val="single"/>
              </w:rPr>
              <w:t>Dérivés ayant une juste valeur positive</w:t>
            </w:r>
          </w:p>
          <w:p w:rsidR="00FD54FC" w:rsidRPr="00321A3B"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 xml:space="preserve">Tous les instruments dérivés qui ont comme contrepartie une administration publique et qui ont une juste valeur positive pour l’établissement à la date de déclaration, qu’ils soient utilisés dans une relation de couverture satisfaisant aux critères, détenus à des fins de négociation ou inclus dans le portefeuille de négociation selon les normes IFRS et les référentiels comptables nationaux fondés sur la BAD. </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 xml:space="preserve">Les dérivés utilisés dans les couvertures économiques seront déclarés ici lorsqu’ils sont inclus dans les portefeuilles comptables «de négociation» ou «détenus à des fins </w:t>
            </w:r>
            <w:r>
              <w:rPr>
                <w:rFonts w:ascii="Times New Roman" w:hAnsi="Times New Roman"/>
                <w:sz w:val="24"/>
              </w:rPr>
              <w:lastRenderedPageBreak/>
              <w:t>de négociation» (annexe V, partie 2, paragraphes 120, 124, 125 et 137 à 140).</w:t>
            </w:r>
          </w:p>
          <w:p w:rsidR="00FD54FC" w:rsidRPr="00392FFD" w:rsidRDefault="00FD54FC" w:rsidP="00FD54FC">
            <w:pPr>
              <w:spacing w:before="0" w:after="0"/>
              <w:ind w:left="33"/>
              <w:rPr>
                <w:rFonts w:ascii="Times New Roman" w:hAnsi="Times New Roman"/>
                <w:b/>
                <w:bCs/>
                <w:sz w:val="24"/>
                <w:u w:val="single"/>
              </w:rPr>
            </w:pPr>
          </w:p>
        </w:tc>
      </w:tr>
      <w:tr w:rsidR="00FD54FC" w:rsidRPr="00392FFD" w:rsidTr="00FD54FC">
        <w:tc>
          <w:tcPr>
            <w:tcW w:w="1188" w:type="dxa"/>
          </w:tcPr>
          <w:p w:rsidR="00FD54FC" w:rsidRPr="00392FFD" w:rsidRDefault="00FD54FC" w:rsidP="00FD54FC">
            <w:pPr>
              <w:spacing w:before="0" w:after="0"/>
              <w:ind w:left="33"/>
              <w:rPr>
                <w:rFonts w:ascii="Times New Roman" w:hAnsi="Times New Roman"/>
                <w:bCs/>
                <w:sz w:val="24"/>
              </w:rPr>
            </w:pPr>
            <w:r>
              <w:rPr>
                <w:rFonts w:ascii="Times New Roman" w:hAnsi="Times New Roman"/>
                <w:sz w:val="24"/>
              </w:rPr>
              <w:lastRenderedPageBreak/>
              <w:t>200</w:t>
            </w:r>
          </w:p>
        </w:tc>
        <w:tc>
          <w:tcPr>
            <w:tcW w:w="8640" w:type="dxa"/>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 xml:space="preserve">Dérivés ayant une juste valeur positive: Valeur comptable </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 xml:space="preserve">Valeur comptable des dérivés comptabilisés comme des actifs financiers à la date de référence de la déclaration. </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Selon les référentiels comptables fondés sur la BAD, les dérivés à déclarer dans ces c</w:t>
            </w:r>
            <w:r>
              <w:rPr>
                <w:rFonts w:ascii="Times New Roman" w:hAnsi="Times New Roman"/>
                <w:sz w:val="24"/>
              </w:rPr>
              <w:t>o</w:t>
            </w:r>
            <w:r>
              <w:rPr>
                <w:rFonts w:ascii="Times New Roman" w:hAnsi="Times New Roman"/>
                <w:sz w:val="24"/>
              </w:rPr>
              <w:t>lonnes comprennent les instruments dérivés évalués au coût, ou à la valeur la plus basse entre la valeur au coût et la valeur de marché, qui sont inclus dans le port</w:t>
            </w:r>
            <w:r>
              <w:rPr>
                <w:rFonts w:ascii="Times New Roman" w:hAnsi="Times New Roman"/>
                <w:sz w:val="24"/>
              </w:rPr>
              <w:t>e</w:t>
            </w:r>
            <w:r>
              <w:rPr>
                <w:rFonts w:ascii="Times New Roman" w:hAnsi="Times New Roman"/>
                <w:sz w:val="24"/>
              </w:rPr>
              <w:t xml:space="preserve">feuille de négociation ou désignés en tant qu’instruments de couverture. </w:t>
            </w:r>
          </w:p>
          <w:p w:rsidR="00FD54FC" w:rsidRPr="00392FFD" w:rsidRDefault="00FD54FC" w:rsidP="00FD54FC">
            <w:pPr>
              <w:spacing w:before="0" w:after="0"/>
              <w:ind w:left="33"/>
              <w:rPr>
                <w:rFonts w:ascii="Times New Roman" w:hAnsi="Times New Roman"/>
                <w:b/>
                <w:bCs/>
                <w:sz w:val="24"/>
                <w:u w:val="single"/>
              </w:rPr>
            </w:pPr>
          </w:p>
        </w:tc>
      </w:tr>
      <w:tr w:rsidR="00FD54FC" w:rsidRPr="00321A3B"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t>210</w:t>
            </w:r>
          </w:p>
        </w:tc>
        <w:tc>
          <w:tcPr>
            <w:tcW w:w="8640" w:type="dxa"/>
          </w:tcPr>
          <w:p w:rsidR="00FD54FC" w:rsidRPr="00321A3B" w:rsidRDefault="00FD54FC" w:rsidP="00FD54FC">
            <w:pPr>
              <w:spacing w:before="0" w:after="0"/>
              <w:ind w:left="33"/>
              <w:rPr>
                <w:rFonts w:ascii="Times New Roman" w:hAnsi="Times New Roman"/>
                <w:b/>
                <w:bCs/>
                <w:sz w:val="24"/>
                <w:u w:val="single"/>
              </w:rPr>
            </w:pPr>
            <w:r>
              <w:rPr>
                <w:rFonts w:ascii="Times New Roman" w:hAnsi="Times New Roman"/>
                <w:b/>
                <w:sz w:val="24"/>
                <w:u w:val="single"/>
              </w:rPr>
              <w:t>Dérivés ayant une juste valeur positive: Montant notionnel</w:t>
            </w:r>
          </w:p>
          <w:p w:rsidR="00FD54FC" w:rsidRPr="00321A3B" w:rsidRDefault="00FD54FC" w:rsidP="00FD54FC">
            <w:pPr>
              <w:spacing w:before="0" w:after="0"/>
              <w:ind w:left="33"/>
              <w:rPr>
                <w:rFonts w:ascii="Times New Roman" w:hAnsi="Times New Roman"/>
                <w:bCs/>
                <w:sz w:val="24"/>
              </w:rPr>
            </w:pP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Selon les IFRS et les référentiels comptables nationaux fondés sur la BAD, le mo</w:t>
            </w:r>
            <w:r>
              <w:rPr>
                <w:rFonts w:ascii="Times New Roman" w:hAnsi="Times New Roman"/>
                <w:sz w:val="24"/>
              </w:rPr>
              <w:t>n</w:t>
            </w:r>
            <w:r>
              <w:rPr>
                <w:rFonts w:ascii="Times New Roman" w:hAnsi="Times New Roman"/>
                <w:sz w:val="24"/>
              </w:rPr>
              <w:t>tant notionnel, tel que défini à l’annexe V, partie 2, paragraphes 133 à 135, de tous les co</w:t>
            </w:r>
            <w:r>
              <w:rPr>
                <w:rFonts w:ascii="Times New Roman" w:hAnsi="Times New Roman"/>
                <w:sz w:val="24"/>
              </w:rPr>
              <w:t>n</w:t>
            </w:r>
            <w:r>
              <w:rPr>
                <w:rFonts w:ascii="Times New Roman" w:hAnsi="Times New Roman"/>
                <w:sz w:val="24"/>
              </w:rPr>
              <w:t>trats dérivés conclus et non encore réglés à la date de référence de la déclaration dont la contrepartie est une administration publique, telle que définie au paragraphe 1, lor</w:t>
            </w:r>
            <w:r>
              <w:rPr>
                <w:rFonts w:ascii="Times New Roman" w:hAnsi="Times New Roman"/>
                <w:sz w:val="24"/>
              </w:rPr>
              <w:t>s</w:t>
            </w:r>
            <w:r>
              <w:rPr>
                <w:rFonts w:ascii="Times New Roman" w:hAnsi="Times New Roman"/>
                <w:sz w:val="24"/>
              </w:rPr>
              <w:t>que sa juste valeur est positive pour l’établissement à la date de référence de la déclar</w:t>
            </w:r>
            <w:r>
              <w:rPr>
                <w:rFonts w:ascii="Times New Roman" w:hAnsi="Times New Roman"/>
                <w:sz w:val="24"/>
              </w:rPr>
              <w:t>a</w:t>
            </w:r>
            <w:r>
              <w:rPr>
                <w:rFonts w:ascii="Times New Roman" w:hAnsi="Times New Roman"/>
                <w:sz w:val="24"/>
              </w:rPr>
              <w:t>tion.</w:t>
            </w:r>
          </w:p>
          <w:p w:rsidR="00FD54FC" w:rsidRPr="00321A3B" w:rsidRDefault="00FD54FC" w:rsidP="00FD54FC">
            <w:pPr>
              <w:spacing w:before="0" w:after="0"/>
              <w:ind w:left="33"/>
              <w:rPr>
                <w:rFonts w:ascii="Times New Roman" w:hAnsi="Times New Roman"/>
                <w:b/>
                <w:bCs/>
                <w:sz w:val="24"/>
                <w:u w:val="single"/>
              </w:rPr>
            </w:pPr>
          </w:p>
        </w:tc>
      </w:tr>
      <w:tr w:rsidR="00FD54FC" w:rsidRPr="00392FFD"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t>220-230</w:t>
            </w:r>
          </w:p>
        </w:tc>
        <w:tc>
          <w:tcPr>
            <w:tcW w:w="8640" w:type="dxa"/>
          </w:tcPr>
          <w:p w:rsidR="00FD54FC" w:rsidRPr="00321A3B" w:rsidRDefault="00FD54FC" w:rsidP="00FD54FC">
            <w:pPr>
              <w:spacing w:before="0" w:after="0"/>
              <w:ind w:left="33"/>
              <w:rPr>
                <w:rFonts w:ascii="Times New Roman" w:hAnsi="Times New Roman"/>
                <w:b/>
                <w:bCs/>
                <w:sz w:val="24"/>
                <w:u w:val="single"/>
              </w:rPr>
            </w:pPr>
            <w:r>
              <w:rPr>
                <w:rFonts w:ascii="Times New Roman" w:hAnsi="Times New Roman"/>
                <w:b/>
                <w:sz w:val="24"/>
                <w:u w:val="single"/>
              </w:rPr>
              <w:t>Dérivés ayant une juste valeur négative</w:t>
            </w:r>
          </w:p>
          <w:p w:rsidR="00FD54FC" w:rsidRPr="00321A3B" w:rsidDel="00501397"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Tous les instruments dérivés qui ont une administration publique comme contrepartie et qui ont une juste valeur négative pour l’établissement à la date de référence de la d</w:t>
            </w:r>
            <w:r>
              <w:rPr>
                <w:rFonts w:ascii="Times New Roman" w:hAnsi="Times New Roman"/>
                <w:sz w:val="24"/>
              </w:rPr>
              <w:t>é</w:t>
            </w:r>
            <w:r>
              <w:rPr>
                <w:rFonts w:ascii="Times New Roman" w:hAnsi="Times New Roman"/>
                <w:sz w:val="24"/>
              </w:rPr>
              <w:t>claration, qu’ils soient utilisés dans une relation de couverture satisfaisant aux cr</w:t>
            </w:r>
            <w:r>
              <w:rPr>
                <w:rFonts w:ascii="Times New Roman" w:hAnsi="Times New Roman"/>
                <w:sz w:val="24"/>
              </w:rPr>
              <w:t>i</w:t>
            </w:r>
            <w:r>
              <w:rPr>
                <w:rFonts w:ascii="Times New Roman" w:hAnsi="Times New Roman"/>
                <w:sz w:val="24"/>
              </w:rPr>
              <w:t>tères ou détenus à des fins de négociation ou inclus dans le portefeuille de négoci</w:t>
            </w:r>
            <w:r>
              <w:rPr>
                <w:rFonts w:ascii="Times New Roman" w:hAnsi="Times New Roman"/>
                <w:sz w:val="24"/>
              </w:rPr>
              <w:t>a</w:t>
            </w:r>
            <w:r>
              <w:rPr>
                <w:rFonts w:ascii="Times New Roman" w:hAnsi="Times New Roman"/>
                <w:sz w:val="24"/>
              </w:rPr>
              <w:t xml:space="preserve">tion selon les normes IFRS et les référentiels comptables nationaux fondés sur la BAD. </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Les dérivés utilisés dans les couvertures économiques seront déclarés ici lorsqu’ils sont inclus dans les portefeuilles comptables «de négociation» ou «détenus à des fins de négociation» (annexe V, partie 2, paragraphes 120, 124, 125 et 137 à 140).</w:t>
            </w:r>
          </w:p>
          <w:p w:rsidR="00FD54FC" w:rsidRPr="00392FFD" w:rsidRDefault="00FD54FC" w:rsidP="00FD54FC">
            <w:pPr>
              <w:spacing w:before="0" w:after="0"/>
              <w:ind w:left="33"/>
              <w:rPr>
                <w:rFonts w:ascii="Times New Roman" w:hAnsi="Times New Roman"/>
                <w:b/>
                <w:bCs/>
                <w:sz w:val="24"/>
                <w:u w:val="single"/>
              </w:rPr>
            </w:pPr>
          </w:p>
        </w:tc>
      </w:tr>
      <w:tr w:rsidR="00FD54FC" w:rsidRPr="00392FFD" w:rsidTr="00FD54FC">
        <w:tc>
          <w:tcPr>
            <w:tcW w:w="1188" w:type="dxa"/>
          </w:tcPr>
          <w:p w:rsidR="00FD54FC" w:rsidRPr="00392FFD" w:rsidRDefault="00FD54FC" w:rsidP="00FD54FC">
            <w:pPr>
              <w:spacing w:before="0" w:after="0"/>
              <w:ind w:left="33"/>
              <w:rPr>
                <w:rFonts w:ascii="Times New Roman" w:hAnsi="Times New Roman"/>
                <w:bCs/>
                <w:sz w:val="24"/>
              </w:rPr>
            </w:pPr>
            <w:r>
              <w:rPr>
                <w:rFonts w:ascii="Times New Roman" w:hAnsi="Times New Roman"/>
                <w:sz w:val="24"/>
              </w:rPr>
              <w:t>220</w:t>
            </w:r>
          </w:p>
        </w:tc>
        <w:tc>
          <w:tcPr>
            <w:tcW w:w="8640" w:type="dxa"/>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 xml:space="preserve">Dérivés ayant une juste valeur négative: Valeur comptable </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 xml:space="preserve">Valeur comptable des dérivés comptabilisés comme des passifs financiers à la date de référence de la déclaration. </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Selon les référentiels comptables fondés sur la BAD, les dérivés à déclarer dans ces c</w:t>
            </w:r>
            <w:r>
              <w:rPr>
                <w:rFonts w:ascii="Times New Roman" w:hAnsi="Times New Roman"/>
                <w:sz w:val="24"/>
              </w:rPr>
              <w:t>o</w:t>
            </w:r>
            <w:r>
              <w:rPr>
                <w:rFonts w:ascii="Times New Roman" w:hAnsi="Times New Roman"/>
                <w:sz w:val="24"/>
              </w:rPr>
              <w:t>lonnes comprennent les instruments dérivés évalués au coût, ou à la valeur la plus basse entre la valeur au coût et la valeur de marché, qui sont inclus dans le port</w:t>
            </w:r>
            <w:r>
              <w:rPr>
                <w:rFonts w:ascii="Times New Roman" w:hAnsi="Times New Roman"/>
                <w:sz w:val="24"/>
              </w:rPr>
              <w:t>e</w:t>
            </w:r>
            <w:r>
              <w:rPr>
                <w:rFonts w:ascii="Times New Roman" w:hAnsi="Times New Roman"/>
                <w:sz w:val="24"/>
              </w:rPr>
              <w:t xml:space="preserve">feuille de négociation ou désignés en tant qu’instruments de couverture. </w:t>
            </w:r>
          </w:p>
          <w:p w:rsidR="00FD54FC" w:rsidRPr="00392FFD" w:rsidRDefault="00FD54FC" w:rsidP="00FD54FC">
            <w:pPr>
              <w:spacing w:before="0" w:after="0"/>
              <w:ind w:left="33"/>
              <w:rPr>
                <w:rFonts w:ascii="Times New Roman" w:hAnsi="Times New Roman"/>
                <w:b/>
                <w:bCs/>
                <w:sz w:val="24"/>
                <w:u w:val="single"/>
              </w:rPr>
            </w:pPr>
          </w:p>
        </w:tc>
      </w:tr>
      <w:tr w:rsidR="00FD54FC" w:rsidRPr="00392FFD" w:rsidTr="00FD54FC">
        <w:tc>
          <w:tcPr>
            <w:tcW w:w="1188" w:type="dxa"/>
          </w:tcPr>
          <w:p w:rsidR="00FD54FC" w:rsidRPr="00392FFD" w:rsidRDefault="00FD54FC" w:rsidP="00FD54FC">
            <w:pPr>
              <w:spacing w:before="0" w:after="0"/>
              <w:ind w:left="33"/>
              <w:rPr>
                <w:rFonts w:ascii="Times New Roman" w:hAnsi="Times New Roman"/>
                <w:bCs/>
                <w:sz w:val="24"/>
              </w:rPr>
            </w:pPr>
            <w:r>
              <w:rPr>
                <w:rFonts w:ascii="Times New Roman" w:hAnsi="Times New Roman"/>
                <w:sz w:val="24"/>
              </w:rPr>
              <w:t>230</w:t>
            </w:r>
          </w:p>
        </w:tc>
        <w:tc>
          <w:tcPr>
            <w:tcW w:w="8640" w:type="dxa"/>
          </w:tcPr>
          <w:p w:rsidR="00FD54FC" w:rsidRPr="00392FFD" w:rsidRDefault="00FD54FC" w:rsidP="00FD54FC">
            <w:pPr>
              <w:spacing w:before="0" w:after="0"/>
              <w:rPr>
                <w:rFonts w:ascii="Times New Roman" w:hAnsi="Times New Roman"/>
                <w:b/>
                <w:bCs/>
                <w:sz w:val="24"/>
                <w:u w:val="single"/>
              </w:rPr>
            </w:pPr>
            <w:r>
              <w:rPr>
                <w:rFonts w:ascii="Times New Roman" w:hAnsi="Times New Roman"/>
                <w:b/>
                <w:sz w:val="24"/>
                <w:u w:val="single"/>
              </w:rPr>
              <w:t>Dérivés ayant une juste valeur négative: Montant notionnel</w:t>
            </w:r>
          </w:p>
          <w:p w:rsidR="00FD54FC" w:rsidRPr="00392FFD" w:rsidRDefault="00FD54FC" w:rsidP="00FD54FC">
            <w:pPr>
              <w:spacing w:before="0" w:after="0"/>
              <w:ind w:left="33"/>
              <w:rPr>
                <w:rFonts w:ascii="Times New Roman" w:hAnsi="Times New Roman"/>
                <w:b/>
                <w:bCs/>
                <w:sz w:val="24"/>
                <w:u w:val="single"/>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Selon les IFRS et les référentiels comptables nationaux fondés sur la BAD, le mo</w:t>
            </w:r>
            <w:r>
              <w:rPr>
                <w:rFonts w:ascii="Times New Roman" w:hAnsi="Times New Roman"/>
                <w:sz w:val="24"/>
              </w:rPr>
              <w:t>n</w:t>
            </w:r>
            <w:r>
              <w:rPr>
                <w:rFonts w:ascii="Times New Roman" w:hAnsi="Times New Roman"/>
                <w:sz w:val="24"/>
              </w:rPr>
              <w:t>tant notionnel, tel que défini à l’annexe V, partie 2, paragraphes 133 à 135, de tous les co</w:t>
            </w:r>
            <w:r>
              <w:rPr>
                <w:rFonts w:ascii="Times New Roman" w:hAnsi="Times New Roman"/>
                <w:sz w:val="24"/>
              </w:rPr>
              <w:t>n</w:t>
            </w:r>
            <w:r>
              <w:rPr>
                <w:rFonts w:ascii="Times New Roman" w:hAnsi="Times New Roman"/>
                <w:sz w:val="24"/>
              </w:rPr>
              <w:t>trats dérivés conclus et non encore réglés à la date de référence dont la contrepa</w:t>
            </w:r>
            <w:r>
              <w:rPr>
                <w:rFonts w:ascii="Times New Roman" w:hAnsi="Times New Roman"/>
                <w:sz w:val="24"/>
              </w:rPr>
              <w:t>r</w:t>
            </w:r>
            <w:r>
              <w:rPr>
                <w:rFonts w:ascii="Times New Roman" w:hAnsi="Times New Roman"/>
                <w:sz w:val="24"/>
              </w:rPr>
              <w:t>tie est une administration publique, telle que définie au paragraphe 1, lorsque sa juste valeur est négative pour l’établissement.</w:t>
            </w:r>
          </w:p>
          <w:p w:rsidR="00FD54FC" w:rsidRPr="00392FFD" w:rsidRDefault="00FD54FC" w:rsidP="00FD54FC">
            <w:pPr>
              <w:spacing w:before="0" w:after="0"/>
              <w:ind w:left="33"/>
              <w:rPr>
                <w:rFonts w:ascii="Times New Roman" w:hAnsi="Times New Roman"/>
                <w:b/>
                <w:bCs/>
                <w:sz w:val="24"/>
                <w:u w:val="single"/>
              </w:rPr>
            </w:pPr>
          </w:p>
        </w:tc>
      </w:tr>
      <w:tr w:rsidR="00FD54FC" w:rsidRPr="00392FFD" w:rsidTr="00FD54FC">
        <w:tc>
          <w:tcPr>
            <w:tcW w:w="1188" w:type="dxa"/>
          </w:tcPr>
          <w:p w:rsidR="00FD54FC" w:rsidRPr="00392FFD" w:rsidRDefault="00FD54FC" w:rsidP="00B74792">
            <w:pPr>
              <w:spacing w:before="0" w:after="0"/>
              <w:ind w:left="33"/>
              <w:rPr>
                <w:rFonts w:ascii="Times New Roman" w:hAnsi="Times New Roman"/>
                <w:bCs/>
                <w:sz w:val="24"/>
              </w:rPr>
            </w:pPr>
            <w:r>
              <w:rPr>
                <w:rFonts w:ascii="Times New Roman" w:hAnsi="Times New Roman"/>
                <w:sz w:val="24"/>
              </w:rPr>
              <w:lastRenderedPageBreak/>
              <w:t>240-260</w:t>
            </w:r>
          </w:p>
        </w:tc>
        <w:tc>
          <w:tcPr>
            <w:tcW w:w="8640" w:type="dxa"/>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EXPOSITIONS DE HORS BILAN</w:t>
            </w:r>
          </w:p>
        </w:tc>
      </w:tr>
      <w:tr w:rsidR="00FD54FC" w:rsidRPr="00392FFD" w:rsidTr="00FD54FC">
        <w:tc>
          <w:tcPr>
            <w:tcW w:w="1188" w:type="dxa"/>
          </w:tcPr>
          <w:p w:rsidR="00FD54FC" w:rsidRPr="00392FFD" w:rsidRDefault="00FD54FC" w:rsidP="00FD54FC">
            <w:pPr>
              <w:spacing w:before="0" w:after="0"/>
              <w:ind w:left="33"/>
              <w:rPr>
                <w:rFonts w:ascii="Times New Roman" w:hAnsi="Times New Roman"/>
                <w:bCs/>
                <w:sz w:val="24"/>
              </w:rPr>
            </w:pPr>
            <w:r>
              <w:rPr>
                <w:rFonts w:ascii="Times New Roman" w:hAnsi="Times New Roman"/>
                <w:sz w:val="24"/>
              </w:rPr>
              <w:t>240</w:t>
            </w:r>
          </w:p>
        </w:tc>
        <w:tc>
          <w:tcPr>
            <w:tcW w:w="8640" w:type="dxa"/>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Montant nominal</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Lorsque la contrepartie directe de l’élément de hors bilan est une administration p</w:t>
            </w:r>
            <w:r>
              <w:rPr>
                <w:rFonts w:ascii="Times New Roman" w:hAnsi="Times New Roman"/>
                <w:sz w:val="24"/>
              </w:rPr>
              <w:t>u</w:t>
            </w:r>
            <w:r>
              <w:rPr>
                <w:rFonts w:ascii="Times New Roman" w:hAnsi="Times New Roman"/>
                <w:sz w:val="24"/>
              </w:rPr>
              <w:t>blique telle que définie plus haut au paragraphe 1, le montant nominal des engag</w:t>
            </w:r>
            <w:r>
              <w:rPr>
                <w:rFonts w:ascii="Times New Roman" w:hAnsi="Times New Roman"/>
                <w:sz w:val="24"/>
              </w:rPr>
              <w:t>e</w:t>
            </w:r>
            <w:r>
              <w:rPr>
                <w:rFonts w:ascii="Times New Roman" w:hAnsi="Times New Roman"/>
                <w:sz w:val="24"/>
              </w:rPr>
              <w:t>ments et garanties financières qui ne sont pas considérés comme des dérivés confo</w:t>
            </w:r>
            <w:r>
              <w:rPr>
                <w:rFonts w:ascii="Times New Roman" w:hAnsi="Times New Roman"/>
                <w:sz w:val="24"/>
              </w:rPr>
              <w:t>r</w:t>
            </w:r>
            <w:r>
              <w:rPr>
                <w:rFonts w:ascii="Times New Roman" w:hAnsi="Times New Roman"/>
                <w:sz w:val="24"/>
              </w:rPr>
              <w:t>mément aux normes IFRS ou selon les référentiels comptables nationaux fondés sur la BAD (Annexe V, partie 2, paragraphes 102-119).</w:t>
            </w:r>
          </w:p>
          <w:p w:rsidR="00FD54FC" w:rsidRPr="00392FFD" w:rsidRDefault="00FD54FC" w:rsidP="00FD54FC">
            <w:pPr>
              <w:spacing w:before="0" w:after="0"/>
              <w:ind w:left="33"/>
              <w:rPr>
                <w:rFonts w:ascii="Times New Roman" w:hAnsi="Times New Roman"/>
                <w:bCs/>
                <w:sz w:val="24"/>
              </w:rPr>
            </w:pPr>
          </w:p>
          <w:p w:rsidR="00FD54FC" w:rsidRPr="00392FFD" w:rsidDel="00501397" w:rsidRDefault="00FD54FC" w:rsidP="00FD54FC">
            <w:pPr>
              <w:spacing w:before="0" w:after="0"/>
              <w:ind w:left="33"/>
              <w:rPr>
                <w:rFonts w:ascii="Times New Roman" w:hAnsi="Times New Roman"/>
                <w:b/>
                <w:bCs/>
                <w:sz w:val="24"/>
                <w:u w:val="single"/>
              </w:rPr>
            </w:pPr>
            <w:r>
              <w:rPr>
                <w:rFonts w:ascii="Times New Roman" w:hAnsi="Times New Roman"/>
                <w:sz w:val="24"/>
              </w:rPr>
              <w:t xml:space="preserve">Conformément à l'annexe V, partie 1, paragraphes 43 et 44, l'administration publique est la contrepartie directe: a) dans une garantie financière donnée, lorsqu’elle est la contrepartie directe de l’instrument de créance garanti, et b) dans un engagement de prêt et autre engagement donné, lorsqu’elle est la contrepartie dont le risque de crédit est supporté par l'établissement déclarant. </w:t>
            </w:r>
          </w:p>
          <w:p w:rsidR="00FD54FC" w:rsidRPr="00392FFD" w:rsidRDefault="00FD54FC" w:rsidP="00FD54FC">
            <w:pPr>
              <w:spacing w:before="0" w:after="0"/>
              <w:ind w:left="33"/>
              <w:rPr>
                <w:rFonts w:ascii="Times New Roman" w:hAnsi="Times New Roman"/>
                <w:bCs/>
                <w:sz w:val="24"/>
              </w:rPr>
            </w:pPr>
          </w:p>
        </w:tc>
      </w:tr>
      <w:tr w:rsidR="00FD54FC" w:rsidRPr="00321A3B"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t>250</w:t>
            </w:r>
          </w:p>
        </w:tc>
        <w:tc>
          <w:tcPr>
            <w:tcW w:w="8640" w:type="dxa"/>
          </w:tcPr>
          <w:p w:rsidR="00FD54FC" w:rsidRPr="00321A3B" w:rsidRDefault="00FD54FC" w:rsidP="00FD54FC">
            <w:pPr>
              <w:spacing w:before="0" w:after="0"/>
              <w:ind w:left="33"/>
              <w:rPr>
                <w:rFonts w:ascii="Times New Roman" w:hAnsi="Times New Roman"/>
                <w:b/>
                <w:bCs/>
                <w:sz w:val="24"/>
                <w:u w:val="single"/>
              </w:rPr>
            </w:pPr>
            <w:r>
              <w:rPr>
                <w:rFonts w:ascii="Times New Roman" w:hAnsi="Times New Roman"/>
                <w:b/>
                <w:sz w:val="24"/>
                <w:u w:val="single"/>
              </w:rPr>
              <w:t>Provisions</w:t>
            </w:r>
          </w:p>
          <w:p w:rsidR="00FD54FC" w:rsidRPr="00321A3B" w:rsidRDefault="00FD54FC" w:rsidP="00FD54FC">
            <w:pPr>
              <w:spacing w:before="0" w:after="0"/>
              <w:ind w:left="33"/>
              <w:rPr>
                <w:rFonts w:ascii="Times New Roman" w:hAnsi="Times New Roman"/>
                <w:bCs/>
                <w:sz w:val="24"/>
              </w:rPr>
            </w:pP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Directive 86/635/CEE article 4 Passif poste 6 c), Postes hors bilan, article 27 poste 11, article 28, poste 8, article 33; IFRS 9.4.2.1(c)(ii),(d)(ii), 9.5.5.20; IAS 37, IFRS 4, A</w:t>
            </w:r>
            <w:r>
              <w:rPr>
                <w:rFonts w:ascii="Times New Roman" w:hAnsi="Times New Roman"/>
                <w:sz w:val="24"/>
              </w:rPr>
              <w:t>n</w:t>
            </w:r>
            <w:r>
              <w:rPr>
                <w:rFonts w:ascii="Times New Roman" w:hAnsi="Times New Roman"/>
                <w:sz w:val="24"/>
              </w:rPr>
              <w:t>nexe V partie 2.11.</w:t>
            </w:r>
          </w:p>
          <w:p w:rsidR="00FD54FC" w:rsidRPr="00321A3B" w:rsidRDefault="00FD54FC" w:rsidP="00FD54FC">
            <w:pPr>
              <w:spacing w:before="0" w:after="0"/>
              <w:ind w:left="33"/>
              <w:rPr>
                <w:rFonts w:ascii="Times New Roman" w:hAnsi="Times New Roman"/>
                <w:bCs/>
                <w:sz w:val="24"/>
              </w:rPr>
            </w:pP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Provisions sur toutes les expositions de hors bilan, quelle que soit la manière dont elles sont mesurées, à l’exception de celles mesurées à la juste valeur par le biais du compte de résultat conformément à la norme IFRS 9.</w:t>
            </w:r>
          </w:p>
          <w:p w:rsidR="00FD54FC" w:rsidRPr="00321A3B" w:rsidRDefault="00730040" w:rsidP="00FD54FC">
            <w:pPr>
              <w:spacing w:before="0" w:after="0"/>
              <w:ind w:left="33"/>
              <w:rPr>
                <w:rFonts w:ascii="Times New Roman" w:hAnsi="Times New Roman"/>
                <w:bCs/>
                <w:sz w:val="24"/>
              </w:rPr>
            </w:pPr>
            <w:r>
              <w:rPr>
                <w:rFonts w:ascii="Times New Roman" w:hAnsi="Times New Roman"/>
                <w:sz w:val="24"/>
              </w:rPr>
              <w:t xml:space="preserve"> </w:t>
            </w: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Selon les normes IFRS, la dépréciation d’un engagement de prêt donné sera déclarée dans la colonne 150 lorsque l’établissement ne peut pas identifier séparément les pertes de crédit anticipées liées au montant tiré et au montant non tiré de l’instrument de dette. Si les pertes de crédit anticipées combinées pour cet instrument financier dépa</w:t>
            </w:r>
            <w:r>
              <w:rPr>
                <w:rFonts w:ascii="Times New Roman" w:hAnsi="Times New Roman"/>
                <w:sz w:val="24"/>
              </w:rPr>
              <w:t>s</w:t>
            </w:r>
            <w:r>
              <w:rPr>
                <w:rFonts w:ascii="Times New Roman" w:hAnsi="Times New Roman"/>
                <w:sz w:val="24"/>
              </w:rPr>
              <w:t>sent la valeur comptable brute de la composante de prêt de l'instrument, le solde restant des pertes de crédit anticipées sera déclaré en tant que provision dans la c</w:t>
            </w:r>
            <w:r>
              <w:rPr>
                <w:rFonts w:ascii="Times New Roman" w:hAnsi="Times New Roman"/>
                <w:sz w:val="24"/>
              </w:rPr>
              <w:t>o</w:t>
            </w:r>
            <w:r>
              <w:rPr>
                <w:rFonts w:ascii="Times New Roman" w:hAnsi="Times New Roman"/>
                <w:sz w:val="24"/>
              </w:rPr>
              <w:t>lonne 250.</w:t>
            </w:r>
          </w:p>
          <w:p w:rsidR="00FD54FC" w:rsidRPr="00321A3B" w:rsidRDefault="00FD54FC" w:rsidP="00FD54FC">
            <w:pPr>
              <w:spacing w:before="0" w:after="0"/>
              <w:ind w:left="33"/>
              <w:rPr>
                <w:rFonts w:ascii="Times New Roman" w:hAnsi="Times New Roman"/>
                <w:bCs/>
                <w:sz w:val="24"/>
              </w:rPr>
            </w:pPr>
          </w:p>
        </w:tc>
      </w:tr>
      <w:tr w:rsidR="00FD54FC" w:rsidRPr="00392FFD"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t>260</w:t>
            </w:r>
          </w:p>
        </w:tc>
        <w:tc>
          <w:tcPr>
            <w:tcW w:w="8640" w:type="dxa"/>
          </w:tcPr>
          <w:p w:rsidR="00FD54FC" w:rsidRPr="00321A3B" w:rsidRDefault="00FD54FC" w:rsidP="00FD54FC">
            <w:pPr>
              <w:spacing w:before="0" w:after="0"/>
              <w:ind w:left="33"/>
              <w:rPr>
                <w:rFonts w:ascii="Times New Roman" w:hAnsi="Times New Roman"/>
                <w:b/>
                <w:bCs/>
                <w:sz w:val="24"/>
                <w:u w:val="single"/>
              </w:rPr>
            </w:pPr>
            <w:r>
              <w:rPr>
                <w:rFonts w:ascii="Times New Roman" w:hAnsi="Times New Roman"/>
                <w:b/>
                <w:sz w:val="24"/>
                <w:u w:val="single"/>
              </w:rPr>
              <w:t xml:space="preserve">Variations négatives cumulées de la juste valeur dues au risque de crédit </w:t>
            </w:r>
          </w:p>
          <w:p w:rsidR="00FD54FC" w:rsidRPr="00321A3B" w:rsidRDefault="00FD54FC" w:rsidP="00FD54FC">
            <w:pPr>
              <w:spacing w:before="0" w:after="0"/>
              <w:ind w:left="33"/>
              <w:rPr>
                <w:rFonts w:ascii="Times New Roman" w:hAnsi="Times New Roman"/>
                <w:b/>
                <w:bCs/>
                <w:sz w:val="24"/>
                <w:u w:val="single"/>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Pour les éléments de hors bilan mesurés à la juste valeur par le biais du compte de r</w:t>
            </w:r>
            <w:r>
              <w:rPr>
                <w:rFonts w:ascii="Times New Roman" w:hAnsi="Times New Roman"/>
                <w:sz w:val="24"/>
              </w:rPr>
              <w:t>é</w:t>
            </w:r>
            <w:r>
              <w:rPr>
                <w:rFonts w:ascii="Times New Roman" w:hAnsi="Times New Roman"/>
                <w:sz w:val="24"/>
              </w:rPr>
              <w:t>sultat conformément à la norme IFRS 9, les variations négatives cumulées de la juste valeur dues au risque de crédit (annexe V, partie 2, paragraphe 110)</w:t>
            </w:r>
          </w:p>
          <w:p w:rsidR="00FD54FC" w:rsidRPr="00392FFD" w:rsidRDefault="00730040" w:rsidP="00FD54FC">
            <w:pPr>
              <w:spacing w:before="0" w:after="0"/>
              <w:ind w:left="33"/>
              <w:rPr>
                <w:rFonts w:ascii="Times New Roman" w:hAnsi="Times New Roman"/>
                <w:b/>
                <w:bCs/>
                <w:sz w:val="24"/>
                <w:u w:val="single"/>
              </w:rPr>
            </w:pPr>
            <w:r>
              <w:rPr>
                <w:rFonts w:ascii="Times New Roman" w:hAnsi="Times New Roman"/>
                <w:sz w:val="24"/>
                <w:u w:val="single"/>
              </w:rPr>
              <w:t xml:space="preserve"> </w:t>
            </w:r>
          </w:p>
        </w:tc>
      </w:tr>
      <w:tr w:rsidR="00FD54FC" w:rsidRPr="00392FFD" w:rsidTr="00FD54FC">
        <w:tc>
          <w:tcPr>
            <w:tcW w:w="1188" w:type="dxa"/>
            <w:tcBorders>
              <w:top w:val="single" w:sz="4" w:space="0" w:color="auto"/>
              <w:left w:val="single" w:sz="4" w:space="0" w:color="auto"/>
              <w:bottom w:val="single" w:sz="4" w:space="0" w:color="auto"/>
              <w:right w:val="single" w:sz="4" w:space="0" w:color="auto"/>
            </w:tcBorders>
            <w:shd w:val="clear" w:color="auto" w:fill="auto"/>
          </w:tcPr>
          <w:p w:rsidR="00FD54FC" w:rsidRPr="00392FFD" w:rsidDel="008D1680" w:rsidRDefault="00FD54FC" w:rsidP="00B74792">
            <w:pPr>
              <w:spacing w:before="0" w:after="0"/>
              <w:ind w:left="33"/>
              <w:rPr>
                <w:rFonts w:ascii="Times New Roman" w:hAnsi="Times New Roman"/>
                <w:bCs/>
                <w:sz w:val="24"/>
              </w:rPr>
            </w:pPr>
            <w:r>
              <w:rPr>
                <w:rFonts w:ascii="Times New Roman" w:hAnsi="Times New Roman"/>
                <w:sz w:val="24"/>
              </w:rPr>
              <w:t>270-280</w:t>
            </w:r>
          </w:p>
        </w:tc>
        <w:tc>
          <w:tcPr>
            <w:tcW w:w="8640" w:type="dxa"/>
            <w:tcBorders>
              <w:top w:val="single" w:sz="4" w:space="0" w:color="auto"/>
              <w:left w:val="single" w:sz="4" w:space="0" w:color="auto"/>
              <w:bottom w:val="single" w:sz="4" w:space="0" w:color="auto"/>
              <w:right w:val="single" w:sz="4" w:space="0" w:color="auto"/>
            </w:tcBorders>
            <w:shd w:val="clear" w:color="auto" w:fill="auto"/>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Pour mémoire: dérivés de crédit vendus sur des expositions sur des administr</w:t>
            </w:r>
            <w:r>
              <w:rPr>
                <w:rFonts w:ascii="Times New Roman" w:hAnsi="Times New Roman"/>
                <w:b/>
                <w:sz w:val="24"/>
                <w:u w:val="single"/>
              </w:rPr>
              <w:t>a</w:t>
            </w:r>
            <w:r>
              <w:rPr>
                <w:rFonts w:ascii="Times New Roman" w:hAnsi="Times New Roman"/>
                <w:b/>
                <w:sz w:val="24"/>
                <w:u w:val="single"/>
              </w:rPr>
              <w:t>tions publiques</w:t>
            </w:r>
          </w:p>
          <w:p w:rsidR="00FD54FC" w:rsidRPr="00392FFD" w:rsidRDefault="00FD54FC" w:rsidP="00FD54FC">
            <w:pPr>
              <w:spacing w:before="0" w:after="0"/>
              <w:ind w:left="33"/>
              <w:rPr>
                <w:rFonts w:ascii="Times New Roman" w:hAnsi="Times New Roman"/>
                <w:b/>
                <w:bCs/>
                <w:sz w:val="24"/>
                <w:u w:val="single"/>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Il convient de déclarer les dérivés de crédit qui ne correspondent pas à la définition des garanties financières que l’établissement déclarant a conclus avec des contreparties autres que des administrations publiques et dont l’exposition de référence est une a</w:t>
            </w:r>
            <w:r>
              <w:rPr>
                <w:rFonts w:ascii="Times New Roman" w:hAnsi="Times New Roman"/>
                <w:sz w:val="24"/>
              </w:rPr>
              <w:t>d</w:t>
            </w:r>
            <w:r>
              <w:rPr>
                <w:rFonts w:ascii="Times New Roman" w:hAnsi="Times New Roman"/>
                <w:sz w:val="24"/>
              </w:rPr>
              <w:t>ministration publique.</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Ces colonnes ne sont pas à remplir pour les expositions réparties par risque, par a</w:t>
            </w:r>
            <w:r>
              <w:rPr>
                <w:rFonts w:ascii="Times New Roman" w:hAnsi="Times New Roman"/>
                <w:sz w:val="24"/>
              </w:rPr>
              <w:t>p</w:t>
            </w:r>
            <w:r>
              <w:rPr>
                <w:rFonts w:ascii="Times New Roman" w:hAnsi="Times New Roman"/>
                <w:sz w:val="24"/>
              </w:rPr>
              <w:t>proche réglementaire et par catégorie d’exposition (lignes 020 et 160)</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lastRenderedPageBreak/>
              <w:t xml:space="preserve">Les expositions déclarées dans cette section ne doivent pas être prises en compte dans le calcul de la valeur exposée au risque et du montant d’exposition pondéré (colonnes 290 et 300), qui est basé uniquement sur les expositions directes. </w:t>
            </w:r>
          </w:p>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 xml:space="preserve"> </w:t>
            </w:r>
          </w:p>
        </w:tc>
      </w:tr>
      <w:tr w:rsidR="00FD54FC" w:rsidRPr="00392FFD" w:rsidTr="00FD54FC">
        <w:tc>
          <w:tcPr>
            <w:tcW w:w="1188" w:type="dxa"/>
            <w:tcBorders>
              <w:top w:val="single" w:sz="4" w:space="0" w:color="auto"/>
              <w:left w:val="single" w:sz="4" w:space="0" w:color="auto"/>
              <w:bottom w:val="single" w:sz="4" w:space="0" w:color="auto"/>
              <w:right w:val="single" w:sz="4" w:space="0" w:color="auto"/>
            </w:tcBorders>
            <w:shd w:val="clear" w:color="auto" w:fill="auto"/>
          </w:tcPr>
          <w:p w:rsidR="00FD54FC" w:rsidRPr="00392FFD" w:rsidDel="008D1680" w:rsidRDefault="00FD54FC" w:rsidP="00FD54FC">
            <w:pPr>
              <w:spacing w:before="0" w:after="0"/>
              <w:ind w:left="33"/>
              <w:rPr>
                <w:rFonts w:ascii="Times New Roman" w:hAnsi="Times New Roman"/>
                <w:bCs/>
                <w:sz w:val="24"/>
              </w:rPr>
            </w:pPr>
            <w:r>
              <w:rPr>
                <w:rFonts w:ascii="Times New Roman" w:hAnsi="Times New Roman"/>
                <w:sz w:val="24"/>
              </w:rPr>
              <w:lastRenderedPageBreak/>
              <w:t>270</w:t>
            </w:r>
          </w:p>
        </w:tc>
        <w:tc>
          <w:tcPr>
            <w:tcW w:w="8640" w:type="dxa"/>
            <w:tcBorders>
              <w:top w:val="single" w:sz="4" w:space="0" w:color="auto"/>
              <w:left w:val="single" w:sz="4" w:space="0" w:color="auto"/>
              <w:bottom w:val="single" w:sz="4" w:space="0" w:color="auto"/>
              <w:right w:val="single" w:sz="4" w:space="0" w:color="auto"/>
            </w:tcBorders>
            <w:shd w:val="clear" w:color="auto" w:fill="auto"/>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Dérivés ayant une juste valeur positive - Valeur comptable</w:t>
            </w:r>
          </w:p>
          <w:p w:rsidR="00FD54FC" w:rsidRPr="00392FFD" w:rsidRDefault="00FD54FC" w:rsidP="00FD54FC">
            <w:pPr>
              <w:spacing w:before="0" w:after="0"/>
              <w:ind w:left="33"/>
              <w:rPr>
                <w:rFonts w:ascii="Times New Roman" w:hAnsi="Times New Roman"/>
                <w:b/>
                <w:bCs/>
                <w:sz w:val="24"/>
                <w:u w:val="single"/>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Total de la valeur comptable des dérivés de crédit vendus sur des expositions sur des administrations publiques qui ont une juste valeur positive pour l’établissement à la date de déclaration de référence, sans prendre en compte les corrections de valeur à des fins d'évaluation prudente.</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Pour les dérivés selon les normes IFRS, le montant à déclarer dans cette colonne est la valeur comptable des dérivés qui sont des actifs financiers à la date de déclaration.</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Pour les dérivés selon les référentiels comptables fondés sur la BAD, le montant à d</w:t>
            </w:r>
            <w:r>
              <w:rPr>
                <w:rFonts w:ascii="Times New Roman" w:hAnsi="Times New Roman"/>
                <w:sz w:val="24"/>
              </w:rPr>
              <w:t>é</w:t>
            </w:r>
            <w:r>
              <w:rPr>
                <w:rFonts w:ascii="Times New Roman" w:hAnsi="Times New Roman"/>
                <w:sz w:val="24"/>
              </w:rPr>
              <w:t>clarer dans cette colonne est la juste valeur des dérivés ayant une juste valeur pos</w:t>
            </w:r>
            <w:r>
              <w:rPr>
                <w:rFonts w:ascii="Times New Roman" w:hAnsi="Times New Roman"/>
                <w:sz w:val="24"/>
              </w:rPr>
              <w:t>i</w:t>
            </w:r>
            <w:r>
              <w:rPr>
                <w:rFonts w:ascii="Times New Roman" w:hAnsi="Times New Roman"/>
                <w:sz w:val="24"/>
              </w:rPr>
              <w:t>tive à la date de déclaration de référence, quelle que soit la manière dont ils sont comptabil</w:t>
            </w:r>
            <w:r>
              <w:rPr>
                <w:rFonts w:ascii="Times New Roman" w:hAnsi="Times New Roman"/>
                <w:sz w:val="24"/>
              </w:rPr>
              <w:t>i</w:t>
            </w:r>
            <w:r>
              <w:rPr>
                <w:rFonts w:ascii="Times New Roman" w:hAnsi="Times New Roman"/>
                <w:sz w:val="24"/>
              </w:rPr>
              <w:t>sés.</w:t>
            </w:r>
          </w:p>
          <w:p w:rsidR="00FD54FC" w:rsidRPr="00392FFD" w:rsidRDefault="00FD54FC" w:rsidP="00FD54FC">
            <w:pPr>
              <w:spacing w:before="0" w:after="0"/>
              <w:ind w:left="33"/>
              <w:rPr>
                <w:rFonts w:ascii="Times New Roman" w:hAnsi="Times New Roman"/>
                <w:b/>
                <w:bCs/>
                <w:sz w:val="24"/>
                <w:u w:val="single"/>
              </w:rPr>
            </w:pPr>
          </w:p>
        </w:tc>
      </w:tr>
      <w:tr w:rsidR="00FD54FC" w:rsidRPr="00392FFD" w:rsidTr="00FD54FC">
        <w:tc>
          <w:tcPr>
            <w:tcW w:w="1188" w:type="dxa"/>
            <w:tcBorders>
              <w:top w:val="single" w:sz="4" w:space="0" w:color="auto"/>
              <w:left w:val="single" w:sz="4" w:space="0" w:color="auto"/>
              <w:bottom w:val="single" w:sz="4" w:space="0" w:color="auto"/>
              <w:right w:val="single" w:sz="4" w:space="0" w:color="auto"/>
            </w:tcBorders>
            <w:shd w:val="clear" w:color="auto" w:fill="auto"/>
          </w:tcPr>
          <w:p w:rsidR="00FD54FC" w:rsidRPr="00392FFD" w:rsidDel="008D1680" w:rsidRDefault="00FD54FC" w:rsidP="00FD54FC">
            <w:pPr>
              <w:spacing w:before="0" w:after="0"/>
              <w:ind w:left="33"/>
              <w:rPr>
                <w:rFonts w:ascii="Times New Roman" w:hAnsi="Times New Roman"/>
                <w:bCs/>
                <w:sz w:val="24"/>
              </w:rPr>
            </w:pPr>
            <w:r>
              <w:rPr>
                <w:rFonts w:ascii="Times New Roman" w:hAnsi="Times New Roman"/>
                <w:sz w:val="24"/>
              </w:rPr>
              <w:t>280</w:t>
            </w:r>
          </w:p>
        </w:tc>
        <w:tc>
          <w:tcPr>
            <w:tcW w:w="8640" w:type="dxa"/>
            <w:tcBorders>
              <w:top w:val="single" w:sz="4" w:space="0" w:color="auto"/>
              <w:left w:val="single" w:sz="4" w:space="0" w:color="auto"/>
              <w:bottom w:val="single" w:sz="4" w:space="0" w:color="auto"/>
              <w:right w:val="single" w:sz="4" w:space="0" w:color="auto"/>
            </w:tcBorders>
            <w:shd w:val="clear" w:color="auto" w:fill="auto"/>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Dérivés ayant une juste valeur négative - Valeur comptable</w:t>
            </w:r>
          </w:p>
          <w:p w:rsidR="00FD54FC" w:rsidRPr="00392FFD" w:rsidRDefault="00FD54FC" w:rsidP="00FD54FC">
            <w:pPr>
              <w:spacing w:before="0" w:after="0"/>
              <w:ind w:left="33"/>
              <w:rPr>
                <w:rFonts w:ascii="Times New Roman" w:hAnsi="Times New Roman"/>
                <w:b/>
                <w:bCs/>
                <w:sz w:val="24"/>
                <w:u w:val="single"/>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Total de la valeur comptable des dérivés de crédit vendus sur des expositions sur des administrations publiques déclarées qui ont une juste valeur négative pour l’établissement à la date de déclaration de référence, sans prendre en compte les co</w:t>
            </w:r>
            <w:r>
              <w:rPr>
                <w:rFonts w:ascii="Times New Roman" w:hAnsi="Times New Roman"/>
                <w:sz w:val="24"/>
              </w:rPr>
              <w:t>r</w:t>
            </w:r>
            <w:r>
              <w:rPr>
                <w:rFonts w:ascii="Times New Roman" w:hAnsi="Times New Roman"/>
                <w:sz w:val="24"/>
              </w:rPr>
              <w:t>rections de valeur à des fins d'évaluation prudente.</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Pour les dérivés selon les normes IFRS, le montant à déclarer dans cette colonne est la valeur comptable des dérivés qui sont des passifs financiers à la date de déclar</w:t>
            </w:r>
            <w:r>
              <w:rPr>
                <w:rFonts w:ascii="Times New Roman" w:hAnsi="Times New Roman"/>
                <w:sz w:val="24"/>
              </w:rPr>
              <w:t>a</w:t>
            </w:r>
            <w:r>
              <w:rPr>
                <w:rFonts w:ascii="Times New Roman" w:hAnsi="Times New Roman"/>
                <w:sz w:val="24"/>
              </w:rPr>
              <w:t xml:space="preserve">tion. </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
                <w:bCs/>
                <w:sz w:val="24"/>
                <w:u w:val="single"/>
              </w:rPr>
            </w:pPr>
            <w:r>
              <w:rPr>
                <w:rFonts w:ascii="Times New Roman" w:hAnsi="Times New Roman"/>
                <w:sz w:val="24"/>
              </w:rPr>
              <w:t>Pour les dérivés selon les référentiels comptables fondés sur la BAD, le montant à d</w:t>
            </w:r>
            <w:r>
              <w:rPr>
                <w:rFonts w:ascii="Times New Roman" w:hAnsi="Times New Roman"/>
                <w:sz w:val="24"/>
              </w:rPr>
              <w:t>é</w:t>
            </w:r>
            <w:r>
              <w:rPr>
                <w:rFonts w:ascii="Times New Roman" w:hAnsi="Times New Roman"/>
                <w:sz w:val="24"/>
              </w:rPr>
              <w:t>clarer dans cette colonne est la juste valeur des dérivés ayant une juste valeur nég</w:t>
            </w:r>
            <w:r>
              <w:rPr>
                <w:rFonts w:ascii="Times New Roman" w:hAnsi="Times New Roman"/>
                <w:sz w:val="24"/>
              </w:rPr>
              <w:t>a</w:t>
            </w:r>
            <w:r>
              <w:rPr>
                <w:rFonts w:ascii="Times New Roman" w:hAnsi="Times New Roman"/>
                <w:sz w:val="24"/>
              </w:rPr>
              <w:t>tive à la date de déclaration de référence, quelle que soit la manière dont ils sont comptab</w:t>
            </w:r>
            <w:r>
              <w:rPr>
                <w:rFonts w:ascii="Times New Roman" w:hAnsi="Times New Roman"/>
                <w:sz w:val="24"/>
              </w:rPr>
              <w:t>i</w:t>
            </w:r>
            <w:r>
              <w:rPr>
                <w:rFonts w:ascii="Times New Roman" w:hAnsi="Times New Roman"/>
                <w:sz w:val="24"/>
              </w:rPr>
              <w:t>lisés.</w:t>
            </w:r>
            <w:r>
              <w:rPr>
                <w:rFonts w:ascii="Times New Roman" w:hAnsi="Times New Roman"/>
                <w:b/>
                <w:sz w:val="24"/>
                <w:u w:val="single"/>
              </w:rPr>
              <w:t xml:space="preserve"> </w:t>
            </w:r>
          </w:p>
          <w:p w:rsidR="00FD54FC" w:rsidRPr="00392FFD" w:rsidRDefault="00FD54FC" w:rsidP="00FD54FC">
            <w:pPr>
              <w:spacing w:before="0" w:after="0"/>
              <w:ind w:left="33"/>
              <w:rPr>
                <w:rFonts w:ascii="Times New Roman" w:hAnsi="Times New Roman"/>
                <w:b/>
                <w:bCs/>
                <w:sz w:val="24"/>
                <w:u w:val="single"/>
              </w:rPr>
            </w:pPr>
          </w:p>
        </w:tc>
      </w:tr>
      <w:tr w:rsidR="00FD54FC" w:rsidRPr="00392FFD" w:rsidTr="00FD54FC">
        <w:tc>
          <w:tcPr>
            <w:tcW w:w="1188" w:type="dxa"/>
            <w:tcBorders>
              <w:top w:val="single" w:sz="4" w:space="0" w:color="auto"/>
              <w:left w:val="single" w:sz="4" w:space="0" w:color="auto"/>
              <w:bottom w:val="single" w:sz="4" w:space="0" w:color="auto"/>
              <w:right w:val="single" w:sz="4" w:space="0" w:color="auto"/>
            </w:tcBorders>
            <w:shd w:val="clear" w:color="auto" w:fill="auto"/>
          </w:tcPr>
          <w:p w:rsidR="00FD54FC" w:rsidRPr="00392FFD" w:rsidDel="008D1680" w:rsidRDefault="00FD54FC" w:rsidP="00FD54FC">
            <w:pPr>
              <w:spacing w:before="0" w:after="0"/>
              <w:ind w:left="33"/>
              <w:rPr>
                <w:rFonts w:ascii="Times New Roman" w:hAnsi="Times New Roman"/>
                <w:bCs/>
                <w:sz w:val="24"/>
              </w:rPr>
            </w:pPr>
            <w:r>
              <w:rPr>
                <w:rFonts w:ascii="Times New Roman" w:hAnsi="Times New Roman"/>
                <w:sz w:val="24"/>
              </w:rPr>
              <w:t>290</w:t>
            </w:r>
          </w:p>
        </w:tc>
        <w:tc>
          <w:tcPr>
            <w:tcW w:w="8640" w:type="dxa"/>
            <w:tcBorders>
              <w:top w:val="single" w:sz="4" w:space="0" w:color="auto"/>
              <w:left w:val="single" w:sz="4" w:space="0" w:color="auto"/>
              <w:bottom w:val="single" w:sz="4" w:space="0" w:color="auto"/>
              <w:right w:val="single" w:sz="4" w:space="0" w:color="auto"/>
            </w:tcBorders>
            <w:shd w:val="clear" w:color="auto" w:fill="auto"/>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Valeur exposée au risque</w:t>
            </w:r>
          </w:p>
          <w:p w:rsidR="00FD54FC" w:rsidRPr="00392FFD" w:rsidRDefault="00FD54FC" w:rsidP="00FD54FC">
            <w:pPr>
              <w:spacing w:before="0" w:after="0"/>
              <w:ind w:left="33"/>
              <w:rPr>
                <w:rFonts w:ascii="Times New Roman" w:hAnsi="Times New Roman"/>
                <w:b/>
                <w:bCs/>
                <w:sz w:val="24"/>
                <w:u w:val="single"/>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Valeur exposée au risque pour les expositions soumises au cadre relatif au risque de crédit.</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Pour les expositions dans le cadre de l’approche standard (SA): voir l'article 111 du CRR. Pour les expositions dans le cadre de l’approche NI: voir l’article 166 et l’article 230, paragraphe 1, deuxième phrase, du CRR.</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Pour la déclaration des dérivés soumis à la fois à des exigences de fonds propres pour risque de crédit de contrepartie et pour risque de marché, voir les instructions pour la répartition par ligne.</w:t>
            </w:r>
          </w:p>
          <w:p w:rsidR="00FD54FC" w:rsidRPr="00392FFD" w:rsidRDefault="00FD54FC" w:rsidP="00FD54FC">
            <w:pPr>
              <w:spacing w:before="0" w:after="0"/>
              <w:ind w:left="33"/>
              <w:rPr>
                <w:rFonts w:ascii="Times New Roman" w:hAnsi="Times New Roman"/>
                <w:b/>
                <w:bCs/>
                <w:sz w:val="24"/>
                <w:u w:val="single"/>
              </w:rPr>
            </w:pPr>
          </w:p>
        </w:tc>
      </w:tr>
      <w:tr w:rsidR="00FD54FC" w:rsidRPr="00392FFD" w:rsidTr="00FD54FC">
        <w:tc>
          <w:tcPr>
            <w:tcW w:w="1188" w:type="dxa"/>
            <w:tcBorders>
              <w:top w:val="single" w:sz="4" w:space="0" w:color="auto"/>
              <w:left w:val="single" w:sz="4" w:space="0" w:color="auto"/>
              <w:bottom w:val="single" w:sz="4" w:space="0" w:color="auto"/>
              <w:right w:val="single" w:sz="4" w:space="0" w:color="auto"/>
            </w:tcBorders>
            <w:shd w:val="clear" w:color="auto" w:fill="auto"/>
          </w:tcPr>
          <w:p w:rsidR="00FD54FC" w:rsidRPr="00392FFD" w:rsidRDefault="00FD54FC" w:rsidP="00FD54FC">
            <w:pPr>
              <w:spacing w:before="0" w:after="0"/>
              <w:ind w:left="33"/>
              <w:rPr>
                <w:rFonts w:ascii="Times New Roman" w:hAnsi="Times New Roman"/>
                <w:bCs/>
                <w:sz w:val="24"/>
              </w:rPr>
            </w:pPr>
            <w:r>
              <w:rPr>
                <w:rFonts w:ascii="Times New Roman" w:hAnsi="Times New Roman"/>
                <w:sz w:val="24"/>
              </w:rPr>
              <w:t>300</w:t>
            </w:r>
          </w:p>
        </w:tc>
        <w:tc>
          <w:tcPr>
            <w:tcW w:w="8640" w:type="dxa"/>
            <w:tcBorders>
              <w:top w:val="single" w:sz="4" w:space="0" w:color="auto"/>
              <w:left w:val="single" w:sz="4" w:space="0" w:color="auto"/>
              <w:bottom w:val="single" w:sz="4" w:space="0" w:color="auto"/>
              <w:right w:val="single" w:sz="4" w:space="0" w:color="auto"/>
            </w:tcBorders>
            <w:shd w:val="clear" w:color="auto" w:fill="auto"/>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 xml:space="preserve">Montant d'exposition pondéré </w:t>
            </w:r>
          </w:p>
          <w:p w:rsidR="00FD54FC" w:rsidRPr="00392FFD" w:rsidRDefault="00FD54FC" w:rsidP="00FD54FC">
            <w:pPr>
              <w:spacing w:before="0" w:after="0"/>
              <w:ind w:left="33"/>
              <w:rPr>
                <w:rFonts w:ascii="Times New Roman" w:hAnsi="Times New Roman"/>
                <w:b/>
                <w:bCs/>
                <w:sz w:val="24"/>
                <w:u w:val="single"/>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 xml:space="preserve">Montant d’exposition pondéré pour les expositions soumises au cadre relatif au risque </w:t>
            </w:r>
            <w:r>
              <w:rPr>
                <w:rFonts w:ascii="Times New Roman" w:hAnsi="Times New Roman"/>
                <w:sz w:val="24"/>
              </w:rPr>
              <w:lastRenderedPageBreak/>
              <w:t xml:space="preserve">de crédit. </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Pour les expositions dans le cadre de l’approche standard (SA): voir l’article 113, p</w:t>
            </w:r>
            <w:r>
              <w:rPr>
                <w:rFonts w:ascii="Times New Roman" w:hAnsi="Times New Roman"/>
                <w:sz w:val="24"/>
              </w:rPr>
              <w:t>a</w:t>
            </w:r>
            <w:r>
              <w:rPr>
                <w:rFonts w:ascii="Times New Roman" w:hAnsi="Times New Roman"/>
                <w:sz w:val="24"/>
              </w:rPr>
              <w:t>ragraphes 1 à 5, du CRR. Pour les expositions dans le cadre de l’approche NI: voir l’article 153, paragraphes 1 et 3, du CRR.</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Pour la déclaration des dérivés soumis à la fois à des exigences de fonds propres pour risque de crédit de contrepartie et pour risque de marché, voir les instructions pour la répartition par ligne.</w:t>
            </w:r>
          </w:p>
          <w:p w:rsidR="00FD54FC" w:rsidRPr="00392FFD" w:rsidRDefault="00FD54FC" w:rsidP="00FD54FC">
            <w:pPr>
              <w:spacing w:before="0" w:after="0"/>
              <w:ind w:left="33"/>
              <w:rPr>
                <w:rFonts w:ascii="Times New Roman" w:hAnsi="Times New Roman"/>
                <w:b/>
                <w:bCs/>
                <w:sz w:val="24"/>
                <w:u w:val="single"/>
              </w:rPr>
            </w:pPr>
          </w:p>
        </w:tc>
      </w:tr>
    </w:tbl>
    <w:p w:rsidR="00FD54FC" w:rsidRPr="00392FFD" w:rsidRDefault="00FD54FC" w:rsidP="00FD54FC">
      <w:pPr>
        <w:spacing w:before="0" w:after="0"/>
        <w:ind w:left="33"/>
        <w:rPr>
          <w:rFonts w:ascii="Times New Roman" w:hAnsi="Times New Roman"/>
          <w:bCs/>
          <w:sz w:val="24"/>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8701"/>
      </w:tblGrid>
      <w:tr w:rsidR="00FD54FC" w:rsidRPr="00392FFD" w:rsidTr="00FD54FC">
        <w:tc>
          <w:tcPr>
            <w:tcW w:w="1188" w:type="dxa"/>
            <w:shd w:val="clear" w:color="auto" w:fill="CCCCCC"/>
          </w:tcPr>
          <w:p w:rsidR="00FD54FC" w:rsidRPr="00392FFD" w:rsidRDefault="00FD54FC" w:rsidP="00FD54FC">
            <w:pPr>
              <w:spacing w:before="0" w:after="0"/>
              <w:ind w:left="33"/>
              <w:rPr>
                <w:rFonts w:ascii="Times New Roman" w:hAnsi="Times New Roman"/>
                <w:bCs/>
                <w:sz w:val="24"/>
              </w:rPr>
            </w:pPr>
            <w:r>
              <w:rPr>
                <w:rFonts w:ascii="Times New Roman" w:hAnsi="Times New Roman"/>
                <w:sz w:val="24"/>
              </w:rPr>
              <w:t>Lignes</w:t>
            </w:r>
          </w:p>
        </w:tc>
        <w:tc>
          <w:tcPr>
            <w:tcW w:w="8701" w:type="dxa"/>
            <w:shd w:val="clear" w:color="auto" w:fill="CCCCCC"/>
          </w:tcPr>
          <w:p w:rsidR="00FD54FC" w:rsidRPr="00392FFD" w:rsidRDefault="00FD54FC" w:rsidP="00FD54FC">
            <w:pPr>
              <w:spacing w:before="0" w:after="0"/>
              <w:ind w:left="33"/>
              <w:rPr>
                <w:rFonts w:ascii="Times New Roman" w:hAnsi="Times New Roman"/>
                <w:bCs/>
                <w:sz w:val="24"/>
              </w:rPr>
            </w:pPr>
            <w:r>
              <w:rPr>
                <w:rFonts w:ascii="Times New Roman" w:hAnsi="Times New Roman"/>
                <w:sz w:val="24"/>
              </w:rPr>
              <w:t>Instructions</w:t>
            </w:r>
          </w:p>
        </w:tc>
      </w:tr>
      <w:tr w:rsidR="00FD54FC" w:rsidRPr="00392FFD" w:rsidTr="00FD54FC">
        <w:tc>
          <w:tcPr>
            <w:tcW w:w="9889" w:type="dxa"/>
            <w:gridSpan w:val="2"/>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RÉPARTITION DES EXPOSITIONS PAR APPROCHE RÉGLEMENTAIRE</w:t>
            </w:r>
          </w:p>
          <w:p w:rsidR="00FD54FC" w:rsidRPr="00392FFD" w:rsidRDefault="00FD54FC" w:rsidP="00FD54FC">
            <w:pPr>
              <w:spacing w:before="0" w:after="0"/>
              <w:ind w:left="33"/>
              <w:rPr>
                <w:rFonts w:ascii="Times New Roman" w:hAnsi="Times New Roman"/>
                <w:bCs/>
                <w:sz w:val="24"/>
              </w:rPr>
            </w:pPr>
          </w:p>
        </w:tc>
      </w:tr>
      <w:tr w:rsidR="00FD54FC" w:rsidRPr="00392FFD" w:rsidTr="00FD54FC">
        <w:tc>
          <w:tcPr>
            <w:tcW w:w="1188" w:type="dxa"/>
            <w:shd w:val="clear" w:color="auto" w:fill="auto"/>
          </w:tcPr>
          <w:p w:rsidR="00FD54FC" w:rsidRPr="00392FFD" w:rsidRDefault="00FD54FC" w:rsidP="00FD54FC">
            <w:pPr>
              <w:spacing w:before="0" w:after="0"/>
              <w:ind w:left="33"/>
              <w:rPr>
                <w:rFonts w:ascii="Times New Roman" w:hAnsi="Times New Roman"/>
                <w:bCs/>
                <w:sz w:val="24"/>
              </w:rPr>
            </w:pPr>
            <w:r>
              <w:rPr>
                <w:rFonts w:ascii="Times New Roman" w:hAnsi="Times New Roman"/>
                <w:sz w:val="24"/>
              </w:rPr>
              <w:t>010</w:t>
            </w:r>
          </w:p>
        </w:tc>
        <w:tc>
          <w:tcPr>
            <w:tcW w:w="8701" w:type="dxa"/>
            <w:shd w:val="clear" w:color="auto" w:fill="auto"/>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Total des expositions</w:t>
            </w:r>
          </w:p>
          <w:p w:rsidR="00FD54FC" w:rsidRPr="00392FFD" w:rsidRDefault="00FD54FC" w:rsidP="00FD54FC">
            <w:pPr>
              <w:spacing w:before="0" w:after="0"/>
              <w:ind w:left="33"/>
              <w:rPr>
                <w:rFonts w:ascii="Times New Roman" w:hAnsi="Times New Roman"/>
                <w:b/>
                <w:bCs/>
                <w:sz w:val="24"/>
                <w:u w:val="single"/>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Total des expositions sur des administrations publiques, telles que définies au par</w:t>
            </w:r>
            <w:r>
              <w:rPr>
                <w:rFonts w:ascii="Times New Roman" w:hAnsi="Times New Roman"/>
                <w:sz w:val="24"/>
              </w:rPr>
              <w:t>a</w:t>
            </w:r>
            <w:r>
              <w:rPr>
                <w:rFonts w:ascii="Times New Roman" w:hAnsi="Times New Roman"/>
                <w:sz w:val="24"/>
              </w:rPr>
              <w:t>graphe 1</w:t>
            </w:r>
          </w:p>
          <w:p w:rsidR="00FD54FC" w:rsidRPr="00392FFD" w:rsidRDefault="00FD54FC" w:rsidP="00FD54FC">
            <w:pPr>
              <w:spacing w:before="0" w:after="0"/>
              <w:ind w:left="33"/>
              <w:rPr>
                <w:rFonts w:ascii="Times New Roman" w:hAnsi="Times New Roman"/>
                <w:b/>
                <w:bCs/>
                <w:sz w:val="24"/>
                <w:u w:val="single"/>
              </w:rPr>
            </w:pPr>
          </w:p>
        </w:tc>
      </w:tr>
      <w:tr w:rsidR="00FD54FC" w:rsidRPr="00392FFD" w:rsidTr="00FD54FC">
        <w:tc>
          <w:tcPr>
            <w:tcW w:w="1188" w:type="dxa"/>
          </w:tcPr>
          <w:p w:rsidR="00FD54FC" w:rsidRPr="00392FFD" w:rsidRDefault="00FD54FC" w:rsidP="00B74792">
            <w:pPr>
              <w:spacing w:before="0" w:after="0"/>
              <w:ind w:left="33"/>
              <w:rPr>
                <w:rFonts w:ascii="Times New Roman" w:hAnsi="Times New Roman"/>
                <w:bCs/>
                <w:sz w:val="24"/>
              </w:rPr>
            </w:pPr>
            <w:r>
              <w:rPr>
                <w:rFonts w:ascii="Times New Roman" w:hAnsi="Times New Roman"/>
                <w:sz w:val="24"/>
              </w:rPr>
              <w:t>020-150</w:t>
            </w:r>
          </w:p>
        </w:tc>
        <w:tc>
          <w:tcPr>
            <w:tcW w:w="8701" w:type="dxa"/>
          </w:tcPr>
          <w:p w:rsidR="00FD54FC" w:rsidRPr="00392FFD" w:rsidRDefault="00FD54FC" w:rsidP="00FD54FC">
            <w:pPr>
              <w:spacing w:before="0" w:after="0"/>
              <w:ind w:left="33"/>
              <w:rPr>
                <w:rFonts w:ascii="Times New Roman" w:hAnsi="Times New Roman"/>
                <w:bCs/>
                <w:sz w:val="24"/>
              </w:rPr>
            </w:pPr>
            <w:r>
              <w:rPr>
                <w:rFonts w:ascii="Times New Roman" w:hAnsi="Times New Roman"/>
                <w:b/>
                <w:sz w:val="24"/>
                <w:u w:val="single"/>
              </w:rPr>
              <w:t>Expositions selon le cadre relatif au risque de crédit</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240"/>
              <w:ind w:left="88"/>
              <w:rPr>
                <w:rFonts w:ascii="Times New Roman" w:hAnsi="Times New Roman"/>
                <w:bCs/>
                <w:sz w:val="24"/>
              </w:rPr>
            </w:pPr>
            <w:r>
              <w:rPr>
                <w:rFonts w:ascii="Times New Roman" w:hAnsi="Times New Roman"/>
                <w:sz w:val="24"/>
              </w:rPr>
              <w:t>Le total des expositions sur les administrations publiques qui seront pondérées co</w:t>
            </w:r>
            <w:r>
              <w:rPr>
                <w:rFonts w:ascii="Times New Roman" w:hAnsi="Times New Roman"/>
                <w:sz w:val="24"/>
              </w:rPr>
              <w:t>n</w:t>
            </w:r>
            <w:r>
              <w:rPr>
                <w:rFonts w:ascii="Times New Roman" w:hAnsi="Times New Roman"/>
                <w:sz w:val="24"/>
              </w:rPr>
              <w:t>formément à la partie trois, titre II, du CRR. Les expositions selon le cadre relatif au risque de crédit comprennent les expositions du portefeuille hors négociation so</w:t>
            </w:r>
            <w:r>
              <w:rPr>
                <w:rFonts w:ascii="Times New Roman" w:hAnsi="Times New Roman"/>
                <w:sz w:val="24"/>
              </w:rPr>
              <w:t>u</w:t>
            </w:r>
            <w:r>
              <w:rPr>
                <w:rFonts w:ascii="Times New Roman" w:hAnsi="Times New Roman"/>
                <w:sz w:val="24"/>
              </w:rPr>
              <w:t>mises à des exigences de fonds propres pour risque de crédit de contrepartie. Les e</w:t>
            </w:r>
            <w:r>
              <w:rPr>
                <w:rFonts w:ascii="Times New Roman" w:hAnsi="Times New Roman"/>
                <w:sz w:val="24"/>
              </w:rPr>
              <w:t>x</w:t>
            </w:r>
            <w:r>
              <w:rPr>
                <w:rFonts w:ascii="Times New Roman" w:hAnsi="Times New Roman"/>
                <w:sz w:val="24"/>
              </w:rPr>
              <w:t xml:space="preserve">positions du portefeuille de négociation soumises à des exigences de fonds propres pour risque de crédit de contrepartie seront déclarées dans les lignes 160 à 260, selon le cas. </w:t>
            </w:r>
          </w:p>
          <w:p w:rsidR="00FD54FC" w:rsidRPr="00392FFD" w:rsidRDefault="00FD54FC" w:rsidP="00FD54FC">
            <w:pPr>
              <w:spacing w:before="0" w:after="240"/>
              <w:ind w:left="88"/>
              <w:rPr>
                <w:rFonts w:ascii="Times New Roman" w:hAnsi="Times New Roman"/>
                <w:bCs/>
                <w:sz w:val="24"/>
              </w:rPr>
            </w:pPr>
            <w:r>
              <w:rPr>
                <w:rFonts w:ascii="Times New Roman" w:hAnsi="Times New Roman"/>
                <w:sz w:val="24"/>
              </w:rPr>
              <w:t>Les expositions directes sur des dérivés soumis à la fois à des exigences de fonds propres pour risque de crédit de contrepartie et pour risque de marché seront décl</w:t>
            </w:r>
            <w:r>
              <w:rPr>
                <w:rFonts w:ascii="Times New Roman" w:hAnsi="Times New Roman"/>
                <w:sz w:val="24"/>
              </w:rPr>
              <w:t>a</w:t>
            </w:r>
            <w:r>
              <w:rPr>
                <w:rFonts w:ascii="Times New Roman" w:hAnsi="Times New Roman"/>
                <w:sz w:val="24"/>
              </w:rPr>
              <w:t>rées à la fois dans les lignes relatives au risque de crédit (020 à 150) et dans la ligne relative au risque de marché (ligne 160). Cependant, les expositions pondérées dues au risque de crédit de contrepartie seront déclarées dans les lignes relatives au risque de crédit tandis que celles dues au risque de marché pour ces dérivés seront déclarées dans la ligne relative au risque de marché.</w:t>
            </w:r>
          </w:p>
        </w:tc>
      </w:tr>
      <w:tr w:rsidR="00FD54FC" w:rsidRPr="00321A3B"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t>030</w:t>
            </w:r>
          </w:p>
        </w:tc>
        <w:tc>
          <w:tcPr>
            <w:tcW w:w="8701" w:type="dxa"/>
          </w:tcPr>
          <w:p w:rsidR="00FD54FC" w:rsidRPr="00321A3B" w:rsidRDefault="00FD54FC" w:rsidP="00FD54FC">
            <w:pPr>
              <w:spacing w:before="0" w:after="0"/>
              <w:ind w:left="33"/>
              <w:rPr>
                <w:rFonts w:ascii="Times New Roman" w:hAnsi="Times New Roman"/>
                <w:b/>
                <w:bCs/>
                <w:sz w:val="24"/>
                <w:u w:val="single"/>
              </w:rPr>
            </w:pPr>
            <w:r>
              <w:rPr>
                <w:rFonts w:ascii="Times New Roman" w:hAnsi="Times New Roman"/>
                <w:b/>
                <w:sz w:val="24"/>
                <w:u w:val="single"/>
              </w:rPr>
              <w:t>Approche standard</w:t>
            </w:r>
          </w:p>
          <w:p w:rsidR="00FD54FC" w:rsidRPr="00321A3B" w:rsidRDefault="00FD54FC" w:rsidP="00FD54FC">
            <w:pPr>
              <w:spacing w:before="0" w:after="0"/>
              <w:ind w:left="33"/>
              <w:rPr>
                <w:rFonts w:ascii="Times New Roman" w:hAnsi="Times New Roman"/>
                <w:bCs/>
                <w:sz w:val="24"/>
              </w:rPr>
            </w:pPr>
          </w:p>
          <w:p w:rsidR="00FD54FC" w:rsidRPr="00321A3B" w:rsidRDefault="00FD54FC" w:rsidP="00FD54FC">
            <w:pPr>
              <w:spacing w:before="0" w:after="0"/>
              <w:ind w:left="33"/>
              <w:rPr>
                <w:rFonts w:ascii="Times New Roman" w:hAnsi="Times New Roman"/>
                <w:bCs/>
                <w:sz w:val="24"/>
              </w:rPr>
            </w:pPr>
            <w:r>
              <w:rPr>
                <w:rFonts w:ascii="Times New Roman" w:hAnsi="Times New Roman"/>
                <w:sz w:val="24"/>
              </w:rPr>
              <w:t>Les expositions sur les administrations publiques qui sont pondérées conformément à la partie trois, titre II, chapitre 2 du CRR, y compris les expositions du portefeuille hors négociation pour lesquelles la pondération conformément à ce chapitre concerne le risque de crédit de contrepartie.</w:t>
            </w:r>
          </w:p>
          <w:p w:rsidR="00FD54FC" w:rsidRPr="00321A3B" w:rsidRDefault="00FD54FC" w:rsidP="00FD54FC">
            <w:pPr>
              <w:spacing w:before="0" w:after="0"/>
              <w:ind w:left="33"/>
              <w:rPr>
                <w:rFonts w:ascii="Times New Roman" w:hAnsi="Times New Roman"/>
                <w:bCs/>
                <w:sz w:val="24"/>
              </w:rPr>
            </w:pPr>
          </w:p>
        </w:tc>
      </w:tr>
      <w:tr w:rsidR="00FD54FC" w:rsidRPr="00392FFD"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t>040</w:t>
            </w:r>
          </w:p>
        </w:tc>
        <w:tc>
          <w:tcPr>
            <w:tcW w:w="8701" w:type="dxa"/>
          </w:tcPr>
          <w:p w:rsidR="00FD54FC" w:rsidRPr="00321A3B" w:rsidRDefault="00FD54FC" w:rsidP="00FD54FC">
            <w:pPr>
              <w:spacing w:before="0" w:after="0"/>
              <w:ind w:left="33"/>
              <w:rPr>
                <w:rFonts w:ascii="Times New Roman" w:hAnsi="Times New Roman"/>
                <w:b/>
                <w:bCs/>
                <w:sz w:val="24"/>
                <w:u w:val="single"/>
              </w:rPr>
            </w:pPr>
            <w:r>
              <w:rPr>
                <w:rFonts w:ascii="Times New Roman" w:hAnsi="Times New Roman"/>
                <w:b/>
                <w:sz w:val="24"/>
                <w:u w:val="single"/>
              </w:rPr>
              <w:t>Administrations centrales</w:t>
            </w:r>
          </w:p>
          <w:p w:rsidR="00FD54FC" w:rsidRPr="00321A3B"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Expositions sur des administrations publiques qui sont des administrations centrales. Ces expositions sont affectées à la catégorie d’expositions «Administrations centrales ou banques centrales» conformément aux articles 112 et 114 du CRR, comme indiqué dans les instructions relatives au modèle C 07.00, à l’exception des indications rel</w:t>
            </w:r>
            <w:r>
              <w:rPr>
                <w:rFonts w:ascii="Times New Roman" w:hAnsi="Times New Roman"/>
                <w:sz w:val="24"/>
              </w:rPr>
              <w:t>a</w:t>
            </w:r>
            <w:r>
              <w:rPr>
                <w:rFonts w:ascii="Times New Roman" w:hAnsi="Times New Roman"/>
                <w:sz w:val="24"/>
              </w:rPr>
              <w:t>tives à la redistribution des expositions sur des administrations publiques vers d'autres cat</w:t>
            </w:r>
            <w:r>
              <w:rPr>
                <w:rFonts w:ascii="Times New Roman" w:hAnsi="Times New Roman"/>
                <w:sz w:val="24"/>
              </w:rPr>
              <w:t>é</w:t>
            </w:r>
            <w:r>
              <w:rPr>
                <w:rFonts w:ascii="Times New Roman" w:hAnsi="Times New Roman"/>
                <w:sz w:val="24"/>
              </w:rPr>
              <w:lastRenderedPageBreak/>
              <w:t>gories d’exposition en raison de l'application de techniques d’atténuation du risque de crédit avec effets de substitution sur l’exposition, qui ne s'appliquent pas.</w:t>
            </w:r>
          </w:p>
          <w:p w:rsidR="00FD54FC" w:rsidRPr="00392FFD" w:rsidRDefault="00FD54FC" w:rsidP="00FD54FC">
            <w:pPr>
              <w:spacing w:before="0" w:after="0"/>
              <w:ind w:left="33"/>
              <w:rPr>
                <w:rFonts w:ascii="Times New Roman" w:hAnsi="Times New Roman"/>
                <w:bCs/>
                <w:sz w:val="24"/>
              </w:rPr>
            </w:pPr>
          </w:p>
        </w:tc>
      </w:tr>
      <w:tr w:rsidR="00FD54FC" w:rsidRPr="00392FFD" w:rsidTr="00FD54FC">
        <w:tc>
          <w:tcPr>
            <w:tcW w:w="1188" w:type="dxa"/>
          </w:tcPr>
          <w:p w:rsidR="00FD54FC" w:rsidRPr="00392FFD" w:rsidRDefault="00FD54FC" w:rsidP="00FD54FC">
            <w:pPr>
              <w:spacing w:before="0" w:after="0"/>
              <w:ind w:left="33"/>
              <w:rPr>
                <w:rFonts w:ascii="Times New Roman" w:hAnsi="Times New Roman"/>
                <w:bCs/>
                <w:sz w:val="24"/>
              </w:rPr>
            </w:pPr>
            <w:r>
              <w:rPr>
                <w:rFonts w:ascii="Times New Roman" w:hAnsi="Times New Roman"/>
                <w:sz w:val="24"/>
              </w:rPr>
              <w:lastRenderedPageBreak/>
              <w:t>050</w:t>
            </w:r>
          </w:p>
        </w:tc>
        <w:tc>
          <w:tcPr>
            <w:tcW w:w="8701" w:type="dxa"/>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Administrations régionales ou locales</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Expositions sur des administrations publiques qui sont des administrations régionales ou locales. Ces expositions sont affectées à la catégorie d’expositions «Administr</w:t>
            </w:r>
            <w:r>
              <w:rPr>
                <w:rFonts w:ascii="Times New Roman" w:hAnsi="Times New Roman"/>
                <w:sz w:val="24"/>
              </w:rPr>
              <w:t>a</w:t>
            </w:r>
            <w:r>
              <w:rPr>
                <w:rFonts w:ascii="Times New Roman" w:hAnsi="Times New Roman"/>
                <w:sz w:val="24"/>
              </w:rPr>
              <w:t>tions régionales ou locales» conformément aux articles 112 et 115 du CRR, comme indiqué dans les instructions relatives au modèle C 07.00, à l’exception des indic</w:t>
            </w:r>
            <w:r>
              <w:rPr>
                <w:rFonts w:ascii="Times New Roman" w:hAnsi="Times New Roman"/>
                <w:sz w:val="24"/>
              </w:rPr>
              <w:t>a</w:t>
            </w:r>
            <w:r>
              <w:rPr>
                <w:rFonts w:ascii="Times New Roman" w:hAnsi="Times New Roman"/>
                <w:sz w:val="24"/>
              </w:rPr>
              <w:t>tions relatives à la redistribution des expositions sur des administrations publiques vers d'autres cat</w:t>
            </w:r>
            <w:r>
              <w:rPr>
                <w:rFonts w:ascii="Times New Roman" w:hAnsi="Times New Roman"/>
                <w:sz w:val="24"/>
              </w:rPr>
              <w:t>é</w:t>
            </w:r>
            <w:r>
              <w:rPr>
                <w:rFonts w:ascii="Times New Roman" w:hAnsi="Times New Roman"/>
                <w:sz w:val="24"/>
              </w:rPr>
              <w:t>gories d’exposition en raison de l'application de techniques d’atténuation du risque de crédit avec effets de substitution sur l’exposition, qui ne s'appliquent pas.</w:t>
            </w:r>
          </w:p>
          <w:p w:rsidR="00FD54FC" w:rsidRPr="00392FFD" w:rsidRDefault="00FD54FC" w:rsidP="00FD54FC">
            <w:pPr>
              <w:spacing w:before="0" w:after="0"/>
              <w:ind w:left="33"/>
              <w:rPr>
                <w:rFonts w:ascii="Times New Roman" w:hAnsi="Times New Roman"/>
                <w:bCs/>
                <w:sz w:val="24"/>
              </w:rPr>
            </w:pPr>
          </w:p>
        </w:tc>
      </w:tr>
      <w:tr w:rsidR="00FD54FC" w:rsidRPr="00392FFD" w:rsidTr="00FD54FC">
        <w:tc>
          <w:tcPr>
            <w:tcW w:w="1188" w:type="dxa"/>
          </w:tcPr>
          <w:p w:rsidR="00FD54FC" w:rsidRPr="00392FFD" w:rsidRDefault="00FD54FC" w:rsidP="00FD54FC">
            <w:pPr>
              <w:spacing w:before="0" w:after="0"/>
              <w:ind w:left="33"/>
              <w:rPr>
                <w:rFonts w:ascii="Times New Roman" w:hAnsi="Times New Roman"/>
                <w:bCs/>
                <w:sz w:val="24"/>
              </w:rPr>
            </w:pPr>
            <w:r>
              <w:rPr>
                <w:rFonts w:ascii="Times New Roman" w:hAnsi="Times New Roman"/>
                <w:sz w:val="24"/>
              </w:rPr>
              <w:t>060</w:t>
            </w:r>
          </w:p>
        </w:tc>
        <w:tc>
          <w:tcPr>
            <w:tcW w:w="8701" w:type="dxa"/>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Entités du secteur public</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Expositions sur des administrations publiques qui sont des entités du secteur public. Ces expositions sont affectées à la catégorie d’expositions «Entités du secteur public» conformément aux articles 112 et 116 du CRR, comme indiqué dans les instructions r</w:t>
            </w:r>
            <w:r>
              <w:rPr>
                <w:rFonts w:ascii="Times New Roman" w:hAnsi="Times New Roman"/>
                <w:sz w:val="24"/>
              </w:rPr>
              <w:t>e</w:t>
            </w:r>
            <w:r>
              <w:rPr>
                <w:rFonts w:ascii="Times New Roman" w:hAnsi="Times New Roman"/>
                <w:sz w:val="24"/>
              </w:rPr>
              <w:t>latives au modèle C 07.00, à l’exception des indications relatives à la redistribution des expositions sur des administrations publiques vers d'autres catégories d’exposition en raison de l’application de techniques d’atténuation du risque de crédit avec effets de substitution sur l’exposition, qui ne s'appliquent pas.</w:t>
            </w:r>
          </w:p>
          <w:p w:rsidR="00FD54FC" w:rsidRPr="00392FFD" w:rsidRDefault="00FD54FC" w:rsidP="00FD54FC">
            <w:pPr>
              <w:spacing w:before="0" w:after="0"/>
              <w:ind w:left="33"/>
              <w:rPr>
                <w:rFonts w:ascii="Times New Roman" w:hAnsi="Times New Roman"/>
                <w:bCs/>
                <w:sz w:val="24"/>
              </w:rPr>
            </w:pPr>
          </w:p>
        </w:tc>
      </w:tr>
      <w:tr w:rsidR="00FD54FC" w:rsidRPr="00392FFD" w:rsidTr="00FD54FC">
        <w:tc>
          <w:tcPr>
            <w:tcW w:w="1188" w:type="dxa"/>
          </w:tcPr>
          <w:p w:rsidR="00FD54FC" w:rsidRPr="00392FFD" w:rsidRDefault="00FD54FC" w:rsidP="00FD54FC">
            <w:pPr>
              <w:spacing w:before="0" w:after="0"/>
              <w:ind w:left="33"/>
              <w:rPr>
                <w:rFonts w:ascii="Times New Roman" w:hAnsi="Times New Roman"/>
                <w:bCs/>
                <w:sz w:val="24"/>
              </w:rPr>
            </w:pPr>
            <w:r>
              <w:rPr>
                <w:rFonts w:ascii="Times New Roman" w:hAnsi="Times New Roman"/>
                <w:sz w:val="24"/>
              </w:rPr>
              <w:t>070</w:t>
            </w:r>
          </w:p>
        </w:tc>
        <w:tc>
          <w:tcPr>
            <w:tcW w:w="8701" w:type="dxa"/>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Organisations internationales</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Total des expositions sur des administrations publiques qui sont des organisations i</w:t>
            </w:r>
            <w:r>
              <w:rPr>
                <w:rFonts w:ascii="Times New Roman" w:hAnsi="Times New Roman"/>
                <w:sz w:val="24"/>
              </w:rPr>
              <w:t>n</w:t>
            </w:r>
            <w:r>
              <w:rPr>
                <w:rFonts w:ascii="Times New Roman" w:hAnsi="Times New Roman"/>
                <w:sz w:val="24"/>
              </w:rPr>
              <w:t>ternationales. Ces expositions sont affectées à la catégorie d’expositions «Organis</w:t>
            </w:r>
            <w:r>
              <w:rPr>
                <w:rFonts w:ascii="Times New Roman" w:hAnsi="Times New Roman"/>
                <w:sz w:val="24"/>
              </w:rPr>
              <w:t>a</w:t>
            </w:r>
            <w:r>
              <w:rPr>
                <w:rFonts w:ascii="Times New Roman" w:hAnsi="Times New Roman"/>
                <w:sz w:val="24"/>
              </w:rPr>
              <w:t>tions internationales» conformément aux articles 112 et 118 du CRR, comme indiqué dans les instructions relatives au modèle C 07.00, à l’exception des indications rel</w:t>
            </w:r>
            <w:r>
              <w:rPr>
                <w:rFonts w:ascii="Times New Roman" w:hAnsi="Times New Roman"/>
                <w:sz w:val="24"/>
              </w:rPr>
              <w:t>a</w:t>
            </w:r>
            <w:r>
              <w:rPr>
                <w:rFonts w:ascii="Times New Roman" w:hAnsi="Times New Roman"/>
                <w:sz w:val="24"/>
              </w:rPr>
              <w:t>tives à la redistribution des expositions sur des administrations publiques vers d'autres catégories d’exposition en raison de l’application de techniques d’atténuation du risque de crédit avec effets de substitution sur l’exposition, qui ne s'appliquent pas.</w:t>
            </w:r>
          </w:p>
          <w:p w:rsidR="00FD54FC" w:rsidRPr="00392FFD" w:rsidRDefault="00FD54FC" w:rsidP="00FD54FC">
            <w:pPr>
              <w:spacing w:before="0" w:after="0"/>
              <w:ind w:left="33"/>
              <w:rPr>
                <w:rFonts w:ascii="Times New Roman" w:hAnsi="Times New Roman"/>
                <w:b/>
                <w:bCs/>
                <w:sz w:val="24"/>
                <w:u w:val="single"/>
              </w:rPr>
            </w:pPr>
          </w:p>
        </w:tc>
      </w:tr>
      <w:tr w:rsidR="00FD54FC" w:rsidRPr="00392FFD" w:rsidTr="00FD54FC">
        <w:tc>
          <w:tcPr>
            <w:tcW w:w="1188" w:type="dxa"/>
          </w:tcPr>
          <w:p w:rsidR="00FD54FC" w:rsidRPr="00392FFD" w:rsidRDefault="00FD54FC" w:rsidP="00FD54FC">
            <w:pPr>
              <w:spacing w:before="0" w:after="0"/>
              <w:ind w:left="33"/>
              <w:rPr>
                <w:rFonts w:ascii="Times New Roman" w:hAnsi="Times New Roman"/>
                <w:bCs/>
                <w:sz w:val="24"/>
              </w:rPr>
            </w:pPr>
            <w:r>
              <w:rPr>
                <w:rFonts w:ascii="Times New Roman" w:hAnsi="Times New Roman"/>
                <w:sz w:val="24"/>
              </w:rPr>
              <w:t>080</w:t>
            </w:r>
          </w:p>
        </w:tc>
        <w:tc>
          <w:tcPr>
            <w:tcW w:w="8701" w:type="dxa"/>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Approche NI</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Les expositions sur les administrations publiques qui sont pondérées conformément à la partie trois, titre II, chapitre 3 du CRR, y compris les expositions du portefeuille hors négociation pour lesquelles la pondération conformément à ce chapitre concerne le risque de crédit de contrepartie.</w:t>
            </w:r>
          </w:p>
          <w:p w:rsidR="00FD54FC" w:rsidRPr="00392FFD" w:rsidRDefault="00FD54FC" w:rsidP="00FD54FC">
            <w:pPr>
              <w:spacing w:before="0" w:after="0"/>
              <w:ind w:left="33"/>
              <w:rPr>
                <w:rFonts w:ascii="Times New Roman" w:hAnsi="Times New Roman"/>
                <w:bCs/>
                <w:sz w:val="24"/>
              </w:rPr>
            </w:pPr>
          </w:p>
        </w:tc>
      </w:tr>
      <w:tr w:rsidR="00FD54FC" w:rsidRPr="00392FFD" w:rsidTr="00FD54FC">
        <w:tc>
          <w:tcPr>
            <w:tcW w:w="1188" w:type="dxa"/>
          </w:tcPr>
          <w:p w:rsidR="00FD54FC" w:rsidRPr="00392FFD" w:rsidRDefault="00FD54FC" w:rsidP="00FD54FC">
            <w:pPr>
              <w:spacing w:before="0" w:after="0"/>
              <w:ind w:left="33"/>
              <w:rPr>
                <w:rFonts w:ascii="Times New Roman" w:hAnsi="Times New Roman"/>
                <w:bCs/>
                <w:sz w:val="24"/>
              </w:rPr>
            </w:pPr>
            <w:r>
              <w:rPr>
                <w:rFonts w:ascii="Times New Roman" w:hAnsi="Times New Roman"/>
                <w:sz w:val="24"/>
              </w:rPr>
              <w:t>090</w:t>
            </w:r>
          </w:p>
        </w:tc>
        <w:tc>
          <w:tcPr>
            <w:tcW w:w="8701" w:type="dxa"/>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Administrations centrales</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Les expositions sur des administrations publiques qui sont des administrations ce</w:t>
            </w:r>
            <w:r>
              <w:rPr>
                <w:rFonts w:ascii="Times New Roman" w:hAnsi="Times New Roman"/>
                <w:sz w:val="24"/>
              </w:rPr>
              <w:t>n</w:t>
            </w:r>
            <w:r>
              <w:rPr>
                <w:rFonts w:ascii="Times New Roman" w:hAnsi="Times New Roman"/>
                <w:sz w:val="24"/>
              </w:rPr>
              <w:t>trales et qui sont affectées à la catégorie d’expositions «Administrations centrales et banques centrales» conformément à l'article 147, paragraphe 3, point a), du CRR, comme ind</w:t>
            </w:r>
            <w:r>
              <w:rPr>
                <w:rFonts w:ascii="Times New Roman" w:hAnsi="Times New Roman"/>
                <w:sz w:val="24"/>
              </w:rPr>
              <w:t>i</w:t>
            </w:r>
            <w:r>
              <w:rPr>
                <w:rFonts w:ascii="Times New Roman" w:hAnsi="Times New Roman"/>
                <w:sz w:val="24"/>
              </w:rPr>
              <w:t>qué dans les instructions relatives aux modèles C 08.01 et C 08.02, à l’exception des indications relatives à la redistribution des expositions sur des administrations p</w:t>
            </w:r>
            <w:r>
              <w:rPr>
                <w:rFonts w:ascii="Times New Roman" w:hAnsi="Times New Roman"/>
                <w:sz w:val="24"/>
              </w:rPr>
              <w:t>u</w:t>
            </w:r>
            <w:r>
              <w:rPr>
                <w:rFonts w:ascii="Times New Roman" w:hAnsi="Times New Roman"/>
                <w:sz w:val="24"/>
              </w:rPr>
              <w:t>bliques vers d'autres catégories d’exposition en raison de l'application de techniques d’atténuation du risque de crédit avec effets de substitution sur l’exposition, qui ne s'appliquent pas.</w:t>
            </w:r>
          </w:p>
          <w:p w:rsidR="00FD54FC" w:rsidRPr="00392FFD" w:rsidRDefault="00FD54FC" w:rsidP="00FD54FC">
            <w:pPr>
              <w:spacing w:before="0" w:after="0"/>
              <w:ind w:left="33"/>
              <w:rPr>
                <w:rFonts w:ascii="Times New Roman" w:hAnsi="Times New Roman"/>
                <w:bCs/>
                <w:sz w:val="24"/>
              </w:rPr>
            </w:pPr>
          </w:p>
        </w:tc>
      </w:tr>
      <w:tr w:rsidR="00FD54FC" w:rsidRPr="00392FFD" w:rsidTr="00FD54FC">
        <w:tc>
          <w:tcPr>
            <w:tcW w:w="1188" w:type="dxa"/>
          </w:tcPr>
          <w:p w:rsidR="00FD54FC" w:rsidRPr="00321A3B" w:rsidRDefault="00FD54FC" w:rsidP="00FD54FC">
            <w:pPr>
              <w:spacing w:before="0" w:after="0"/>
              <w:ind w:left="33"/>
              <w:rPr>
                <w:rFonts w:ascii="Times New Roman" w:hAnsi="Times New Roman"/>
                <w:bCs/>
                <w:sz w:val="24"/>
              </w:rPr>
            </w:pPr>
            <w:r>
              <w:rPr>
                <w:rFonts w:ascii="Times New Roman" w:hAnsi="Times New Roman"/>
                <w:sz w:val="24"/>
              </w:rPr>
              <w:lastRenderedPageBreak/>
              <w:t>100</w:t>
            </w:r>
          </w:p>
        </w:tc>
        <w:tc>
          <w:tcPr>
            <w:tcW w:w="8701" w:type="dxa"/>
          </w:tcPr>
          <w:p w:rsidR="00FD54FC" w:rsidRPr="00321A3B" w:rsidRDefault="00FD54FC" w:rsidP="00FD54FC">
            <w:pPr>
              <w:spacing w:before="0" w:after="0"/>
              <w:ind w:left="33"/>
              <w:rPr>
                <w:rFonts w:ascii="Times New Roman" w:hAnsi="Times New Roman"/>
                <w:b/>
                <w:bCs/>
                <w:sz w:val="24"/>
                <w:u w:val="single"/>
              </w:rPr>
            </w:pPr>
            <w:r>
              <w:rPr>
                <w:rFonts w:ascii="Times New Roman" w:hAnsi="Times New Roman"/>
                <w:b/>
                <w:sz w:val="24"/>
                <w:u w:val="single"/>
              </w:rPr>
              <w:t>Administrations régionales ou locales [Administrations centrales et banques ce</w:t>
            </w:r>
            <w:r>
              <w:rPr>
                <w:rFonts w:ascii="Times New Roman" w:hAnsi="Times New Roman"/>
                <w:b/>
                <w:sz w:val="24"/>
                <w:u w:val="single"/>
              </w:rPr>
              <w:t>n</w:t>
            </w:r>
            <w:r>
              <w:rPr>
                <w:rFonts w:ascii="Times New Roman" w:hAnsi="Times New Roman"/>
                <w:b/>
                <w:sz w:val="24"/>
                <w:u w:val="single"/>
              </w:rPr>
              <w:t>trales]</w:t>
            </w:r>
          </w:p>
          <w:p w:rsidR="00FD54FC" w:rsidRPr="00321A3B"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Les expositions sur des administrations publiques qui sont des administrations régi</w:t>
            </w:r>
            <w:r>
              <w:rPr>
                <w:rFonts w:ascii="Times New Roman" w:hAnsi="Times New Roman"/>
                <w:sz w:val="24"/>
              </w:rPr>
              <w:t>o</w:t>
            </w:r>
            <w:r>
              <w:rPr>
                <w:rFonts w:ascii="Times New Roman" w:hAnsi="Times New Roman"/>
                <w:sz w:val="24"/>
              </w:rPr>
              <w:t>nales ou locales et qui sont affectées à la catégorie d’expositions «Administrations ce</w:t>
            </w:r>
            <w:r>
              <w:rPr>
                <w:rFonts w:ascii="Times New Roman" w:hAnsi="Times New Roman"/>
                <w:sz w:val="24"/>
              </w:rPr>
              <w:t>n</w:t>
            </w:r>
            <w:r>
              <w:rPr>
                <w:rFonts w:ascii="Times New Roman" w:hAnsi="Times New Roman"/>
                <w:sz w:val="24"/>
              </w:rPr>
              <w:t>trales et banques centrales» conformément à l'article 147, paragraphe 3, point a), du CRR, comme indiqué dans les instructions relatives aux modèles C 08.01 et C 08.02, à l’exception des indications relatives à la redistribution des expositions sur des admini</w:t>
            </w:r>
            <w:r>
              <w:rPr>
                <w:rFonts w:ascii="Times New Roman" w:hAnsi="Times New Roman"/>
                <w:sz w:val="24"/>
              </w:rPr>
              <w:t>s</w:t>
            </w:r>
            <w:r>
              <w:rPr>
                <w:rFonts w:ascii="Times New Roman" w:hAnsi="Times New Roman"/>
                <w:sz w:val="24"/>
              </w:rPr>
              <w:t>trations publiques vers d'autres catégories d’exposition en raison de l'application de techniques d’atténuation du risque de crédit avec effets de substitution sur l’exposition, qui ne s'appliquent pas.</w:t>
            </w:r>
          </w:p>
          <w:p w:rsidR="00FD54FC" w:rsidRPr="00392FFD" w:rsidRDefault="00FD54FC" w:rsidP="00FD54FC">
            <w:pPr>
              <w:spacing w:before="0" w:after="0"/>
              <w:ind w:left="33"/>
              <w:rPr>
                <w:rFonts w:ascii="Times New Roman" w:hAnsi="Times New Roman"/>
                <w:bCs/>
                <w:sz w:val="24"/>
              </w:rPr>
            </w:pPr>
          </w:p>
        </w:tc>
      </w:tr>
      <w:tr w:rsidR="00FD54FC" w:rsidRPr="00392FFD" w:rsidTr="00FD54FC">
        <w:tc>
          <w:tcPr>
            <w:tcW w:w="1188" w:type="dxa"/>
          </w:tcPr>
          <w:p w:rsidR="00FD54FC" w:rsidRPr="00392FFD" w:rsidRDefault="00FD54FC" w:rsidP="00FD54FC">
            <w:pPr>
              <w:spacing w:before="0" w:after="0"/>
              <w:ind w:left="33"/>
              <w:rPr>
                <w:rFonts w:ascii="Times New Roman" w:hAnsi="Times New Roman"/>
                <w:bCs/>
                <w:sz w:val="24"/>
              </w:rPr>
            </w:pPr>
            <w:r>
              <w:rPr>
                <w:rFonts w:ascii="Times New Roman" w:hAnsi="Times New Roman"/>
                <w:sz w:val="24"/>
              </w:rPr>
              <w:t>110</w:t>
            </w:r>
          </w:p>
        </w:tc>
        <w:tc>
          <w:tcPr>
            <w:tcW w:w="8701" w:type="dxa"/>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Administrations régionales ou locales [Établissements]</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Les expositions sur des administrations publiques qui sont des administrations régi</w:t>
            </w:r>
            <w:r>
              <w:rPr>
                <w:rFonts w:ascii="Times New Roman" w:hAnsi="Times New Roman"/>
                <w:sz w:val="24"/>
              </w:rPr>
              <w:t>o</w:t>
            </w:r>
            <w:r>
              <w:rPr>
                <w:rFonts w:ascii="Times New Roman" w:hAnsi="Times New Roman"/>
                <w:sz w:val="24"/>
              </w:rPr>
              <w:t>nales ou locales et qui sont affectées à la catégorie d’expositions «Établissements» co</w:t>
            </w:r>
            <w:r>
              <w:rPr>
                <w:rFonts w:ascii="Times New Roman" w:hAnsi="Times New Roman"/>
                <w:sz w:val="24"/>
              </w:rPr>
              <w:t>n</w:t>
            </w:r>
            <w:r>
              <w:rPr>
                <w:rFonts w:ascii="Times New Roman" w:hAnsi="Times New Roman"/>
                <w:sz w:val="24"/>
              </w:rPr>
              <w:t>formément à l'article 147, paragraphe 4, point a), du CRR, comme indiqué dans les in</w:t>
            </w:r>
            <w:r>
              <w:rPr>
                <w:rFonts w:ascii="Times New Roman" w:hAnsi="Times New Roman"/>
                <w:sz w:val="24"/>
              </w:rPr>
              <w:t>s</w:t>
            </w:r>
            <w:r>
              <w:rPr>
                <w:rFonts w:ascii="Times New Roman" w:hAnsi="Times New Roman"/>
                <w:sz w:val="24"/>
              </w:rPr>
              <w:t>tructions relatives aux modèles C 08.01 et C 08.02, à l’exception des indications rel</w:t>
            </w:r>
            <w:r>
              <w:rPr>
                <w:rFonts w:ascii="Times New Roman" w:hAnsi="Times New Roman"/>
                <w:sz w:val="24"/>
              </w:rPr>
              <w:t>a</w:t>
            </w:r>
            <w:r>
              <w:rPr>
                <w:rFonts w:ascii="Times New Roman" w:hAnsi="Times New Roman"/>
                <w:sz w:val="24"/>
              </w:rPr>
              <w:t>tives à la redistribution des expositions sur des administrations publiques vers d'autres catégories d’exposition en raison de l'application de techniques d’atténuation du risque de crédit avec effets de substitution sur l’exposition, qui ne s'appliquent pas.</w:t>
            </w:r>
          </w:p>
          <w:p w:rsidR="00FD54FC" w:rsidRPr="00392FFD" w:rsidRDefault="00FD54FC" w:rsidP="00FD54FC">
            <w:pPr>
              <w:spacing w:before="0" w:after="0"/>
              <w:ind w:left="33"/>
              <w:rPr>
                <w:rFonts w:ascii="Times New Roman" w:hAnsi="Times New Roman"/>
                <w:bCs/>
                <w:sz w:val="24"/>
              </w:rPr>
            </w:pPr>
          </w:p>
        </w:tc>
      </w:tr>
      <w:tr w:rsidR="00FD54FC" w:rsidRPr="00392FFD" w:rsidTr="00FD54FC">
        <w:tc>
          <w:tcPr>
            <w:tcW w:w="1188" w:type="dxa"/>
          </w:tcPr>
          <w:p w:rsidR="00FD54FC" w:rsidRPr="00392FFD" w:rsidRDefault="00FD54FC" w:rsidP="00FD54FC">
            <w:pPr>
              <w:spacing w:before="0" w:after="0"/>
              <w:ind w:left="33"/>
              <w:rPr>
                <w:rFonts w:ascii="Times New Roman" w:hAnsi="Times New Roman"/>
                <w:bCs/>
                <w:sz w:val="24"/>
              </w:rPr>
            </w:pPr>
            <w:r>
              <w:rPr>
                <w:rFonts w:ascii="Times New Roman" w:hAnsi="Times New Roman"/>
                <w:sz w:val="24"/>
              </w:rPr>
              <w:t>120</w:t>
            </w:r>
          </w:p>
        </w:tc>
        <w:tc>
          <w:tcPr>
            <w:tcW w:w="8701" w:type="dxa"/>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Entités du secteur public [Administrations centrales et banques centrales]</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Les expositions sur des administrations publiques qui sont des entités du secteur p</w:t>
            </w:r>
            <w:r>
              <w:rPr>
                <w:rFonts w:ascii="Times New Roman" w:hAnsi="Times New Roman"/>
                <w:sz w:val="24"/>
              </w:rPr>
              <w:t>u</w:t>
            </w:r>
            <w:r>
              <w:rPr>
                <w:rFonts w:ascii="Times New Roman" w:hAnsi="Times New Roman"/>
                <w:sz w:val="24"/>
              </w:rPr>
              <w:t>blic conformément à l'article 4, point 8), du CRR et qui sont affectées à la catégorie d’expositions «Administrations centrales et banques centrales» conformément à l'a</w:t>
            </w:r>
            <w:r>
              <w:rPr>
                <w:rFonts w:ascii="Times New Roman" w:hAnsi="Times New Roman"/>
                <w:sz w:val="24"/>
              </w:rPr>
              <w:t>r</w:t>
            </w:r>
            <w:r>
              <w:rPr>
                <w:rFonts w:ascii="Times New Roman" w:hAnsi="Times New Roman"/>
                <w:sz w:val="24"/>
              </w:rPr>
              <w:t>ticle 147, paragraphe 3, point a), du CRR, comme indiqué dans les instructions rel</w:t>
            </w:r>
            <w:r>
              <w:rPr>
                <w:rFonts w:ascii="Times New Roman" w:hAnsi="Times New Roman"/>
                <w:sz w:val="24"/>
              </w:rPr>
              <w:t>a</w:t>
            </w:r>
            <w:r>
              <w:rPr>
                <w:rFonts w:ascii="Times New Roman" w:hAnsi="Times New Roman"/>
                <w:sz w:val="24"/>
              </w:rPr>
              <w:t>tives aux modèles C 08.01 et C 08.02, à l’exception des indications relatives à la redistribution des expositions sur des administrations publiques vers d'autres catégories d’exposition en raison de l'application de techniques d’atténuation du risque de crédit avec effets de substitution sur l’exposition, qui ne s'appliquent pas.</w:t>
            </w:r>
          </w:p>
          <w:p w:rsidR="00FD54FC" w:rsidRPr="00392FFD" w:rsidRDefault="00FD54FC" w:rsidP="00FD54FC">
            <w:pPr>
              <w:spacing w:before="0" w:after="0"/>
              <w:ind w:left="33"/>
              <w:rPr>
                <w:rFonts w:ascii="Times New Roman" w:hAnsi="Times New Roman"/>
                <w:bCs/>
                <w:sz w:val="24"/>
              </w:rPr>
            </w:pPr>
          </w:p>
        </w:tc>
      </w:tr>
      <w:tr w:rsidR="00FD54FC" w:rsidRPr="00392FFD" w:rsidTr="00FD54FC">
        <w:tc>
          <w:tcPr>
            <w:tcW w:w="1188" w:type="dxa"/>
          </w:tcPr>
          <w:p w:rsidR="00FD54FC" w:rsidRPr="00392FFD" w:rsidRDefault="00FD54FC" w:rsidP="00FD54FC">
            <w:pPr>
              <w:spacing w:before="0" w:after="0"/>
              <w:ind w:left="33"/>
              <w:rPr>
                <w:rFonts w:ascii="Times New Roman" w:hAnsi="Times New Roman"/>
                <w:bCs/>
                <w:sz w:val="24"/>
              </w:rPr>
            </w:pPr>
            <w:r>
              <w:rPr>
                <w:rFonts w:ascii="Times New Roman" w:hAnsi="Times New Roman"/>
                <w:sz w:val="24"/>
              </w:rPr>
              <w:t>130</w:t>
            </w:r>
          </w:p>
        </w:tc>
        <w:tc>
          <w:tcPr>
            <w:tcW w:w="8701" w:type="dxa"/>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Entités du secteur public [Établissements]</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Les expositions sur des administrations publiques qui sont des entités du secteur p</w:t>
            </w:r>
            <w:r>
              <w:rPr>
                <w:rFonts w:ascii="Times New Roman" w:hAnsi="Times New Roman"/>
                <w:sz w:val="24"/>
              </w:rPr>
              <w:t>u</w:t>
            </w:r>
            <w:r>
              <w:rPr>
                <w:rFonts w:ascii="Times New Roman" w:hAnsi="Times New Roman"/>
                <w:sz w:val="24"/>
              </w:rPr>
              <w:t>blic conformément à l’article 4, point 8), du CRR et qui sont affectées à la catégorie d’expositions «Établissements» conformément à l'article 147, paragraphe 4, point b), du CRR, comme indiqué dans les instructions relatives aux modèles C 08.01 et C 08.02, à l’exception des indications relatives à la redistribution des expositions sur des admini</w:t>
            </w:r>
            <w:r>
              <w:rPr>
                <w:rFonts w:ascii="Times New Roman" w:hAnsi="Times New Roman"/>
                <w:sz w:val="24"/>
              </w:rPr>
              <w:t>s</w:t>
            </w:r>
            <w:r>
              <w:rPr>
                <w:rFonts w:ascii="Times New Roman" w:hAnsi="Times New Roman"/>
                <w:sz w:val="24"/>
              </w:rPr>
              <w:t>trations publiques vers d'autres catégories d’exposition en raison de l'application de techniques d’atténuation du risque de crédit avec effets de substitution sur l’exposition, qui ne s'appliquent pas.</w:t>
            </w:r>
          </w:p>
          <w:p w:rsidR="00FD54FC" w:rsidRPr="00392FFD" w:rsidRDefault="00FD54FC" w:rsidP="00FD54FC">
            <w:pPr>
              <w:spacing w:before="0" w:after="0"/>
              <w:ind w:left="33"/>
              <w:rPr>
                <w:rFonts w:ascii="Times New Roman" w:hAnsi="Times New Roman"/>
                <w:bCs/>
                <w:sz w:val="24"/>
              </w:rPr>
            </w:pPr>
          </w:p>
        </w:tc>
      </w:tr>
      <w:tr w:rsidR="00FD54FC" w:rsidRPr="00392FFD" w:rsidTr="00FD54FC">
        <w:tc>
          <w:tcPr>
            <w:tcW w:w="1188" w:type="dxa"/>
          </w:tcPr>
          <w:p w:rsidR="00FD54FC" w:rsidRPr="00392FFD" w:rsidDel="00C211CB" w:rsidRDefault="00FD54FC" w:rsidP="00FD54FC">
            <w:pPr>
              <w:spacing w:before="0" w:after="0"/>
              <w:ind w:left="33"/>
              <w:rPr>
                <w:rFonts w:ascii="Times New Roman" w:hAnsi="Times New Roman"/>
                <w:bCs/>
                <w:sz w:val="24"/>
              </w:rPr>
            </w:pPr>
            <w:r>
              <w:rPr>
                <w:rFonts w:ascii="Times New Roman" w:hAnsi="Times New Roman"/>
                <w:sz w:val="24"/>
              </w:rPr>
              <w:t>140</w:t>
            </w:r>
          </w:p>
        </w:tc>
        <w:tc>
          <w:tcPr>
            <w:tcW w:w="8701" w:type="dxa"/>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Organisations internationales [Administrations centrales et banques centrales]</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Les expositions sur des administrations publiques qui sont des organisations internati</w:t>
            </w:r>
            <w:r>
              <w:rPr>
                <w:rFonts w:ascii="Times New Roman" w:hAnsi="Times New Roman"/>
                <w:sz w:val="24"/>
              </w:rPr>
              <w:t>o</w:t>
            </w:r>
            <w:r>
              <w:rPr>
                <w:rFonts w:ascii="Times New Roman" w:hAnsi="Times New Roman"/>
                <w:sz w:val="24"/>
              </w:rPr>
              <w:t xml:space="preserve">nales et qui sont affectées à la catégorie d’expositions «Administrations centrales et banques centrales» conformément à l'article 147, paragraphe 3, point a), du CRR, </w:t>
            </w:r>
            <w:r>
              <w:rPr>
                <w:rFonts w:ascii="Times New Roman" w:hAnsi="Times New Roman"/>
                <w:sz w:val="24"/>
              </w:rPr>
              <w:lastRenderedPageBreak/>
              <w:t>comme indiqué dans les instructions relatives aux modèles C 08.01 et C 08.02, à l’exception des indications relatives à la redistribution des expositions sur des admini</w:t>
            </w:r>
            <w:r>
              <w:rPr>
                <w:rFonts w:ascii="Times New Roman" w:hAnsi="Times New Roman"/>
                <w:sz w:val="24"/>
              </w:rPr>
              <w:t>s</w:t>
            </w:r>
            <w:r>
              <w:rPr>
                <w:rFonts w:ascii="Times New Roman" w:hAnsi="Times New Roman"/>
                <w:sz w:val="24"/>
              </w:rPr>
              <w:t>trations publiques vers d'autres catégories d’exposition en raison de l'application de techniques d’atténuation du risque de crédit avec effets de substitution sur l’exposition, qui ne s'appliquent pas.</w:t>
            </w:r>
          </w:p>
          <w:p w:rsidR="00FD54FC" w:rsidRPr="00392FFD" w:rsidRDefault="00FD54FC" w:rsidP="00FD54FC">
            <w:pPr>
              <w:spacing w:before="0" w:after="0"/>
              <w:ind w:left="33"/>
              <w:rPr>
                <w:rFonts w:ascii="Times New Roman" w:hAnsi="Times New Roman"/>
                <w:b/>
                <w:bCs/>
                <w:sz w:val="24"/>
                <w:u w:val="single"/>
              </w:rPr>
            </w:pPr>
          </w:p>
        </w:tc>
      </w:tr>
      <w:tr w:rsidR="00FD54FC" w:rsidRPr="00392FFD" w:rsidTr="00FD54FC">
        <w:tc>
          <w:tcPr>
            <w:tcW w:w="1188" w:type="dxa"/>
          </w:tcPr>
          <w:p w:rsidR="00FD54FC" w:rsidRPr="00392FFD" w:rsidDel="00C211CB" w:rsidRDefault="00FD54FC" w:rsidP="00FD54FC">
            <w:pPr>
              <w:spacing w:before="0" w:after="0"/>
              <w:ind w:left="33"/>
              <w:rPr>
                <w:rFonts w:ascii="Times New Roman" w:hAnsi="Times New Roman"/>
                <w:bCs/>
                <w:sz w:val="24"/>
              </w:rPr>
            </w:pPr>
            <w:r>
              <w:rPr>
                <w:rFonts w:ascii="Times New Roman" w:hAnsi="Times New Roman"/>
                <w:sz w:val="24"/>
              </w:rPr>
              <w:lastRenderedPageBreak/>
              <w:t>150</w:t>
            </w:r>
          </w:p>
        </w:tc>
        <w:tc>
          <w:tcPr>
            <w:tcW w:w="8701" w:type="dxa"/>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Organisations internationales [Établissements]</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Les expositions sur des administrations publiques qui sont des organisations internati</w:t>
            </w:r>
            <w:r>
              <w:rPr>
                <w:rFonts w:ascii="Times New Roman" w:hAnsi="Times New Roman"/>
                <w:sz w:val="24"/>
              </w:rPr>
              <w:t>o</w:t>
            </w:r>
            <w:r>
              <w:rPr>
                <w:rFonts w:ascii="Times New Roman" w:hAnsi="Times New Roman"/>
                <w:sz w:val="24"/>
              </w:rPr>
              <w:t>nales et qui sont affectées à la catégorie d’expositions «Établissements» confo</w:t>
            </w:r>
            <w:r>
              <w:rPr>
                <w:rFonts w:ascii="Times New Roman" w:hAnsi="Times New Roman"/>
                <w:sz w:val="24"/>
              </w:rPr>
              <w:t>r</w:t>
            </w:r>
            <w:r>
              <w:rPr>
                <w:rFonts w:ascii="Times New Roman" w:hAnsi="Times New Roman"/>
                <w:sz w:val="24"/>
              </w:rPr>
              <w:t>mément à l'article 147, paragraphe 4, point a), du CRR, comme indiqué dans les instructions r</w:t>
            </w:r>
            <w:r>
              <w:rPr>
                <w:rFonts w:ascii="Times New Roman" w:hAnsi="Times New Roman"/>
                <w:sz w:val="24"/>
              </w:rPr>
              <w:t>e</w:t>
            </w:r>
            <w:r>
              <w:rPr>
                <w:rFonts w:ascii="Times New Roman" w:hAnsi="Times New Roman"/>
                <w:sz w:val="24"/>
              </w:rPr>
              <w:t>latives aux modèles C 08.01 et C 08.02, à l’exception des indications relatives à la r</w:t>
            </w:r>
            <w:r>
              <w:rPr>
                <w:rFonts w:ascii="Times New Roman" w:hAnsi="Times New Roman"/>
                <w:sz w:val="24"/>
              </w:rPr>
              <w:t>e</w:t>
            </w:r>
            <w:r>
              <w:rPr>
                <w:rFonts w:ascii="Times New Roman" w:hAnsi="Times New Roman"/>
                <w:sz w:val="24"/>
              </w:rPr>
              <w:t>distribution des expositions sur des administrations publiques vers d'autres catégories d’exposition en raison de l'application de techniques d’atténuation du risque de crédit avec effets de substitution sur l’exposition, qui ne s'appliquent pas.</w:t>
            </w:r>
          </w:p>
          <w:p w:rsidR="00FD54FC" w:rsidRPr="00392FFD" w:rsidRDefault="00FD54FC" w:rsidP="00FD54FC">
            <w:pPr>
              <w:spacing w:before="0" w:after="0"/>
              <w:ind w:left="33"/>
              <w:rPr>
                <w:rFonts w:ascii="Times New Roman" w:hAnsi="Times New Roman"/>
                <w:b/>
                <w:bCs/>
                <w:sz w:val="24"/>
                <w:u w:val="single"/>
              </w:rPr>
            </w:pPr>
          </w:p>
        </w:tc>
      </w:tr>
      <w:tr w:rsidR="00FD54FC" w:rsidRPr="00392FFD" w:rsidTr="00FD54FC">
        <w:tc>
          <w:tcPr>
            <w:tcW w:w="1188" w:type="dxa"/>
          </w:tcPr>
          <w:p w:rsidR="00FD54FC" w:rsidRPr="00392FFD" w:rsidRDefault="00FD54FC" w:rsidP="00FD54FC">
            <w:pPr>
              <w:spacing w:before="0" w:after="0"/>
              <w:ind w:left="33"/>
              <w:rPr>
                <w:rFonts w:ascii="Times New Roman" w:hAnsi="Times New Roman"/>
                <w:bCs/>
                <w:sz w:val="24"/>
              </w:rPr>
            </w:pPr>
            <w:r>
              <w:rPr>
                <w:rFonts w:ascii="Times New Roman" w:hAnsi="Times New Roman"/>
                <w:sz w:val="24"/>
              </w:rPr>
              <w:t>160</w:t>
            </w:r>
          </w:p>
        </w:tc>
        <w:tc>
          <w:tcPr>
            <w:tcW w:w="8701" w:type="dxa"/>
          </w:tcPr>
          <w:p w:rsidR="00FD54FC" w:rsidRPr="00392FFD" w:rsidRDefault="00FD54FC" w:rsidP="00FD54FC">
            <w:pPr>
              <w:spacing w:before="0" w:after="0"/>
              <w:ind w:left="33"/>
              <w:rPr>
                <w:rFonts w:ascii="Times New Roman" w:hAnsi="Times New Roman"/>
                <w:b/>
                <w:bCs/>
                <w:sz w:val="24"/>
                <w:u w:val="single"/>
              </w:rPr>
            </w:pPr>
            <w:r>
              <w:rPr>
                <w:rFonts w:ascii="Times New Roman" w:hAnsi="Times New Roman"/>
                <w:b/>
                <w:sz w:val="24"/>
                <w:u w:val="single"/>
              </w:rPr>
              <w:t>Expositions soumises au risque de marché</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Les expositions au risque de marché couvrent les positions pour lesquelles des ex</w:t>
            </w:r>
            <w:r>
              <w:rPr>
                <w:rFonts w:ascii="Times New Roman" w:hAnsi="Times New Roman"/>
                <w:sz w:val="24"/>
              </w:rPr>
              <w:t>i</w:t>
            </w:r>
            <w:r>
              <w:rPr>
                <w:rFonts w:ascii="Times New Roman" w:hAnsi="Times New Roman"/>
                <w:sz w:val="24"/>
              </w:rPr>
              <w:t>gences de fonds propres sont calculées conformément au titre IV de la partie trois du CRR.</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Les expositions directes sur des dérivés soumis à la fois à des exigences de fonds propres pour risque de crédit de contrepartie et pour risque de marché seront déclarées à la fois dans les lignes sur le risque de crédit (020 à 150) et dans la ligne sur le risque de marché (ligne 160). Cependant, les expositions pondérées dues au risque de crédit de contrepartie seront déclarées dans les lignes relatives au risque de crédit tandis que celles dues au risque de marché pour ces dérivés seront déclarées dans la ligne rel</w:t>
            </w:r>
            <w:r>
              <w:rPr>
                <w:rFonts w:ascii="Times New Roman" w:hAnsi="Times New Roman"/>
                <w:sz w:val="24"/>
              </w:rPr>
              <w:t>a</w:t>
            </w:r>
            <w:r>
              <w:rPr>
                <w:rFonts w:ascii="Times New Roman" w:hAnsi="Times New Roman"/>
                <w:sz w:val="24"/>
              </w:rPr>
              <w:t>tive au risque de marché.</w:t>
            </w:r>
          </w:p>
          <w:p w:rsidR="00FD54FC" w:rsidRPr="00392FFD" w:rsidRDefault="00FD54FC" w:rsidP="00FD54FC">
            <w:pPr>
              <w:spacing w:before="0" w:after="0"/>
              <w:ind w:left="33"/>
              <w:rPr>
                <w:rFonts w:ascii="Times New Roman" w:hAnsi="Times New Roman"/>
                <w:bCs/>
                <w:sz w:val="24"/>
              </w:rPr>
            </w:pPr>
          </w:p>
        </w:tc>
      </w:tr>
      <w:tr w:rsidR="00FD54FC" w:rsidRPr="00392FFD" w:rsidTr="00FD54FC">
        <w:tc>
          <w:tcPr>
            <w:tcW w:w="1188" w:type="dxa"/>
          </w:tcPr>
          <w:p w:rsidR="00FD54FC" w:rsidRPr="00392FFD" w:rsidRDefault="00FD54FC" w:rsidP="00B74792">
            <w:pPr>
              <w:spacing w:before="0" w:after="0"/>
              <w:ind w:left="33"/>
              <w:rPr>
                <w:rFonts w:ascii="Times New Roman" w:hAnsi="Times New Roman"/>
                <w:bCs/>
                <w:sz w:val="24"/>
              </w:rPr>
            </w:pPr>
            <w:r>
              <w:rPr>
                <w:rFonts w:ascii="Times New Roman" w:hAnsi="Times New Roman"/>
                <w:sz w:val="24"/>
              </w:rPr>
              <w:t>170-230</w:t>
            </w:r>
          </w:p>
        </w:tc>
        <w:tc>
          <w:tcPr>
            <w:tcW w:w="8701" w:type="dxa"/>
          </w:tcPr>
          <w:p w:rsidR="00FD54FC" w:rsidRPr="00392FFD" w:rsidRDefault="00FD54FC" w:rsidP="00FD54FC">
            <w:pPr>
              <w:spacing w:before="0" w:after="0"/>
              <w:ind w:left="33"/>
              <w:rPr>
                <w:rFonts w:ascii="Times New Roman" w:hAnsi="Times New Roman"/>
                <w:b/>
                <w:bCs/>
                <w:sz w:val="24"/>
              </w:rPr>
            </w:pPr>
            <w:r>
              <w:rPr>
                <w:rFonts w:ascii="Times New Roman" w:hAnsi="Times New Roman"/>
                <w:b/>
                <w:sz w:val="24"/>
              </w:rPr>
              <w:t>RÉPARTITION DES EXPOSITIONS PAR ÉCHÉANCE RÉSIDUELLE</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L’échéance résiduelle correspond au nombre de jours séparant la date contractuelle d'échéance et la date de référence de la déclaration pour toutes les positions.</w:t>
            </w:r>
          </w:p>
          <w:p w:rsidR="00FD54FC" w:rsidRPr="00392FFD" w:rsidRDefault="00FD54FC" w:rsidP="00FD54FC">
            <w:pPr>
              <w:spacing w:before="0" w:after="0"/>
              <w:ind w:left="33"/>
              <w:rPr>
                <w:rFonts w:ascii="Times New Roman" w:hAnsi="Times New Roman"/>
                <w:bCs/>
                <w:sz w:val="24"/>
              </w:rPr>
            </w:pPr>
          </w:p>
          <w:p w:rsidR="00FD54FC" w:rsidRPr="00392FFD" w:rsidRDefault="00FD54FC" w:rsidP="00FD54FC">
            <w:pPr>
              <w:spacing w:before="0" w:after="0"/>
              <w:ind w:left="33"/>
              <w:rPr>
                <w:rFonts w:ascii="Times New Roman" w:hAnsi="Times New Roman"/>
                <w:bCs/>
                <w:sz w:val="24"/>
              </w:rPr>
            </w:pPr>
            <w:r>
              <w:rPr>
                <w:rFonts w:ascii="Times New Roman" w:hAnsi="Times New Roman"/>
                <w:sz w:val="24"/>
              </w:rPr>
              <w:t>Les expositions sur les administrations publiques seront ventilées en fonction de l’échéance résiduelle et affectées aux différentes catégories d’échéance prévues de la manière suivante:</w:t>
            </w:r>
          </w:p>
          <w:p w:rsidR="00FD54FC" w:rsidRPr="00392FFD" w:rsidRDefault="00FD54FC" w:rsidP="00FD54FC">
            <w:pPr>
              <w:spacing w:before="0" w:after="0"/>
              <w:ind w:left="33"/>
              <w:rPr>
                <w:rFonts w:ascii="Times New Roman" w:hAnsi="Times New Roman"/>
                <w:bCs/>
                <w:sz w:val="24"/>
              </w:rPr>
            </w:pPr>
          </w:p>
          <w:p w:rsidR="00FD54FC" w:rsidRPr="00392FFD" w:rsidRDefault="00125707" w:rsidP="0023700C">
            <w:pPr>
              <w:spacing w:before="0" w:after="0"/>
              <w:ind w:left="808" w:hanging="360"/>
              <w:rPr>
                <w:rFonts w:ascii="Symbol" w:hAnsi="Symbol"/>
                <w:bCs/>
                <w:sz w:val="24"/>
              </w:rPr>
            </w:pPr>
            <w:r>
              <w:tab/>
            </w:r>
            <w:r>
              <w:rPr>
                <w:rFonts w:ascii="Times New Roman" w:hAnsi="Times New Roman"/>
                <w:b/>
                <w:sz w:val="24"/>
              </w:rPr>
              <w:t>[ 0 - 3M [</w:t>
            </w:r>
            <w:r>
              <w:rPr>
                <w:rFonts w:ascii="Times New Roman" w:hAnsi="Times New Roman"/>
                <w:sz w:val="24"/>
              </w:rPr>
              <w:t xml:space="preserve"> : Moins de 90 jours</w:t>
            </w:r>
          </w:p>
          <w:p w:rsidR="00FD54FC" w:rsidRPr="00392FFD" w:rsidRDefault="00125707" w:rsidP="0023700C">
            <w:pPr>
              <w:spacing w:before="0" w:after="0"/>
              <w:ind w:left="808" w:hanging="360"/>
              <w:rPr>
                <w:rFonts w:ascii="Symbol" w:hAnsi="Symbol"/>
                <w:bCs/>
                <w:sz w:val="24"/>
              </w:rPr>
            </w:pPr>
            <w:r>
              <w:tab/>
            </w:r>
            <w:r>
              <w:rPr>
                <w:rFonts w:ascii="Times New Roman" w:hAnsi="Times New Roman"/>
                <w:b/>
                <w:sz w:val="24"/>
              </w:rPr>
              <w:t>[ 3M - 1A [</w:t>
            </w:r>
            <w:r>
              <w:rPr>
                <w:rFonts w:ascii="Times New Roman" w:hAnsi="Times New Roman"/>
                <w:sz w:val="24"/>
              </w:rPr>
              <w:t xml:space="preserve"> : Supérieur ou égal à 90 jours et inférieur à 365 jours</w:t>
            </w:r>
          </w:p>
          <w:p w:rsidR="00FD54FC" w:rsidRPr="00392FFD" w:rsidRDefault="00125707" w:rsidP="0023700C">
            <w:pPr>
              <w:spacing w:before="0" w:after="0"/>
              <w:ind w:left="808" w:hanging="360"/>
              <w:rPr>
                <w:rFonts w:ascii="Symbol" w:hAnsi="Symbol"/>
                <w:bCs/>
                <w:sz w:val="24"/>
              </w:rPr>
            </w:pPr>
            <w:r>
              <w:tab/>
            </w:r>
            <w:r>
              <w:rPr>
                <w:rFonts w:ascii="Times New Roman" w:hAnsi="Times New Roman"/>
                <w:b/>
                <w:sz w:val="24"/>
              </w:rPr>
              <w:t>[ 1A – 2A [</w:t>
            </w:r>
            <w:r>
              <w:rPr>
                <w:rFonts w:ascii="Times New Roman" w:hAnsi="Times New Roman"/>
                <w:sz w:val="24"/>
              </w:rPr>
              <w:t xml:space="preserve"> : Supérieur ou égal à 365 jours et inférieur à 730 jours</w:t>
            </w:r>
          </w:p>
          <w:p w:rsidR="00FD54FC" w:rsidRPr="00392FFD" w:rsidRDefault="00125707" w:rsidP="0023700C">
            <w:pPr>
              <w:spacing w:before="0" w:after="0"/>
              <w:ind w:left="808" w:hanging="360"/>
              <w:rPr>
                <w:rFonts w:ascii="Symbol" w:hAnsi="Symbol"/>
                <w:bCs/>
                <w:sz w:val="24"/>
              </w:rPr>
            </w:pPr>
            <w:r>
              <w:tab/>
            </w:r>
            <w:r>
              <w:rPr>
                <w:rFonts w:ascii="Times New Roman" w:hAnsi="Times New Roman"/>
                <w:b/>
                <w:sz w:val="24"/>
              </w:rPr>
              <w:t>[ 2A – 3A [</w:t>
            </w:r>
            <w:r>
              <w:rPr>
                <w:rFonts w:ascii="Times New Roman" w:hAnsi="Times New Roman"/>
                <w:sz w:val="24"/>
              </w:rPr>
              <w:t xml:space="preserve"> : Supérieur ou égal à 730 jours et inférieur à 1 095 jours</w:t>
            </w:r>
          </w:p>
          <w:p w:rsidR="00FD54FC" w:rsidRPr="00392FFD" w:rsidRDefault="00125707" w:rsidP="0023700C">
            <w:pPr>
              <w:spacing w:before="0" w:after="0"/>
              <w:ind w:left="808" w:hanging="360"/>
              <w:rPr>
                <w:rFonts w:ascii="Symbol" w:hAnsi="Symbol"/>
                <w:bCs/>
                <w:sz w:val="24"/>
              </w:rPr>
            </w:pPr>
            <w:r>
              <w:tab/>
            </w:r>
            <w:r>
              <w:rPr>
                <w:rFonts w:ascii="Times New Roman" w:hAnsi="Times New Roman"/>
                <w:b/>
                <w:sz w:val="24"/>
              </w:rPr>
              <w:t>[ 3A – 5A [</w:t>
            </w:r>
            <w:r>
              <w:rPr>
                <w:rFonts w:ascii="Times New Roman" w:hAnsi="Times New Roman"/>
                <w:sz w:val="24"/>
              </w:rPr>
              <w:t xml:space="preserve"> : Supérieur ou égal à 1 095 jours et inférieur à 1 825 jours</w:t>
            </w:r>
          </w:p>
          <w:p w:rsidR="00FD54FC" w:rsidRPr="00392FFD" w:rsidRDefault="00125707" w:rsidP="0023700C">
            <w:pPr>
              <w:spacing w:before="0" w:after="0"/>
              <w:ind w:left="808" w:hanging="360"/>
              <w:rPr>
                <w:rFonts w:ascii="Symbol" w:hAnsi="Symbol"/>
                <w:bCs/>
                <w:sz w:val="24"/>
              </w:rPr>
            </w:pPr>
            <w:r>
              <w:tab/>
            </w:r>
            <w:r>
              <w:rPr>
                <w:rFonts w:ascii="Times New Roman" w:hAnsi="Times New Roman"/>
                <w:b/>
                <w:sz w:val="24"/>
              </w:rPr>
              <w:t>[ 5A – 10A [</w:t>
            </w:r>
            <w:r>
              <w:rPr>
                <w:rFonts w:ascii="Times New Roman" w:hAnsi="Times New Roman"/>
                <w:sz w:val="24"/>
              </w:rPr>
              <w:t xml:space="preserve"> : Supérieur ou égal à 1 825 jours et inférieur à 3 650 jours</w:t>
            </w:r>
          </w:p>
          <w:p w:rsidR="00FD54FC" w:rsidRPr="00392FFD" w:rsidRDefault="00125707" w:rsidP="0023700C">
            <w:pPr>
              <w:spacing w:before="0" w:after="0"/>
              <w:ind w:left="808" w:hanging="360"/>
              <w:rPr>
                <w:rFonts w:ascii="Symbol" w:hAnsi="Symbol"/>
                <w:bCs/>
                <w:sz w:val="24"/>
              </w:rPr>
            </w:pPr>
            <w:r>
              <w:tab/>
            </w:r>
            <w:r>
              <w:rPr>
                <w:rFonts w:ascii="Times New Roman" w:hAnsi="Times New Roman"/>
                <w:b/>
                <w:sz w:val="24"/>
              </w:rPr>
              <w:t>[ 10A – plus</w:t>
            </w:r>
            <w:r>
              <w:rPr>
                <w:rFonts w:ascii="Times New Roman" w:hAnsi="Times New Roman"/>
                <w:sz w:val="24"/>
              </w:rPr>
              <w:t xml:space="preserve"> : Supérieur ou égal à 3 650 jours </w:t>
            </w:r>
          </w:p>
          <w:p w:rsidR="00FD54FC" w:rsidRPr="00392FFD" w:rsidRDefault="00FD54FC" w:rsidP="00FD54FC">
            <w:pPr>
              <w:spacing w:before="0" w:after="0"/>
              <w:ind w:left="33"/>
              <w:rPr>
                <w:rFonts w:ascii="Times New Roman" w:hAnsi="Times New Roman"/>
                <w:bCs/>
                <w:sz w:val="24"/>
              </w:rPr>
            </w:pPr>
          </w:p>
        </w:tc>
      </w:tr>
    </w:tbl>
    <w:p w:rsidR="00FD54FC" w:rsidRPr="00392FFD" w:rsidRDefault="00FD54FC" w:rsidP="00C61FF5">
      <w:pPr>
        <w:rPr>
          <w:rStyle w:val="InstructionsTabelleText"/>
          <w:rFonts w:ascii="Times New Roman" w:hAnsi="Times New Roman"/>
          <w:sz w:val="24"/>
        </w:rPr>
      </w:pPr>
    </w:p>
    <w:sectPr w:rsidR="00FD54FC" w:rsidRPr="00392FFD" w:rsidSect="00B51F42">
      <w:footerReference w:type="even" r:id="rId13"/>
      <w:footerReference w:type="default" r:id="rId14"/>
      <w:headerReference w:type="first" r:id="rId15"/>
      <w:endnotePr>
        <w:numFmt w:val="decimal"/>
      </w:endnotePr>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4ED7" w:rsidRDefault="00024ED7" w:rsidP="00D946DB">
      <w:pPr>
        <w:spacing w:before="0" w:after="0"/>
      </w:pPr>
      <w:r>
        <w:separator/>
      </w:r>
    </w:p>
  </w:endnote>
  <w:endnote w:type="continuationSeparator" w:id="0">
    <w:p w:rsidR="00024ED7" w:rsidRDefault="00024ED7" w:rsidP="00D946DB">
      <w:pPr>
        <w:spacing w:before="0" w:after="0"/>
      </w:pPr>
      <w:r>
        <w:continuationSeparator/>
      </w:r>
    </w:p>
  </w:endnote>
  <w:endnote w:type="continuationNotice" w:id="1">
    <w:p w:rsidR="00024ED7" w:rsidRDefault="00024ED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4ED7" w:rsidRPr="00ED1956" w:rsidRDefault="00024ED7">
    <w:pPr>
      <w:pStyle w:val="Footer"/>
      <w:jc w:val="right"/>
      <w:rPr>
        <w:rFonts w:ascii="Times New Roman" w:hAnsi="Times New Roman"/>
        <w:sz w:val="22"/>
        <w:szCs w:val="22"/>
      </w:rPr>
    </w:pPr>
    <w:r w:rsidRPr="00ED1956">
      <w:rPr>
        <w:rFonts w:ascii="Times New Roman" w:hAnsi="Times New Roman"/>
        <w:sz w:val="22"/>
        <w:szCs w:val="22"/>
      </w:rPr>
      <w:fldChar w:fldCharType="begin"/>
    </w:r>
    <w:r w:rsidRPr="00ED1956">
      <w:rPr>
        <w:rFonts w:ascii="Times New Roman" w:hAnsi="Times New Roman"/>
        <w:sz w:val="22"/>
        <w:szCs w:val="22"/>
      </w:rPr>
      <w:instrText xml:space="preserve"> PAGE   \* MERGEFORMAT </w:instrText>
    </w:r>
    <w:r w:rsidRPr="00ED1956">
      <w:rPr>
        <w:rFonts w:ascii="Times New Roman" w:hAnsi="Times New Roman"/>
        <w:sz w:val="22"/>
        <w:szCs w:val="22"/>
      </w:rPr>
      <w:fldChar w:fldCharType="separate"/>
    </w:r>
    <w:r w:rsidR="00573EC2">
      <w:rPr>
        <w:rFonts w:ascii="Times New Roman" w:hAnsi="Times New Roman"/>
        <w:noProof/>
        <w:sz w:val="22"/>
        <w:szCs w:val="22"/>
      </w:rPr>
      <w:t>6</w:t>
    </w:r>
    <w:r w:rsidRPr="00ED1956">
      <w:rPr>
        <w:rFonts w:ascii="Times New Roman" w:hAnsi="Times New Roman"/>
        <w:sz w:val="22"/>
        <w:szCs w:val="22"/>
      </w:rPr>
      <w:fldChar w:fldCharType="end"/>
    </w:r>
  </w:p>
  <w:p w:rsidR="00024ED7" w:rsidRDefault="00024ED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4ED7" w:rsidRPr="00E85358" w:rsidRDefault="00024ED7">
    <w:pPr>
      <w:pStyle w:val="Footer"/>
      <w:jc w:val="right"/>
      <w:rPr>
        <w:sz w:val="22"/>
        <w:szCs w:val="22"/>
      </w:rPr>
    </w:pPr>
    <w:r w:rsidRPr="00E85358">
      <w:rPr>
        <w:sz w:val="22"/>
        <w:szCs w:val="22"/>
      </w:rPr>
      <w:fldChar w:fldCharType="begin"/>
    </w:r>
    <w:r w:rsidRPr="00E85358">
      <w:rPr>
        <w:sz w:val="22"/>
        <w:szCs w:val="22"/>
      </w:rPr>
      <w:instrText xml:space="preserve"> PAGE   \* MERGEFORMAT </w:instrText>
    </w:r>
    <w:r w:rsidRPr="00E85358">
      <w:rPr>
        <w:sz w:val="22"/>
        <w:szCs w:val="22"/>
      </w:rPr>
      <w:fldChar w:fldCharType="separate"/>
    </w:r>
    <w:r w:rsidR="00573EC2">
      <w:rPr>
        <w:noProof/>
        <w:sz w:val="22"/>
        <w:szCs w:val="22"/>
      </w:rPr>
      <w:t>1</w:t>
    </w:r>
    <w:r w:rsidRPr="00E85358">
      <w:rPr>
        <w:noProof/>
        <w:sz w:val="22"/>
        <w:szCs w:val="22"/>
      </w:rPr>
      <w:fldChar w:fldCharType="end"/>
    </w:r>
  </w:p>
  <w:p w:rsidR="00024ED7" w:rsidRDefault="00024ED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4ED7" w:rsidRDefault="00024ED7">
    <w:pPr>
      <w:pStyle w:val="Footer"/>
      <w:framePr w:wrap="auto" w:vAnchor="text" w:hAnchor="margin" w:xAlign="right" w:y="1"/>
      <w:rPr>
        <w:rStyle w:val="PageNumber"/>
        <w:szCs w:val="22"/>
      </w:rPr>
    </w:pPr>
    <w:r>
      <w:rPr>
        <w:rStyle w:val="PageNumber"/>
        <w:szCs w:val="22"/>
      </w:rPr>
      <w:fldChar w:fldCharType="begin"/>
    </w:r>
    <w:r>
      <w:rPr>
        <w:rStyle w:val="PageNumber"/>
        <w:szCs w:val="22"/>
      </w:rPr>
      <w:instrText xml:space="preserve">PAGE  </w:instrText>
    </w:r>
    <w:r>
      <w:rPr>
        <w:rStyle w:val="PageNumber"/>
        <w:szCs w:val="22"/>
      </w:rPr>
      <w:fldChar w:fldCharType="separate"/>
    </w:r>
    <w:r>
      <w:rPr>
        <w:rStyle w:val="PageNumber"/>
        <w:noProof/>
        <w:szCs w:val="22"/>
      </w:rPr>
      <w:t>183</w:t>
    </w:r>
    <w:r>
      <w:rPr>
        <w:rStyle w:val="PageNumber"/>
        <w:szCs w:val="22"/>
      </w:rPr>
      <w:fldChar w:fldCharType="end"/>
    </w:r>
  </w:p>
  <w:p w:rsidR="00024ED7" w:rsidRDefault="00024ED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4ED7" w:rsidRPr="00ED1956" w:rsidRDefault="00024ED7">
    <w:pPr>
      <w:pStyle w:val="Footer"/>
      <w:jc w:val="right"/>
      <w:rPr>
        <w:rFonts w:ascii="Times New Roman" w:hAnsi="Times New Roman"/>
        <w:sz w:val="20"/>
        <w:szCs w:val="20"/>
      </w:rPr>
    </w:pPr>
    <w:r w:rsidRPr="00ED1956">
      <w:rPr>
        <w:rFonts w:ascii="Times New Roman" w:hAnsi="Times New Roman"/>
        <w:sz w:val="20"/>
        <w:szCs w:val="20"/>
      </w:rPr>
      <w:fldChar w:fldCharType="begin"/>
    </w:r>
    <w:r w:rsidRPr="00ED1956">
      <w:rPr>
        <w:rFonts w:ascii="Times New Roman" w:hAnsi="Times New Roman"/>
        <w:sz w:val="20"/>
        <w:szCs w:val="20"/>
      </w:rPr>
      <w:instrText xml:space="preserve"> PAGE   \* MERGEFORMAT </w:instrText>
    </w:r>
    <w:r w:rsidRPr="00ED1956">
      <w:rPr>
        <w:rFonts w:ascii="Times New Roman" w:hAnsi="Times New Roman"/>
        <w:sz w:val="20"/>
        <w:szCs w:val="20"/>
      </w:rPr>
      <w:fldChar w:fldCharType="separate"/>
    </w:r>
    <w:r w:rsidR="00573EC2">
      <w:rPr>
        <w:rFonts w:ascii="Times New Roman" w:hAnsi="Times New Roman"/>
        <w:noProof/>
        <w:sz w:val="20"/>
        <w:szCs w:val="20"/>
      </w:rPr>
      <w:t>208</w:t>
    </w:r>
    <w:r w:rsidRPr="00ED1956">
      <w:rPr>
        <w:rFonts w:ascii="Times New Roman" w:hAnsi="Times New Roman"/>
        <w:sz w:val="20"/>
        <w:szCs w:val="20"/>
      </w:rPr>
      <w:fldChar w:fldCharType="end"/>
    </w:r>
  </w:p>
  <w:p w:rsidR="00024ED7" w:rsidRPr="00A772B4" w:rsidRDefault="00024ED7" w:rsidP="00A772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4ED7" w:rsidRDefault="00024ED7" w:rsidP="00D946DB">
      <w:pPr>
        <w:spacing w:before="0" w:after="0"/>
      </w:pPr>
      <w:r>
        <w:separator/>
      </w:r>
    </w:p>
  </w:footnote>
  <w:footnote w:type="continuationSeparator" w:id="0">
    <w:p w:rsidR="00024ED7" w:rsidRDefault="00024ED7" w:rsidP="00D946DB">
      <w:pPr>
        <w:spacing w:before="0" w:after="0"/>
      </w:pPr>
      <w:r>
        <w:continuationSeparator/>
      </w:r>
    </w:p>
  </w:footnote>
  <w:footnote w:type="continuationNotice" w:id="1">
    <w:p w:rsidR="00024ED7" w:rsidRDefault="00024ED7">
      <w:pPr>
        <w:spacing w:before="0" w:after="0"/>
      </w:pPr>
    </w:p>
  </w:footnote>
  <w:footnote w:id="2">
    <w:p w:rsidR="00024ED7" w:rsidRPr="0017440D" w:rsidRDefault="00024ED7" w:rsidP="00612780">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Les données exigées des établissements dans ce modèle seront déclarées sur une base cumulée pour l'année civile ou le rapport de l'exercice (soit depuis le 1</w:t>
      </w:r>
      <w:r>
        <w:rPr>
          <w:rFonts w:ascii="Times New Roman" w:hAnsi="Times New Roman"/>
          <w:vertAlign w:val="superscript"/>
        </w:rPr>
        <w:t>er</w:t>
      </w:r>
      <w:r>
        <w:rPr>
          <w:rFonts w:ascii="Times New Roman" w:hAnsi="Times New Roman"/>
        </w:rPr>
        <w:t xml:space="preserve"> janvier de l'année en cours).</w:t>
      </w:r>
    </w:p>
  </w:footnote>
  <w:footnote w:id="3">
    <w:p w:rsidR="00024ED7" w:rsidRPr="0017440D" w:rsidRDefault="00024ED7" w:rsidP="00612780">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Les «établissements indépendants» ne font pas partie d'un groupe et ne se consolident pas eux-mêmes dans le pays où ils sont soumis aux exigences de fonds propres.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4ED7" w:rsidRDefault="00024ED7">
    <w:pPr>
      <w:rPr>
        <w:rFonts w:ascii="Arial" w:hAnsi="Arial" w:cs="Aria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139C3"/>
    <w:multiLevelType w:val="hybridMultilevel"/>
    <w:tmpl w:val="5EC8873A"/>
    <w:lvl w:ilvl="0" w:tplc="040A0017">
      <w:start w:val="4"/>
      <w:numFmt w:val="bullet"/>
      <w:lvlText w:val="-"/>
      <w:lvlJc w:val="left"/>
      <w:pPr>
        <w:ind w:left="720" w:hanging="360"/>
      </w:pPr>
      <w:rPr>
        <w:rFonts w:ascii="Arial" w:eastAsia="Times New Roman" w:hAnsi="Aria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nsid w:val="03BD1A91"/>
    <w:multiLevelType w:val="hybridMultilevel"/>
    <w:tmpl w:val="E1E0F2EE"/>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05CD3A99"/>
    <w:multiLevelType w:val="hybridMultilevel"/>
    <w:tmpl w:val="B9D49566"/>
    <w:lvl w:ilvl="0" w:tplc="D2024F70">
      <w:start w:val="1"/>
      <w:numFmt w:val="bullet"/>
      <w:pStyle w:val="Aufzhlungszeichen1"/>
      <w:lvlText w:val=""/>
      <w:lvlJc w:val="left"/>
      <w:pPr>
        <w:tabs>
          <w:tab w:val="num" w:pos="360"/>
        </w:tabs>
        <w:ind w:left="360" w:hanging="360"/>
      </w:pPr>
      <w:rPr>
        <w:rFonts w:ascii="Symbol" w:hAnsi="Symbol" w:hint="default"/>
        <w:color w:val="auto"/>
        <w:sz w:val="28"/>
      </w:rPr>
    </w:lvl>
    <w:lvl w:ilvl="1" w:tplc="FBC0B1D0" w:tentative="1">
      <w:start w:val="1"/>
      <w:numFmt w:val="bullet"/>
      <w:lvlText w:val="o"/>
      <w:lvlJc w:val="left"/>
      <w:pPr>
        <w:tabs>
          <w:tab w:val="num" w:pos="1440"/>
        </w:tabs>
        <w:ind w:left="1440" w:hanging="360"/>
      </w:pPr>
      <w:rPr>
        <w:rFonts w:ascii="Courier New" w:hAnsi="Courier New" w:hint="default"/>
      </w:rPr>
    </w:lvl>
    <w:lvl w:ilvl="2" w:tplc="0B0AEBA8" w:tentative="1">
      <w:start w:val="1"/>
      <w:numFmt w:val="bullet"/>
      <w:lvlText w:val=""/>
      <w:lvlJc w:val="left"/>
      <w:pPr>
        <w:tabs>
          <w:tab w:val="num" w:pos="2160"/>
        </w:tabs>
        <w:ind w:left="2160" w:hanging="360"/>
      </w:pPr>
      <w:rPr>
        <w:rFonts w:ascii="Wingdings" w:hAnsi="Wingdings" w:hint="default"/>
      </w:rPr>
    </w:lvl>
    <w:lvl w:ilvl="3" w:tplc="320AF0DE" w:tentative="1">
      <w:start w:val="1"/>
      <w:numFmt w:val="bullet"/>
      <w:lvlText w:val=""/>
      <w:lvlJc w:val="left"/>
      <w:pPr>
        <w:tabs>
          <w:tab w:val="num" w:pos="2880"/>
        </w:tabs>
        <w:ind w:left="2880" w:hanging="360"/>
      </w:pPr>
      <w:rPr>
        <w:rFonts w:ascii="Symbol" w:hAnsi="Symbol" w:hint="default"/>
      </w:rPr>
    </w:lvl>
    <w:lvl w:ilvl="4" w:tplc="FCE445B6" w:tentative="1">
      <w:start w:val="1"/>
      <w:numFmt w:val="bullet"/>
      <w:lvlText w:val="o"/>
      <w:lvlJc w:val="left"/>
      <w:pPr>
        <w:tabs>
          <w:tab w:val="num" w:pos="3600"/>
        </w:tabs>
        <w:ind w:left="3600" w:hanging="360"/>
      </w:pPr>
      <w:rPr>
        <w:rFonts w:ascii="Courier New" w:hAnsi="Courier New" w:hint="default"/>
      </w:rPr>
    </w:lvl>
    <w:lvl w:ilvl="5" w:tplc="BD46C1E4" w:tentative="1">
      <w:start w:val="1"/>
      <w:numFmt w:val="bullet"/>
      <w:lvlText w:val=""/>
      <w:lvlJc w:val="left"/>
      <w:pPr>
        <w:tabs>
          <w:tab w:val="num" w:pos="4320"/>
        </w:tabs>
        <w:ind w:left="4320" w:hanging="360"/>
      </w:pPr>
      <w:rPr>
        <w:rFonts w:ascii="Wingdings" w:hAnsi="Wingdings" w:hint="default"/>
      </w:rPr>
    </w:lvl>
    <w:lvl w:ilvl="6" w:tplc="DCB491D4" w:tentative="1">
      <w:start w:val="1"/>
      <w:numFmt w:val="bullet"/>
      <w:lvlText w:val=""/>
      <w:lvlJc w:val="left"/>
      <w:pPr>
        <w:tabs>
          <w:tab w:val="num" w:pos="5040"/>
        </w:tabs>
        <w:ind w:left="5040" w:hanging="360"/>
      </w:pPr>
      <w:rPr>
        <w:rFonts w:ascii="Symbol" w:hAnsi="Symbol" w:hint="default"/>
      </w:rPr>
    </w:lvl>
    <w:lvl w:ilvl="7" w:tplc="00762622" w:tentative="1">
      <w:start w:val="1"/>
      <w:numFmt w:val="bullet"/>
      <w:lvlText w:val="o"/>
      <w:lvlJc w:val="left"/>
      <w:pPr>
        <w:tabs>
          <w:tab w:val="num" w:pos="5760"/>
        </w:tabs>
        <w:ind w:left="5760" w:hanging="360"/>
      </w:pPr>
      <w:rPr>
        <w:rFonts w:ascii="Courier New" w:hAnsi="Courier New" w:hint="default"/>
      </w:rPr>
    </w:lvl>
    <w:lvl w:ilvl="8" w:tplc="49DCE7E8" w:tentative="1">
      <w:start w:val="1"/>
      <w:numFmt w:val="bullet"/>
      <w:lvlText w:val=""/>
      <w:lvlJc w:val="left"/>
      <w:pPr>
        <w:tabs>
          <w:tab w:val="num" w:pos="6480"/>
        </w:tabs>
        <w:ind w:left="6480" w:hanging="360"/>
      </w:pPr>
      <w:rPr>
        <w:rFonts w:ascii="Wingdings" w:hAnsi="Wingdings" w:hint="default"/>
      </w:rPr>
    </w:lvl>
  </w:abstractNum>
  <w:abstractNum w:abstractNumId="3">
    <w:nsid w:val="0885788B"/>
    <w:multiLevelType w:val="hybridMultilevel"/>
    <w:tmpl w:val="8C14563E"/>
    <w:lvl w:ilvl="0" w:tplc="08090017">
      <w:start w:val="1"/>
      <w:numFmt w:val="lowerLetter"/>
      <w:lvlText w:val="%1)"/>
      <w:lvlJc w:val="left"/>
      <w:pPr>
        <w:ind w:left="1428" w:hanging="360"/>
      </w:pPr>
    </w:lvl>
    <w:lvl w:ilvl="1" w:tplc="08090019" w:tentative="1">
      <w:start w:val="1"/>
      <w:numFmt w:val="lowerLetter"/>
      <w:lvlText w:val="%2."/>
      <w:lvlJc w:val="left"/>
      <w:pPr>
        <w:ind w:left="2148" w:hanging="360"/>
      </w:pPr>
    </w:lvl>
    <w:lvl w:ilvl="2" w:tplc="0809001B" w:tentative="1">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4">
    <w:nsid w:val="09CA3F84"/>
    <w:multiLevelType w:val="hybridMultilevel"/>
    <w:tmpl w:val="FB020016"/>
    <w:lvl w:ilvl="0" w:tplc="08090017">
      <w:start w:val="1"/>
      <w:numFmt w:val="lowerLetter"/>
      <w:lvlText w:val="%1)"/>
      <w:lvlJc w:val="left"/>
      <w:pPr>
        <w:ind w:left="753" w:hanging="360"/>
      </w:pPr>
    </w:lvl>
    <w:lvl w:ilvl="1" w:tplc="08090019" w:tentative="1">
      <w:start w:val="1"/>
      <w:numFmt w:val="lowerLetter"/>
      <w:lvlText w:val="%2."/>
      <w:lvlJc w:val="left"/>
      <w:pPr>
        <w:ind w:left="1473" w:hanging="360"/>
      </w:pPr>
    </w:lvl>
    <w:lvl w:ilvl="2" w:tplc="0809001B" w:tentative="1">
      <w:start w:val="1"/>
      <w:numFmt w:val="lowerRoman"/>
      <w:lvlText w:val="%3."/>
      <w:lvlJc w:val="right"/>
      <w:pPr>
        <w:ind w:left="2193" w:hanging="180"/>
      </w:pPr>
    </w:lvl>
    <w:lvl w:ilvl="3" w:tplc="0809000F" w:tentative="1">
      <w:start w:val="1"/>
      <w:numFmt w:val="decimal"/>
      <w:lvlText w:val="%4."/>
      <w:lvlJc w:val="left"/>
      <w:pPr>
        <w:ind w:left="2913" w:hanging="360"/>
      </w:pPr>
    </w:lvl>
    <w:lvl w:ilvl="4" w:tplc="08090019" w:tentative="1">
      <w:start w:val="1"/>
      <w:numFmt w:val="lowerLetter"/>
      <w:lvlText w:val="%5."/>
      <w:lvlJc w:val="left"/>
      <w:pPr>
        <w:ind w:left="3633" w:hanging="360"/>
      </w:pPr>
    </w:lvl>
    <w:lvl w:ilvl="5" w:tplc="0809001B" w:tentative="1">
      <w:start w:val="1"/>
      <w:numFmt w:val="lowerRoman"/>
      <w:lvlText w:val="%6."/>
      <w:lvlJc w:val="right"/>
      <w:pPr>
        <w:ind w:left="4353" w:hanging="180"/>
      </w:pPr>
    </w:lvl>
    <w:lvl w:ilvl="6" w:tplc="0809000F" w:tentative="1">
      <w:start w:val="1"/>
      <w:numFmt w:val="decimal"/>
      <w:lvlText w:val="%7."/>
      <w:lvlJc w:val="left"/>
      <w:pPr>
        <w:ind w:left="5073" w:hanging="360"/>
      </w:pPr>
    </w:lvl>
    <w:lvl w:ilvl="7" w:tplc="08090019" w:tentative="1">
      <w:start w:val="1"/>
      <w:numFmt w:val="lowerLetter"/>
      <w:lvlText w:val="%8."/>
      <w:lvlJc w:val="left"/>
      <w:pPr>
        <w:ind w:left="5793" w:hanging="360"/>
      </w:pPr>
    </w:lvl>
    <w:lvl w:ilvl="8" w:tplc="0809001B" w:tentative="1">
      <w:start w:val="1"/>
      <w:numFmt w:val="lowerRoman"/>
      <w:lvlText w:val="%9."/>
      <w:lvlJc w:val="right"/>
      <w:pPr>
        <w:ind w:left="6513" w:hanging="180"/>
      </w:pPr>
    </w:lvl>
  </w:abstractNum>
  <w:abstractNum w:abstractNumId="5">
    <w:nsid w:val="11FA5F78"/>
    <w:multiLevelType w:val="hybridMultilevel"/>
    <w:tmpl w:val="B16ACCC2"/>
    <w:lvl w:ilvl="0" w:tplc="08090017">
      <w:start w:val="1"/>
      <w:numFmt w:val="lowerLetter"/>
      <w:lvlText w:val="%1)"/>
      <w:lvlJc w:val="left"/>
      <w:pPr>
        <w:ind w:left="753" w:hanging="360"/>
      </w:pPr>
    </w:lvl>
    <w:lvl w:ilvl="1" w:tplc="08090019" w:tentative="1">
      <w:start w:val="1"/>
      <w:numFmt w:val="lowerLetter"/>
      <w:lvlText w:val="%2."/>
      <w:lvlJc w:val="left"/>
      <w:pPr>
        <w:ind w:left="1473" w:hanging="360"/>
      </w:pPr>
    </w:lvl>
    <w:lvl w:ilvl="2" w:tplc="0809001B" w:tentative="1">
      <w:start w:val="1"/>
      <w:numFmt w:val="lowerRoman"/>
      <w:lvlText w:val="%3."/>
      <w:lvlJc w:val="right"/>
      <w:pPr>
        <w:ind w:left="2193" w:hanging="180"/>
      </w:pPr>
    </w:lvl>
    <w:lvl w:ilvl="3" w:tplc="0809000F" w:tentative="1">
      <w:start w:val="1"/>
      <w:numFmt w:val="decimal"/>
      <w:lvlText w:val="%4."/>
      <w:lvlJc w:val="left"/>
      <w:pPr>
        <w:ind w:left="2913" w:hanging="360"/>
      </w:pPr>
    </w:lvl>
    <w:lvl w:ilvl="4" w:tplc="08090019" w:tentative="1">
      <w:start w:val="1"/>
      <w:numFmt w:val="lowerLetter"/>
      <w:lvlText w:val="%5."/>
      <w:lvlJc w:val="left"/>
      <w:pPr>
        <w:ind w:left="3633" w:hanging="360"/>
      </w:pPr>
    </w:lvl>
    <w:lvl w:ilvl="5" w:tplc="0809001B" w:tentative="1">
      <w:start w:val="1"/>
      <w:numFmt w:val="lowerRoman"/>
      <w:lvlText w:val="%6."/>
      <w:lvlJc w:val="right"/>
      <w:pPr>
        <w:ind w:left="4353" w:hanging="180"/>
      </w:pPr>
    </w:lvl>
    <w:lvl w:ilvl="6" w:tplc="0809000F" w:tentative="1">
      <w:start w:val="1"/>
      <w:numFmt w:val="decimal"/>
      <w:lvlText w:val="%7."/>
      <w:lvlJc w:val="left"/>
      <w:pPr>
        <w:ind w:left="5073" w:hanging="360"/>
      </w:pPr>
    </w:lvl>
    <w:lvl w:ilvl="7" w:tplc="08090019" w:tentative="1">
      <w:start w:val="1"/>
      <w:numFmt w:val="lowerLetter"/>
      <w:lvlText w:val="%8."/>
      <w:lvlJc w:val="left"/>
      <w:pPr>
        <w:ind w:left="5793" w:hanging="360"/>
      </w:pPr>
    </w:lvl>
    <w:lvl w:ilvl="8" w:tplc="0809001B" w:tentative="1">
      <w:start w:val="1"/>
      <w:numFmt w:val="lowerRoman"/>
      <w:lvlText w:val="%9."/>
      <w:lvlJc w:val="right"/>
      <w:pPr>
        <w:ind w:left="6513" w:hanging="180"/>
      </w:pPr>
    </w:lvl>
  </w:abstractNum>
  <w:abstractNum w:abstractNumId="6">
    <w:nsid w:val="13710F59"/>
    <w:multiLevelType w:val="multilevel"/>
    <w:tmpl w:val="6348284C"/>
    <w:lvl w:ilvl="0">
      <w:start w:val="1"/>
      <w:numFmt w:val="decimal"/>
      <w:pStyle w:val="Baseparagraphnumbered"/>
      <w:lvlText w:val="%1."/>
      <w:lvlJc w:val="left"/>
      <w:pPr>
        <w:ind w:left="1637" w:hanging="360"/>
      </w:pPr>
      <w:rPr>
        <w:rFonts w:cs="Times New Roman" w:hint="default"/>
      </w:rPr>
    </w:lvl>
    <w:lvl w:ilvl="1">
      <w:start w:val="1"/>
      <w:numFmt w:val="lowerLetter"/>
      <w:lvlText w:val="%2."/>
      <w:lvlJc w:val="left"/>
      <w:pPr>
        <w:ind w:left="2007" w:hanging="360"/>
      </w:pPr>
      <w:rPr>
        <w:rFonts w:cs="Times New Roman" w:hint="default"/>
      </w:rPr>
    </w:lvl>
    <w:lvl w:ilvl="2">
      <w:start w:val="1"/>
      <w:numFmt w:val="lowerRoman"/>
      <w:lvlText w:val="%3."/>
      <w:lvlJc w:val="right"/>
      <w:pPr>
        <w:ind w:left="2727" w:hanging="180"/>
      </w:pPr>
      <w:rPr>
        <w:rFonts w:cs="Times New Roman" w:hint="default"/>
      </w:rPr>
    </w:lvl>
    <w:lvl w:ilvl="3">
      <w:start w:val="1"/>
      <w:numFmt w:val="decimal"/>
      <w:lvlText w:val="%4."/>
      <w:lvlJc w:val="left"/>
      <w:pPr>
        <w:ind w:left="3447" w:hanging="360"/>
      </w:pPr>
      <w:rPr>
        <w:rFonts w:cs="Times New Roman" w:hint="default"/>
      </w:rPr>
    </w:lvl>
    <w:lvl w:ilvl="4">
      <w:start w:val="1"/>
      <w:numFmt w:val="lowerLetter"/>
      <w:lvlText w:val="%5."/>
      <w:lvlJc w:val="left"/>
      <w:pPr>
        <w:ind w:left="4167" w:hanging="360"/>
      </w:pPr>
      <w:rPr>
        <w:rFonts w:cs="Times New Roman" w:hint="default"/>
      </w:rPr>
    </w:lvl>
    <w:lvl w:ilvl="5">
      <w:start w:val="1"/>
      <w:numFmt w:val="lowerRoman"/>
      <w:lvlText w:val="%6."/>
      <w:lvlJc w:val="right"/>
      <w:pPr>
        <w:ind w:left="4887" w:hanging="180"/>
      </w:pPr>
      <w:rPr>
        <w:rFonts w:cs="Times New Roman" w:hint="default"/>
      </w:rPr>
    </w:lvl>
    <w:lvl w:ilvl="6">
      <w:start w:val="1"/>
      <w:numFmt w:val="decimal"/>
      <w:lvlText w:val="%7."/>
      <w:lvlJc w:val="left"/>
      <w:pPr>
        <w:ind w:left="5607" w:hanging="360"/>
      </w:pPr>
      <w:rPr>
        <w:rFonts w:cs="Times New Roman" w:hint="default"/>
      </w:rPr>
    </w:lvl>
    <w:lvl w:ilvl="7">
      <w:start w:val="1"/>
      <w:numFmt w:val="lowerLetter"/>
      <w:lvlText w:val="%8."/>
      <w:lvlJc w:val="left"/>
      <w:pPr>
        <w:ind w:left="6327" w:hanging="360"/>
      </w:pPr>
      <w:rPr>
        <w:rFonts w:cs="Times New Roman" w:hint="default"/>
      </w:rPr>
    </w:lvl>
    <w:lvl w:ilvl="8">
      <w:start w:val="1"/>
      <w:numFmt w:val="lowerRoman"/>
      <w:lvlText w:val="%9."/>
      <w:lvlJc w:val="right"/>
      <w:pPr>
        <w:ind w:left="7047" w:hanging="180"/>
      </w:pPr>
      <w:rPr>
        <w:rFonts w:cs="Times New Roman" w:hint="default"/>
      </w:rPr>
    </w:lvl>
  </w:abstractNum>
  <w:abstractNum w:abstractNumId="7">
    <w:nsid w:val="13C40D4B"/>
    <w:multiLevelType w:val="hybridMultilevel"/>
    <w:tmpl w:val="766216F8"/>
    <w:lvl w:ilvl="0" w:tplc="241A6992">
      <w:start w:val="2"/>
      <w:numFmt w:val="bullet"/>
      <w:lvlText w:val="-"/>
      <w:lvlJc w:val="left"/>
      <w:pPr>
        <w:ind w:left="360" w:hanging="360"/>
      </w:pPr>
      <w:rPr>
        <w:rFonts w:ascii="Times New Roman" w:eastAsia="Times New Roman"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nsid w:val="158F3B13"/>
    <w:multiLevelType w:val="hybridMultilevel"/>
    <w:tmpl w:val="11203F9E"/>
    <w:lvl w:ilvl="0" w:tplc="08090017">
      <w:start w:val="1"/>
      <w:numFmt w:val="lowerLetter"/>
      <w:lvlText w:val="%1)"/>
      <w:lvlJc w:val="left"/>
      <w:pPr>
        <w:ind w:left="1353" w:hanging="360"/>
      </w:pPr>
    </w:lvl>
    <w:lvl w:ilvl="1" w:tplc="04070003">
      <w:start w:val="1"/>
      <w:numFmt w:val="lowerLetter"/>
      <w:lvlText w:val="%2."/>
      <w:lvlJc w:val="left"/>
      <w:pPr>
        <w:ind w:left="1440" w:hanging="360"/>
      </w:pPr>
      <w:rPr>
        <w:rFonts w:cs="Times New Roman"/>
      </w:rPr>
    </w:lvl>
    <w:lvl w:ilvl="2" w:tplc="04070005" w:tentative="1">
      <w:start w:val="1"/>
      <w:numFmt w:val="lowerRoman"/>
      <w:lvlText w:val="%3."/>
      <w:lvlJc w:val="right"/>
      <w:pPr>
        <w:ind w:left="2160" w:hanging="180"/>
      </w:pPr>
      <w:rPr>
        <w:rFonts w:cs="Times New Roman"/>
      </w:rPr>
    </w:lvl>
    <w:lvl w:ilvl="3" w:tplc="04070001">
      <w:start w:val="1"/>
      <w:numFmt w:val="decimal"/>
      <w:lvlText w:val="%4."/>
      <w:lvlJc w:val="left"/>
      <w:pPr>
        <w:ind w:left="2880" w:hanging="360"/>
      </w:pPr>
      <w:rPr>
        <w:rFonts w:cs="Times New Roman"/>
      </w:rPr>
    </w:lvl>
    <w:lvl w:ilvl="4" w:tplc="04070003" w:tentative="1">
      <w:start w:val="1"/>
      <w:numFmt w:val="lowerLetter"/>
      <w:lvlText w:val="%5."/>
      <w:lvlJc w:val="left"/>
      <w:pPr>
        <w:ind w:left="3600" w:hanging="360"/>
      </w:pPr>
      <w:rPr>
        <w:rFonts w:cs="Times New Roman"/>
      </w:rPr>
    </w:lvl>
    <w:lvl w:ilvl="5" w:tplc="04070005" w:tentative="1">
      <w:start w:val="1"/>
      <w:numFmt w:val="lowerRoman"/>
      <w:lvlText w:val="%6."/>
      <w:lvlJc w:val="right"/>
      <w:pPr>
        <w:ind w:left="4320" w:hanging="180"/>
      </w:pPr>
      <w:rPr>
        <w:rFonts w:cs="Times New Roman"/>
      </w:rPr>
    </w:lvl>
    <w:lvl w:ilvl="6" w:tplc="04070001" w:tentative="1">
      <w:start w:val="1"/>
      <w:numFmt w:val="decimal"/>
      <w:lvlText w:val="%7."/>
      <w:lvlJc w:val="left"/>
      <w:pPr>
        <w:ind w:left="5040" w:hanging="360"/>
      </w:pPr>
      <w:rPr>
        <w:rFonts w:cs="Times New Roman"/>
      </w:rPr>
    </w:lvl>
    <w:lvl w:ilvl="7" w:tplc="04070003" w:tentative="1">
      <w:start w:val="1"/>
      <w:numFmt w:val="lowerLetter"/>
      <w:lvlText w:val="%8."/>
      <w:lvlJc w:val="left"/>
      <w:pPr>
        <w:ind w:left="5760" w:hanging="360"/>
      </w:pPr>
      <w:rPr>
        <w:rFonts w:cs="Times New Roman"/>
      </w:rPr>
    </w:lvl>
    <w:lvl w:ilvl="8" w:tplc="04070005" w:tentative="1">
      <w:start w:val="1"/>
      <w:numFmt w:val="lowerRoman"/>
      <w:lvlText w:val="%9."/>
      <w:lvlJc w:val="right"/>
      <w:pPr>
        <w:ind w:left="6480" w:hanging="180"/>
      </w:pPr>
      <w:rPr>
        <w:rFonts w:cs="Times New Roman"/>
      </w:rPr>
    </w:lvl>
  </w:abstractNum>
  <w:abstractNum w:abstractNumId="9">
    <w:nsid w:val="15F91B49"/>
    <w:multiLevelType w:val="hybridMultilevel"/>
    <w:tmpl w:val="D7CC27B6"/>
    <w:lvl w:ilvl="0" w:tplc="313E771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nsid w:val="16E6367A"/>
    <w:multiLevelType w:val="hybridMultilevel"/>
    <w:tmpl w:val="2B98C612"/>
    <w:lvl w:ilvl="0" w:tplc="4C245000">
      <w:start w:val="1"/>
      <w:numFmt w:val="decimal"/>
      <w:lvlText w:val="%1."/>
      <w:lvlJc w:val="left"/>
      <w:pPr>
        <w:ind w:left="360" w:hanging="360"/>
      </w:pPr>
      <w:rPr>
        <w:rFonts w:hint="default"/>
      </w:rPr>
    </w:lvl>
    <w:lvl w:ilvl="1" w:tplc="4C04A11E">
      <w:start w:val="130"/>
      <w:numFmt w:val="bullet"/>
      <w:lvlText w:val="-"/>
      <w:lvlJc w:val="left"/>
      <w:pPr>
        <w:ind w:left="1080" w:hanging="360"/>
      </w:pPr>
      <w:rPr>
        <w:rFonts w:ascii="Calibri" w:eastAsia="Times New Roman" w:hAnsi="Calibri" w:cs="Times New Roman"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nsid w:val="19C13605"/>
    <w:multiLevelType w:val="hybridMultilevel"/>
    <w:tmpl w:val="34A64DDC"/>
    <w:lvl w:ilvl="0" w:tplc="5F56F3B6">
      <w:start w:val="1"/>
      <w:numFmt w:val="lowerLetter"/>
      <w:lvlText w:val="(%1)"/>
      <w:lvlJc w:val="left"/>
      <w:pPr>
        <w:ind w:left="1440" w:hanging="360"/>
      </w:pPr>
      <w:rPr>
        <w:rFonts w:cs="Times New Roman"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nsid w:val="19C145A5"/>
    <w:multiLevelType w:val="multilevel"/>
    <w:tmpl w:val="005C4994"/>
    <w:lvl w:ilvl="0">
      <w:start w:val="5"/>
      <w:numFmt w:val="decimal"/>
      <w:lvlText w:val="%1."/>
      <w:lvlJc w:val="left"/>
      <w:pPr>
        <w:ind w:left="405" w:hanging="40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nsid w:val="1CED6282"/>
    <w:multiLevelType w:val="multilevel"/>
    <w:tmpl w:val="5D8418C4"/>
    <w:lvl w:ilvl="0">
      <w:start w:val="1"/>
      <w:numFmt w:val="decimal"/>
      <w:pStyle w:val="GliederungmitNummerierung"/>
      <w:lvlText w:val="%1"/>
      <w:lvlJc w:val="left"/>
      <w:pPr>
        <w:tabs>
          <w:tab w:val="num" w:pos="357"/>
        </w:tabs>
        <w:ind w:left="357" w:hanging="35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361"/>
        </w:tabs>
        <w:ind w:left="1361" w:hanging="567"/>
      </w:pPr>
      <w:rPr>
        <w:rFonts w:cs="Times New Roman" w:hint="default"/>
      </w:rPr>
    </w:lvl>
    <w:lvl w:ilvl="3">
      <w:start w:val="1"/>
      <w:numFmt w:val="decimal"/>
      <w:lvlText w:val="%1.%2.%3.%4"/>
      <w:lvlJc w:val="left"/>
      <w:pPr>
        <w:tabs>
          <w:tab w:val="num" w:pos="2098"/>
        </w:tabs>
        <w:ind w:left="2098" w:hanging="737"/>
      </w:pPr>
      <w:rPr>
        <w:rFonts w:cs="Times New Roman" w:hint="default"/>
      </w:rPr>
    </w:lvl>
    <w:lvl w:ilvl="4">
      <w:start w:val="1"/>
      <w:numFmt w:val="decimal"/>
      <w:lvlText w:val="%1.%2.%3.%4.%5"/>
      <w:lvlJc w:val="left"/>
      <w:pPr>
        <w:tabs>
          <w:tab w:val="num" w:pos="3062"/>
        </w:tabs>
        <w:ind w:left="3062" w:hanging="964"/>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4">
    <w:nsid w:val="1EC51552"/>
    <w:multiLevelType w:val="hybridMultilevel"/>
    <w:tmpl w:val="C6A2D7DA"/>
    <w:lvl w:ilvl="0" w:tplc="0407001B">
      <w:start w:val="1"/>
      <w:numFmt w:val="lowerRoman"/>
      <w:lvlText w:val="%1."/>
      <w:lvlJc w:val="right"/>
      <w:pPr>
        <w:tabs>
          <w:tab w:val="num" w:pos="1440"/>
        </w:tabs>
        <w:ind w:left="1440" w:hanging="360"/>
      </w:pPr>
      <w:rPr>
        <w:rFonts w:hint="default"/>
      </w:rPr>
    </w:lvl>
    <w:lvl w:ilvl="1" w:tplc="55727D7A">
      <w:start w:val="1"/>
      <w:numFmt w:val="bullet"/>
      <w:lvlText w:val="o"/>
      <w:lvlJc w:val="left"/>
      <w:pPr>
        <w:tabs>
          <w:tab w:val="num" w:pos="2160"/>
        </w:tabs>
        <w:ind w:left="2160" w:hanging="360"/>
      </w:pPr>
      <w:rPr>
        <w:rFonts w:ascii="Courier New" w:hAnsi="Courier New" w:hint="default"/>
      </w:rPr>
    </w:lvl>
    <w:lvl w:ilvl="2" w:tplc="1C506D3E" w:tentative="1">
      <w:start w:val="1"/>
      <w:numFmt w:val="bullet"/>
      <w:lvlText w:val=""/>
      <w:lvlJc w:val="left"/>
      <w:pPr>
        <w:tabs>
          <w:tab w:val="num" w:pos="2880"/>
        </w:tabs>
        <w:ind w:left="2880" w:hanging="360"/>
      </w:pPr>
      <w:rPr>
        <w:rFonts w:ascii="Wingdings" w:hAnsi="Wingdings" w:hint="default"/>
      </w:rPr>
    </w:lvl>
    <w:lvl w:ilvl="3" w:tplc="745C8968" w:tentative="1">
      <w:start w:val="1"/>
      <w:numFmt w:val="bullet"/>
      <w:lvlText w:val=""/>
      <w:lvlJc w:val="left"/>
      <w:pPr>
        <w:tabs>
          <w:tab w:val="num" w:pos="3600"/>
        </w:tabs>
        <w:ind w:left="3600" w:hanging="360"/>
      </w:pPr>
      <w:rPr>
        <w:rFonts w:ascii="Symbol" w:hAnsi="Symbol" w:hint="default"/>
      </w:rPr>
    </w:lvl>
    <w:lvl w:ilvl="4" w:tplc="EFB810E6" w:tentative="1">
      <w:start w:val="1"/>
      <w:numFmt w:val="bullet"/>
      <w:lvlText w:val="o"/>
      <w:lvlJc w:val="left"/>
      <w:pPr>
        <w:tabs>
          <w:tab w:val="num" w:pos="4320"/>
        </w:tabs>
        <w:ind w:left="4320" w:hanging="360"/>
      </w:pPr>
      <w:rPr>
        <w:rFonts w:ascii="Courier New" w:hAnsi="Courier New" w:hint="default"/>
      </w:rPr>
    </w:lvl>
    <w:lvl w:ilvl="5" w:tplc="A3FED1D2" w:tentative="1">
      <w:start w:val="1"/>
      <w:numFmt w:val="bullet"/>
      <w:lvlText w:val=""/>
      <w:lvlJc w:val="left"/>
      <w:pPr>
        <w:tabs>
          <w:tab w:val="num" w:pos="5040"/>
        </w:tabs>
        <w:ind w:left="5040" w:hanging="360"/>
      </w:pPr>
      <w:rPr>
        <w:rFonts w:ascii="Wingdings" w:hAnsi="Wingdings" w:hint="default"/>
      </w:rPr>
    </w:lvl>
    <w:lvl w:ilvl="6" w:tplc="FB98B5A8" w:tentative="1">
      <w:start w:val="1"/>
      <w:numFmt w:val="bullet"/>
      <w:lvlText w:val=""/>
      <w:lvlJc w:val="left"/>
      <w:pPr>
        <w:tabs>
          <w:tab w:val="num" w:pos="5760"/>
        </w:tabs>
        <w:ind w:left="5760" w:hanging="360"/>
      </w:pPr>
      <w:rPr>
        <w:rFonts w:ascii="Symbol" w:hAnsi="Symbol" w:hint="default"/>
      </w:rPr>
    </w:lvl>
    <w:lvl w:ilvl="7" w:tplc="8D00D734" w:tentative="1">
      <w:start w:val="1"/>
      <w:numFmt w:val="bullet"/>
      <w:lvlText w:val="o"/>
      <w:lvlJc w:val="left"/>
      <w:pPr>
        <w:tabs>
          <w:tab w:val="num" w:pos="6480"/>
        </w:tabs>
        <w:ind w:left="6480" w:hanging="360"/>
      </w:pPr>
      <w:rPr>
        <w:rFonts w:ascii="Courier New" w:hAnsi="Courier New" w:hint="default"/>
      </w:rPr>
    </w:lvl>
    <w:lvl w:ilvl="8" w:tplc="A128F330" w:tentative="1">
      <w:start w:val="1"/>
      <w:numFmt w:val="bullet"/>
      <w:lvlText w:val=""/>
      <w:lvlJc w:val="left"/>
      <w:pPr>
        <w:tabs>
          <w:tab w:val="num" w:pos="7200"/>
        </w:tabs>
        <w:ind w:left="7200" w:hanging="360"/>
      </w:pPr>
      <w:rPr>
        <w:rFonts w:ascii="Wingdings" w:hAnsi="Wingdings" w:hint="default"/>
      </w:rPr>
    </w:lvl>
  </w:abstractNum>
  <w:abstractNum w:abstractNumId="15">
    <w:nsid w:val="1F8B59CF"/>
    <w:multiLevelType w:val="hybridMultilevel"/>
    <w:tmpl w:val="3C40D654"/>
    <w:lvl w:ilvl="0" w:tplc="04070019">
      <w:start w:val="1"/>
      <w:numFmt w:val="lowerLetter"/>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6">
    <w:nsid w:val="25EF6CE6"/>
    <w:multiLevelType w:val="multilevel"/>
    <w:tmpl w:val="0340208C"/>
    <w:lvl w:ilvl="0">
      <w:start w:val="3"/>
      <w:numFmt w:val="decimal"/>
      <w:lvlText w:val="%1"/>
      <w:lvlJc w:val="left"/>
      <w:pPr>
        <w:ind w:left="555" w:hanging="555"/>
      </w:pPr>
      <w:rPr>
        <w:rFonts w:hint="default"/>
      </w:rPr>
    </w:lvl>
    <w:lvl w:ilvl="1">
      <w:start w:val="3"/>
      <w:numFmt w:val="decimal"/>
      <w:lvlText w:val="%1.%2"/>
      <w:lvlJc w:val="left"/>
      <w:pPr>
        <w:ind w:left="790" w:hanging="555"/>
      </w:pPr>
      <w:rPr>
        <w:rFonts w:hint="default"/>
      </w:rPr>
    </w:lvl>
    <w:lvl w:ilvl="2">
      <w:start w:val="3"/>
      <w:numFmt w:val="decimal"/>
      <w:lvlText w:val="%1.%2.%3"/>
      <w:lvlJc w:val="left"/>
      <w:pPr>
        <w:ind w:left="1190" w:hanging="720"/>
      </w:pPr>
      <w:rPr>
        <w:rFonts w:hint="default"/>
      </w:rPr>
    </w:lvl>
    <w:lvl w:ilvl="3">
      <w:start w:val="1"/>
      <w:numFmt w:val="decimal"/>
      <w:lvlText w:val="%1.%2.%3.%4"/>
      <w:lvlJc w:val="left"/>
      <w:pPr>
        <w:ind w:left="1425" w:hanging="720"/>
      </w:pPr>
      <w:rPr>
        <w:rFonts w:hint="default"/>
      </w:rPr>
    </w:lvl>
    <w:lvl w:ilvl="4">
      <w:start w:val="1"/>
      <w:numFmt w:val="decimal"/>
      <w:lvlText w:val="%1.%2.%3.%4.%5"/>
      <w:lvlJc w:val="left"/>
      <w:pPr>
        <w:ind w:left="1660" w:hanging="720"/>
      </w:pPr>
      <w:rPr>
        <w:rFonts w:hint="default"/>
      </w:rPr>
    </w:lvl>
    <w:lvl w:ilvl="5">
      <w:start w:val="1"/>
      <w:numFmt w:val="decimal"/>
      <w:lvlText w:val="%1.%2.%3.%4.%5.%6"/>
      <w:lvlJc w:val="left"/>
      <w:pPr>
        <w:ind w:left="2255" w:hanging="1080"/>
      </w:pPr>
      <w:rPr>
        <w:rFonts w:hint="default"/>
      </w:rPr>
    </w:lvl>
    <w:lvl w:ilvl="6">
      <w:start w:val="1"/>
      <w:numFmt w:val="decimal"/>
      <w:lvlText w:val="%1.%2.%3.%4.%5.%6.%7"/>
      <w:lvlJc w:val="left"/>
      <w:pPr>
        <w:ind w:left="2490" w:hanging="1080"/>
      </w:pPr>
      <w:rPr>
        <w:rFonts w:hint="default"/>
      </w:rPr>
    </w:lvl>
    <w:lvl w:ilvl="7">
      <w:start w:val="1"/>
      <w:numFmt w:val="decimal"/>
      <w:lvlText w:val="%1.%2.%3.%4.%5.%6.%7.%8"/>
      <w:lvlJc w:val="left"/>
      <w:pPr>
        <w:ind w:left="3085" w:hanging="1440"/>
      </w:pPr>
      <w:rPr>
        <w:rFonts w:hint="default"/>
      </w:rPr>
    </w:lvl>
    <w:lvl w:ilvl="8">
      <w:start w:val="1"/>
      <w:numFmt w:val="decimal"/>
      <w:lvlText w:val="%1.%2.%3.%4.%5.%6.%7.%8.%9"/>
      <w:lvlJc w:val="left"/>
      <w:pPr>
        <w:ind w:left="3320" w:hanging="1440"/>
      </w:pPr>
      <w:rPr>
        <w:rFonts w:hint="default"/>
      </w:rPr>
    </w:lvl>
  </w:abstractNum>
  <w:abstractNum w:abstractNumId="17">
    <w:nsid w:val="26164BE1"/>
    <w:multiLevelType w:val="hybridMultilevel"/>
    <w:tmpl w:val="4D400654"/>
    <w:lvl w:ilvl="0" w:tplc="040A0017">
      <w:start w:val="4"/>
      <w:numFmt w:val="bullet"/>
      <w:lvlText w:val="-"/>
      <w:lvlJc w:val="left"/>
      <w:pPr>
        <w:tabs>
          <w:tab w:val="num" w:pos="357"/>
        </w:tabs>
        <w:ind w:left="357" w:hanging="357"/>
      </w:pPr>
      <w:rPr>
        <w:rFonts w:ascii="Arial" w:eastAsia="Times New Roman" w:hAnsi="Arial" w:hint="default"/>
      </w:rPr>
    </w:lvl>
    <w:lvl w:ilvl="1" w:tplc="040A0019" w:tentative="1">
      <w:start w:val="1"/>
      <w:numFmt w:val="bullet"/>
      <w:lvlText w:val="o"/>
      <w:lvlJc w:val="left"/>
      <w:pPr>
        <w:tabs>
          <w:tab w:val="num" w:pos="1440"/>
        </w:tabs>
        <w:ind w:left="1440" w:hanging="360"/>
      </w:pPr>
      <w:rPr>
        <w:rFonts w:ascii="Courier New" w:hAnsi="Courier New" w:hint="default"/>
      </w:rPr>
    </w:lvl>
    <w:lvl w:ilvl="2" w:tplc="040A001B" w:tentative="1">
      <w:start w:val="1"/>
      <w:numFmt w:val="bullet"/>
      <w:lvlText w:val=""/>
      <w:lvlJc w:val="left"/>
      <w:pPr>
        <w:tabs>
          <w:tab w:val="num" w:pos="2160"/>
        </w:tabs>
        <w:ind w:left="2160" w:hanging="360"/>
      </w:pPr>
      <w:rPr>
        <w:rFonts w:ascii="Wingdings" w:hAnsi="Wingdings" w:hint="default"/>
      </w:rPr>
    </w:lvl>
    <w:lvl w:ilvl="3" w:tplc="040A000F" w:tentative="1">
      <w:start w:val="1"/>
      <w:numFmt w:val="bullet"/>
      <w:lvlText w:val=""/>
      <w:lvlJc w:val="left"/>
      <w:pPr>
        <w:tabs>
          <w:tab w:val="num" w:pos="2880"/>
        </w:tabs>
        <w:ind w:left="2880" w:hanging="360"/>
      </w:pPr>
      <w:rPr>
        <w:rFonts w:ascii="Symbol" w:hAnsi="Symbol" w:hint="default"/>
      </w:rPr>
    </w:lvl>
    <w:lvl w:ilvl="4" w:tplc="040A0019" w:tentative="1">
      <w:start w:val="1"/>
      <w:numFmt w:val="bullet"/>
      <w:lvlText w:val="o"/>
      <w:lvlJc w:val="left"/>
      <w:pPr>
        <w:tabs>
          <w:tab w:val="num" w:pos="3600"/>
        </w:tabs>
        <w:ind w:left="3600" w:hanging="360"/>
      </w:pPr>
      <w:rPr>
        <w:rFonts w:ascii="Courier New" w:hAnsi="Courier New" w:hint="default"/>
      </w:rPr>
    </w:lvl>
    <w:lvl w:ilvl="5" w:tplc="040A001B" w:tentative="1">
      <w:start w:val="1"/>
      <w:numFmt w:val="bullet"/>
      <w:lvlText w:val=""/>
      <w:lvlJc w:val="left"/>
      <w:pPr>
        <w:tabs>
          <w:tab w:val="num" w:pos="4320"/>
        </w:tabs>
        <w:ind w:left="4320" w:hanging="360"/>
      </w:pPr>
      <w:rPr>
        <w:rFonts w:ascii="Wingdings" w:hAnsi="Wingdings" w:hint="default"/>
      </w:rPr>
    </w:lvl>
    <w:lvl w:ilvl="6" w:tplc="040A000F" w:tentative="1">
      <w:start w:val="1"/>
      <w:numFmt w:val="bullet"/>
      <w:lvlText w:val=""/>
      <w:lvlJc w:val="left"/>
      <w:pPr>
        <w:tabs>
          <w:tab w:val="num" w:pos="5040"/>
        </w:tabs>
        <w:ind w:left="5040" w:hanging="360"/>
      </w:pPr>
      <w:rPr>
        <w:rFonts w:ascii="Symbol" w:hAnsi="Symbol" w:hint="default"/>
      </w:rPr>
    </w:lvl>
    <w:lvl w:ilvl="7" w:tplc="040A0019" w:tentative="1">
      <w:start w:val="1"/>
      <w:numFmt w:val="bullet"/>
      <w:lvlText w:val="o"/>
      <w:lvlJc w:val="left"/>
      <w:pPr>
        <w:tabs>
          <w:tab w:val="num" w:pos="5760"/>
        </w:tabs>
        <w:ind w:left="5760" w:hanging="360"/>
      </w:pPr>
      <w:rPr>
        <w:rFonts w:ascii="Courier New" w:hAnsi="Courier New" w:hint="default"/>
      </w:rPr>
    </w:lvl>
    <w:lvl w:ilvl="8" w:tplc="040A001B" w:tentative="1">
      <w:start w:val="1"/>
      <w:numFmt w:val="bullet"/>
      <w:lvlText w:val=""/>
      <w:lvlJc w:val="left"/>
      <w:pPr>
        <w:tabs>
          <w:tab w:val="num" w:pos="6480"/>
        </w:tabs>
        <w:ind w:left="6480" w:hanging="360"/>
      </w:pPr>
      <w:rPr>
        <w:rFonts w:ascii="Wingdings" w:hAnsi="Wingdings" w:hint="default"/>
      </w:rPr>
    </w:lvl>
  </w:abstractNum>
  <w:abstractNum w:abstractNumId="18">
    <w:nsid w:val="28806F6A"/>
    <w:multiLevelType w:val="hybridMultilevel"/>
    <w:tmpl w:val="C6A2D7DA"/>
    <w:lvl w:ilvl="0" w:tplc="0407001B">
      <w:start w:val="1"/>
      <w:numFmt w:val="lowerRoman"/>
      <w:lvlText w:val="%1."/>
      <w:lvlJc w:val="right"/>
      <w:pPr>
        <w:tabs>
          <w:tab w:val="num" w:pos="795"/>
        </w:tabs>
        <w:ind w:left="795" w:hanging="360"/>
      </w:pPr>
      <w:rPr>
        <w:rFonts w:hint="default"/>
      </w:rPr>
    </w:lvl>
    <w:lvl w:ilvl="1" w:tplc="55727D7A" w:tentative="1">
      <w:start w:val="1"/>
      <w:numFmt w:val="bullet"/>
      <w:lvlText w:val="o"/>
      <w:lvlJc w:val="left"/>
      <w:pPr>
        <w:tabs>
          <w:tab w:val="num" w:pos="1515"/>
        </w:tabs>
        <w:ind w:left="1515" w:hanging="360"/>
      </w:pPr>
      <w:rPr>
        <w:rFonts w:ascii="Courier New" w:hAnsi="Courier New" w:hint="default"/>
      </w:rPr>
    </w:lvl>
    <w:lvl w:ilvl="2" w:tplc="1C506D3E" w:tentative="1">
      <w:start w:val="1"/>
      <w:numFmt w:val="bullet"/>
      <w:lvlText w:val=""/>
      <w:lvlJc w:val="left"/>
      <w:pPr>
        <w:tabs>
          <w:tab w:val="num" w:pos="2235"/>
        </w:tabs>
        <w:ind w:left="2235" w:hanging="360"/>
      </w:pPr>
      <w:rPr>
        <w:rFonts w:ascii="Wingdings" w:hAnsi="Wingdings" w:hint="default"/>
      </w:rPr>
    </w:lvl>
    <w:lvl w:ilvl="3" w:tplc="745C8968" w:tentative="1">
      <w:start w:val="1"/>
      <w:numFmt w:val="bullet"/>
      <w:lvlText w:val=""/>
      <w:lvlJc w:val="left"/>
      <w:pPr>
        <w:tabs>
          <w:tab w:val="num" w:pos="2955"/>
        </w:tabs>
        <w:ind w:left="2955" w:hanging="360"/>
      </w:pPr>
      <w:rPr>
        <w:rFonts w:ascii="Symbol" w:hAnsi="Symbol" w:hint="default"/>
      </w:rPr>
    </w:lvl>
    <w:lvl w:ilvl="4" w:tplc="EFB810E6" w:tentative="1">
      <w:start w:val="1"/>
      <w:numFmt w:val="bullet"/>
      <w:lvlText w:val="o"/>
      <w:lvlJc w:val="left"/>
      <w:pPr>
        <w:tabs>
          <w:tab w:val="num" w:pos="3675"/>
        </w:tabs>
        <w:ind w:left="3675" w:hanging="360"/>
      </w:pPr>
      <w:rPr>
        <w:rFonts w:ascii="Courier New" w:hAnsi="Courier New" w:hint="default"/>
      </w:rPr>
    </w:lvl>
    <w:lvl w:ilvl="5" w:tplc="A3FED1D2" w:tentative="1">
      <w:start w:val="1"/>
      <w:numFmt w:val="bullet"/>
      <w:lvlText w:val=""/>
      <w:lvlJc w:val="left"/>
      <w:pPr>
        <w:tabs>
          <w:tab w:val="num" w:pos="4395"/>
        </w:tabs>
        <w:ind w:left="4395" w:hanging="360"/>
      </w:pPr>
      <w:rPr>
        <w:rFonts w:ascii="Wingdings" w:hAnsi="Wingdings" w:hint="default"/>
      </w:rPr>
    </w:lvl>
    <w:lvl w:ilvl="6" w:tplc="FB98B5A8" w:tentative="1">
      <w:start w:val="1"/>
      <w:numFmt w:val="bullet"/>
      <w:lvlText w:val=""/>
      <w:lvlJc w:val="left"/>
      <w:pPr>
        <w:tabs>
          <w:tab w:val="num" w:pos="5115"/>
        </w:tabs>
        <w:ind w:left="5115" w:hanging="360"/>
      </w:pPr>
      <w:rPr>
        <w:rFonts w:ascii="Symbol" w:hAnsi="Symbol" w:hint="default"/>
      </w:rPr>
    </w:lvl>
    <w:lvl w:ilvl="7" w:tplc="8D00D734" w:tentative="1">
      <w:start w:val="1"/>
      <w:numFmt w:val="bullet"/>
      <w:lvlText w:val="o"/>
      <w:lvlJc w:val="left"/>
      <w:pPr>
        <w:tabs>
          <w:tab w:val="num" w:pos="5835"/>
        </w:tabs>
        <w:ind w:left="5835" w:hanging="360"/>
      </w:pPr>
      <w:rPr>
        <w:rFonts w:ascii="Courier New" w:hAnsi="Courier New" w:hint="default"/>
      </w:rPr>
    </w:lvl>
    <w:lvl w:ilvl="8" w:tplc="A128F330" w:tentative="1">
      <w:start w:val="1"/>
      <w:numFmt w:val="bullet"/>
      <w:lvlText w:val=""/>
      <w:lvlJc w:val="left"/>
      <w:pPr>
        <w:tabs>
          <w:tab w:val="num" w:pos="6555"/>
        </w:tabs>
        <w:ind w:left="6555" w:hanging="360"/>
      </w:pPr>
      <w:rPr>
        <w:rFonts w:ascii="Wingdings" w:hAnsi="Wingdings" w:hint="default"/>
      </w:rPr>
    </w:lvl>
  </w:abstractNum>
  <w:abstractNum w:abstractNumId="19">
    <w:nsid w:val="298D3E43"/>
    <w:multiLevelType w:val="multilevel"/>
    <w:tmpl w:val="D29C4EFC"/>
    <w:lvl w:ilvl="0">
      <w:start w:val="1"/>
      <w:numFmt w:val="decimal"/>
      <w:lvlText w:val="%1."/>
      <w:lvlJc w:val="left"/>
      <w:pPr>
        <w:ind w:left="357" w:hanging="357"/>
      </w:pPr>
      <w:rPr>
        <w:rFonts w:cs="Times New Roman" w:hint="default"/>
      </w:rPr>
    </w:lvl>
    <w:lvl w:ilvl="1">
      <w:start w:val="1"/>
      <w:numFmt w:val="decimal"/>
      <w:lvlText w:val="%1.%2."/>
      <w:lvlJc w:val="left"/>
      <w:pPr>
        <w:ind w:left="357" w:hanging="357"/>
      </w:pPr>
      <w:rPr>
        <w:rFonts w:cs="Times New Roman" w:hint="default"/>
      </w:rPr>
    </w:lvl>
    <w:lvl w:ilvl="2">
      <w:start w:val="1"/>
      <w:numFmt w:val="decimal"/>
      <w:lvlText w:val="%1.%2.%3."/>
      <w:lvlJc w:val="left"/>
      <w:pPr>
        <w:ind w:left="357" w:hanging="357"/>
      </w:pPr>
      <w:rPr>
        <w:rFonts w:cs="Times New Roman" w:hint="default"/>
      </w:rPr>
    </w:lvl>
    <w:lvl w:ilvl="3">
      <w:start w:val="1"/>
      <w:numFmt w:val="decimal"/>
      <w:lvlText w:val="%1.%2.%3.%4."/>
      <w:lvlJc w:val="left"/>
      <w:pPr>
        <w:ind w:left="357" w:hanging="357"/>
      </w:pPr>
      <w:rPr>
        <w:rFonts w:cs="Times New Roman" w:hint="default"/>
      </w:rPr>
    </w:lvl>
    <w:lvl w:ilvl="4">
      <w:start w:val="1"/>
      <w:numFmt w:val="decimal"/>
      <w:lvlText w:val="%1.%2.%3.%4.%5."/>
      <w:lvlJc w:val="left"/>
      <w:pPr>
        <w:ind w:left="357" w:hanging="357"/>
      </w:pPr>
      <w:rPr>
        <w:rFonts w:cs="Times New Roman" w:hint="default"/>
      </w:rPr>
    </w:lvl>
    <w:lvl w:ilvl="5">
      <w:start w:val="1"/>
      <w:numFmt w:val="decimal"/>
      <w:lvlText w:val="%1.%2.%3.%4.%5.%6."/>
      <w:lvlJc w:val="left"/>
      <w:pPr>
        <w:ind w:left="357" w:hanging="357"/>
      </w:pPr>
      <w:rPr>
        <w:rFonts w:cs="Times New Roman" w:hint="default"/>
      </w:rPr>
    </w:lvl>
    <w:lvl w:ilvl="6">
      <w:start w:val="1"/>
      <w:numFmt w:val="decimal"/>
      <w:lvlText w:val="%1.%2.%3.%4.%5.%6.%7."/>
      <w:lvlJc w:val="left"/>
      <w:pPr>
        <w:ind w:left="357" w:hanging="357"/>
      </w:pPr>
      <w:rPr>
        <w:rFonts w:cs="Times New Roman" w:hint="default"/>
      </w:rPr>
    </w:lvl>
    <w:lvl w:ilvl="7">
      <w:start w:val="1"/>
      <w:numFmt w:val="decimal"/>
      <w:lvlText w:val="%1.%2.%3.%4.%5.%6.%7.%8."/>
      <w:lvlJc w:val="left"/>
      <w:pPr>
        <w:ind w:left="357" w:hanging="357"/>
      </w:pPr>
      <w:rPr>
        <w:rFonts w:cs="Times New Roman" w:hint="default"/>
      </w:rPr>
    </w:lvl>
    <w:lvl w:ilvl="8">
      <w:start w:val="1"/>
      <w:numFmt w:val="decimal"/>
      <w:lvlText w:val="%1.%2.%3.%4.%5.%6.%7.%8.%9."/>
      <w:lvlJc w:val="left"/>
      <w:pPr>
        <w:ind w:left="357" w:hanging="357"/>
      </w:pPr>
      <w:rPr>
        <w:rFonts w:cs="Times New Roman" w:hint="default"/>
      </w:rPr>
    </w:lvl>
  </w:abstractNum>
  <w:abstractNum w:abstractNumId="20">
    <w:nsid w:val="2AC050D9"/>
    <w:multiLevelType w:val="hybridMultilevel"/>
    <w:tmpl w:val="F7E0F274"/>
    <w:lvl w:ilvl="0" w:tplc="9BAEF704">
      <w:start w:val="1"/>
      <w:numFmt w:val="lowerLetter"/>
      <w:pStyle w:val="Nummerierungsart4"/>
      <w:lvlText w:val="%1)"/>
      <w:lvlJc w:val="left"/>
      <w:pPr>
        <w:tabs>
          <w:tab w:val="num" w:pos="357"/>
        </w:tabs>
        <w:ind w:left="357" w:hanging="357"/>
      </w:pPr>
      <w:rPr>
        <w:rFonts w:cs="Times New Roman" w:hint="default"/>
      </w:rPr>
    </w:lvl>
    <w:lvl w:ilvl="1" w:tplc="04070019" w:tentative="1">
      <w:start w:val="1"/>
      <w:numFmt w:val="lowerLetter"/>
      <w:lvlText w:val="%2."/>
      <w:lvlJc w:val="left"/>
      <w:pPr>
        <w:tabs>
          <w:tab w:val="num" w:pos="1440"/>
        </w:tabs>
        <w:ind w:left="1440" w:hanging="360"/>
      </w:pPr>
      <w:rPr>
        <w:rFonts w:cs="Times New Roman"/>
      </w:rPr>
    </w:lvl>
    <w:lvl w:ilvl="2" w:tplc="0407001B" w:tentative="1">
      <w:start w:val="1"/>
      <w:numFmt w:val="lowerRoman"/>
      <w:lvlText w:val="%3."/>
      <w:lvlJc w:val="right"/>
      <w:pPr>
        <w:tabs>
          <w:tab w:val="num" w:pos="2160"/>
        </w:tabs>
        <w:ind w:left="2160" w:hanging="180"/>
      </w:pPr>
      <w:rPr>
        <w:rFonts w:cs="Times New Roman"/>
      </w:rPr>
    </w:lvl>
    <w:lvl w:ilvl="3" w:tplc="0407000F" w:tentative="1">
      <w:start w:val="1"/>
      <w:numFmt w:val="decimal"/>
      <w:lvlText w:val="%4."/>
      <w:lvlJc w:val="left"/>
      <w:pPr>
        <w:tabs>
          <w:tab w:val="num" w:pos="2880"/>
        </w:tabs>
        <w:ind w:left="2880" w:hanging="360"/>
      </w:pPr>
      <w:rPr>
        <w:rFonts w:cs="Times New Roman"/>
      </w:rPr>
    </w:lvl>
    <w:lvl w:ilvl="4" w:tplc="04070019" w:tentative="1">
      <w:start w:val="1"/>
      <w:numFmt w:val="lowerLetter"/>
      <w:lvlText w:val="%5."/>
      <w:lvlJc w:val="left"/>
      <w:pPr>
        <w:tabs>
          <w:tab w:val="num" w:pos="3600"/>
        </w:tabs>
        <w:ind w:left="3600" w:hanging="360"/>
      </w:pPr>
      <w:rPr>
        <w:rFonts w:cs="Times New Roman"/>
      </w:rPr>
    </w:lvl>
    <w:lvl w:ilvl="5" w:tplc="0407001B" w:tentative="1">
      <w:start w:val="1"/>
      <w:numFmt w:val="lowerRoman"/>
      <w:lvlText w:val="%6."/>
      <w:lvlJc w:val="right"/>
      <w:pPr>
        <w:tabs>
          <w:tab w:val="num" w:pos="4320"/>
        </w:tabs>
        <w:ind w:left="4320" w:hanging="180"/>
      </w:pPr>
      <w:rPr>
        <w:rFonts w:cs="Times New Roman"/>
      </w:rPr>
    </w:lvl>
    <w:lvl w:ilvl="6" w:tplc="0407000F" w:tentative="1">
      <w:start w:val="1"/>
      <w:numFmt w:val="decimal"/>
      <w:lvlText w:val="%7."/>
      <w:lvlJc w:val="left"/>
      <w:pPr>
        <w:tabs>
          <w:tab w:val="num" w:pos="5040"/>
        </w:tabs>
        <w:ind w:left="5040" w:hanging="360"/>
      </w:pPr>
      <w:rPr>
        <w:rFonts w:cs="Times New Roman"/>
      </w:rPr>
    </w:lvl>
    <w:lvl w:ilvl="7" w:tplc="04070019" w:tentative="1">
      <w:start w:val="1"/>
      <w:numFmt w:val="lowerLetter"/>
      <w:lvlText w:val="%8."/>
      <w:lvlJc w:val="left"/>
      <w:pPr>
        <w:tabs>
          <w:tab w:val="num" w:pos="5760"/>
        </w:tabs>
        <w:ind w:left="5760" w:hanging="360"/>
      </w:pPr>
      <w:rPr>
        <w:rFonts w:cs="Times New Roman"/>
      </w:rPr>
    </w:lvl>
    <w:lvl w:ilvl="8" w:tplc="0407001B" w:tentative="1">
      <w:start w:val="1"/>
      <w:numFmt w:val="lowerRoman"/>
      <w:lvlText w:val="%9."/>
      <w:lvlJc w:val="right"/>
      <w:pPr>
        <w:tabs>
          <w:tab w:val="num" w:pos="6480"/>
        </w:tabs>
        <w:ind w:left="6480" w:hanging="180"/>
      </w:pPr>
      <w:rPr>
        <w:rFonts w:cs="Times New Roman"/>
      </w:rPr>
    </w:lvl>
  </w:abstractNum>
  <w:abstractNum w:abstractNumId="21">
    <w:nsid w:val="2F7D7F02"/>
    <w:multiLevelType w:val="multilevel"/>
    <w:tmpl w:val="0407001D"/>
    <w:numStyleLink w:val="Formatvorlage3"/>
  </w:abstractNum>
  <w:abstractNum w:abstractNumId="22">
    <w:nsid w:val="33057CB8"/>
    <w:multiLevelType w:val="hybridMultilevel"/>
    <w:tmpl w:val="760C1692"/>
    <w:lvl w:ilvl="0" w:tplc="236EA62C">
      <w:start w:val="1"/>
      <w:numFmt w:val="decimal"/>
      <w:pStyle w:val="InstructionsText2"/>
      <w:lvlText w:val="%1."/>
      <w:lvlJc w:val="left"/>
      <w:pPr>
        <w:ind w:left="1353" w:hanging="360"/>
      </w:pPr>
      <w:rPr>
        <w:rFonts w:cs="Times New Roman"/>
      </w:rPr>
    </w:lvl>
    <w:lvl w:ilvl="1" w:tplc="5F56F3B6">
      <w:start w:val="1"/>
      <w:numFmt w:val="lowerLetter"/>
      <w:lvlText w:val="(%2)"/>
      <w:lvlJc w:val="left"/>
      <w:pPr>
        <w:ind w:left="1440" w:hanging="360"/>
      </w:pPr>
      <w:rPr>
        <w:rFonts w:cs="Times New Roman" w:hint="default"/>
      </w:rPr>
    </w:lvl>
    <w:lvl w:ilvl="2" w:tplc="04070005">
      <w:start w:val="1"/>
      <w:numFmt w:val="lowerRoman"/>
      <w:lvlText w:val="%3."/>
      <w:lvlJc w:val="right"/>
      <w:pPr>
        <w:ind w:left="2160" w:hanging="180"/>
      </w:pPr>
      <w:rPr>
        <w:rFonts w:cs="Times New Roman"/>
      </w:rPr>
    </w:lvl>
    <w:lvl w:ilvl="3" w:tplc="04070001">
      <w:start w:val="1"/>
      <w:numFmt w:val="decimal"/>
      <w:lvlText w:val="%4."/>
      <w:lvlJc w:val="left"/>
      <w:pPr>
        <w:ind w:left="2880" w:hanging="360"/>
      </w:pPr>
      <w:rPr>
        <w:rFonts w:cs="Times New Roman"/>
      </w:rPr>
    </w:lvl>
    <w:lvl w:ilvl="4" w:tplc="04070003" w:tentative="1">
      <w:start w:val="1"/>
      <w:numFmt w:val="lowerLetter"/>
      <w:lvlText w:val="%5."/>
      <w:lvlJc w:val="left"/>
      <w:pPr>
        <w:ind w:left="3600" w:hanging="360"/>
      </w:pPr>
      <w:rPr>
        <w:rFonts w:cs="Times New Roman"/>
      </w:rPr>
    </w:lvl>
    <w:lvl w:ilvl="5" w:tplc="04070005" w:tentative="1">
      <w:start w:val="1"/>
      <w:numFmt w:val="lowerRoman"/>
      <w:lvlText w:val="%6."/>
      <w:lvlJc w:val="right"/>
      <w:pPr>
        <w:ind w:left="4320" w:hanging="180"/>
      </w:pPr>
      <w:rPr>
        <w:rFonts w:cs="Times New Roman"/>
      </w:rPr>
    </w:lvl>
    <w:lvl w:ilvl="6" w:tplc="04070001" w:tentative="1">
      <w:start w:val="1"/>
      <w:numFmt w:val="decimal"/>
      <w:lvlText w:val="%7."/>
      <w:lvlJc w:val="left"/>
      <w:pPr>
        <w:ind w:left="5040" w:hanging="360"/>
      </w:pPr>
      <w:rPr>
        <w:rFonts w:cs="Times New Roman"/>
      </w:rPr>
    </w:lvl>
    <w:lvl w:ilvl="7" w:tplc="04070003" w:tentative="1">
      <w:start w:val="1"/>
      <w:numFmt w:val="lowerLetter"/>
      <w:lvlText w:val="%8."/>
      <w:lvlJc w:val="left"/>
      <w:pPr>
        <w:ind w:left="5760" w:hanging="360"/>
      </w:pPr>
      <w:rPr>
        <w:rFonts w:cs="Times New Roman"/>
      </w:rPr>
    </w:lvl>
    <w:lvl w:ilvl="8" w:tplc="04070005" w:tentative="1">
      <w:start w:val="1"/>
      <w:numFmt w:val="lowerRoman"/>
      <w:lvlText w:val="%9."/>
      <w:lvlJc w:val="right"/>
      <w:pPr>
        <w:ind w:left="6480" w:hanging="180"/>
      </w:pPr>
      <w:rPr>
        <w:rFonts w:cs="Times New Roman"/>
      </w:rPr>
    </w:lvl>
  </w:abstractNum>
  <w:abstractNum w:abstractNumId="23">
    <w:nsid w:val="342F395B"/>
    <w:multiLevelType w:val="hybridMultilevel"/>
    <w:tmpl w:val="457CF2E2"/>
    <w:lvl w:ilvl="0" w:tplc="A3DCA00A">
      <w:start w:val="1"/>
      <w:numFmt w:val="decimal"/>
      <w:lvlText w:val="%1."/>
      <w:lvlJc w:val="left"/>
      <w:pPr>
        <w:tabs>
          <w:tab w:val="num" w:pos="720"/>
        </w:tabs>
        <w:ind w:left="720" w:hanging="360"/>
      </w:pPr>
      <w:rPr>
        <w:rFonts w:cs="Times New Roman"/>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tentative="1">
      <w:start w:val="1"/>
      <w:numFmt w:val="lowerLetter"/>
      <w:lvlText w:val="%5."/>
      <w:lvlJc w:val="left"/>
      <w:pPr>
        <w:tabs>
          <w:tab w:val="num" w:pos="3600"/>
        </w:tabs>
        <w:ind w:left="3600" w:hanging="360"/>
      </w:pPr>
      <w:rPr>
        <w:rFonts w:cs="Times New Roman"/>
      </w:rPr>
    </w:lvl>
    <w:lvl w:ilvl="5" w:tplc="0407001B" w:tentative="1">
      <w:start w:val="1"/>
      <w:numFmt w:val="lowerRoman"/>
      <w:lvlText w:val="%6."/>
      <w:lvlJc w:val="right"/>
      <w:pPr>
        <w:tabs>
          <w:tab w:val="num" w:pos="4320"/>
        </w:tabs>
        <w:ind w:left="4320" w:hanging="180"/>
      </w:pPr>
      <w:rPr>
        <w:rFonts w:cs="Times New Roman"/>
      </w:rPr>
    </w:lvl>
    <w:lvl w:ilvl="6" w:tplc="0407000F" w:tentative="1">
      <w:start w:val="1"/>
      <w:numFmt w:val="decimal"/>
      <w:lvlText w:val="%7."/>
      <w:lvlJc w:val="left"/>
      <w:pPr>
        <w:tabs>
          <w:tab w:val="num" w:pos="5040"/>
        </w:tabs>
        <w:ind w:left="5040" w:hanging="360"/>
      </w:pPr>
      <w:rPr>
        <w:rFonts w:cs="Times New Roman"/>
      </w:rPr>
    </w:lvl>
    <w:lvl w:ilvl="7" w:tplc="04070019" w:tentative="1">
      <w:start w:val="1"/>
      <w:numFmt w:val="lowerLetter"/>
      <w:lvlText w:val="%8."/>
      <w:lvlJc w:val="left"/>
      <w:pPr>
        <w:tabs>
          <w:tab w:val="num" w:pos="5760"/>
        </w:tabs>
        <w:ind w:left="5760" w:hanging="360"/>
      </w:pPr>
      <w:rPr>
        <w:rFonts w:cs="Times New Roman"/>
      </w:rPr>
    </w:lvl>
    <w:lvl w:ilvl="8" w:tplc="0407001B" w:tentative="1">
      <w:start w:val="1"/>
      <w:numFmt w:val="lowerRoman"/>
      <w:lvlText w:val="%9."/>
      <w:lvlJc w:val="right"/>
      <w:pPr>
        <w:tabs>
          <w:tab w:val="num" w:pos="6480"/>
        </w:tabs>
        <w:ind w:left="6480" w:hanging="180"/>
      </w:pPr>
      <w:rPr>
        <w:rFonts w:cs="Times New Roman"/>
      </w:rPr>
    </w:lvl>
  </w:abstractNum>
  <w:abstractNum w:abstractNumId="24">
    <w:nsid w:val="37226525"/>
    <w:multiLevelType w:val="hybridMultilevel"/>
    <w:tmpl w:val="9872E646"/>
    <w:lvl w:ilvl="0" w:tplc="0C0A0001">
      <w:start w:val="1"/>
      <w:numFmt w:val="decimal"/>
      <w:pStyle w:val="Nummerierungsart2"/>
      <w:lvlText w:val="%1)"/>
      <w:lvlJc w:val="left"/>
      <w:pPr>
        <w:tabs>
          <w:tab w:val="num" w:pos="360"/>
        </w:tabs>
        <w:ind w:left="360" w:hanging="360"/>
      </w:pPr>
      <w:rPr>
        <w:rFonts w:cs="Times New Roman" w:hint="default"/>
      </w:rPr>
    </w:lvl>
    <w:lvl w:ilvl="1" w:tplc="040A0003" w:tentative="1">
      <w:start w:val="1"/>
      <w:numFmt w:val="lowerLetter"/>
      <w:lvlText w:val="%2."/>
      <w:lvlJc w:val="left"/>
      <w:pPr>
        <w:tabs>
          <w:tab w:val="num" w:pos="1440"/>
        </w:tabs>
        <w:ind w:left="1440" w:hanging="360"/>
      </w:pPr>
      <w:rPr>
        <w:rFonts w:cs="Times New Roman"/>
      </w:rPr>
    </w:lvl>
    <w:lvl w:ilvl="2" w:tplc="040A0005" w:tentative="1">
      <w:start w:val="1"/>
      <w:numFmt w:val="lowerRoman"/>
      <w:lvlText w:val="%3."/>
      <w:lvlJc w:val="right"/>
      <w:pPr>
        <w:tabs>
          <w:tab w:val="num" w:pos="2160"/>
        </w:tabs>
        <w:ind w:left="2160" w:hanging="180"/>
      </w:pPr>
      <w:rPr>
        <w:rFonts w:cs="Times New Roman"/>
      </w:rPr>
    </w:lvl>
    <w:lvl w:ilvl="3" w:tplc="040A0001" w:tentative="1">
      <w:start w:val="1"/>
      <w:numFmt w:val="decimal"/>
      <w:lvlText w:val="%4."/>
      <w:lvlJc w:val="left"/>
      <w:pPr>
        <w:tabs>
          <w:tab w:val="num" w:pos="2880"/>
        </w:tabs>
        <w:ind w:left="2880" w:hanging="360"/>
      </w:pPr>
      <w:rPr>
        <w:rFonts w:cs="Times New Roman"/>
      </w:rPr>
    </w:lvl>
    <w:lvl w:ilvl="4" w:tplc="040A0003" w:tentative="1">
      <w:start w:val="1"/>
      <w:numFmt w:val="lowerLetter"/>
      <w:lvlText w:val="%5."/>
      <w:lvlJc w:val="left"/>
      <w:pPr>
        <w:tabs>
          <w:tab w:val="num" w:pos="3600"/>
        </w:tabs>
        <w:ind w:left="3600" w:hanging="360"/>
      </w:pPr>
      <w:rPr>
        <w:rFonts w:cs="Times New Roman"/>
      </w:rPr>
    </w:lvl>
    <w:lvl w:ilvl="5" w:tplc="040A0005" w:tentative="1">
      <w:start w:val="1"/>
      <w:numFmt w:val="lowerRoman"/>
      <w:lvlText w:val="%6."/>
      <w:lvlJc w:val="right"/>
      <w:pPr>
        <w:tabs>
          <w:tab w:val="num" w:pos="4320"/>
        </w:tabs>
        <w:ind w:left="4320" w:hanging="180"/>
      </w:pPr>
      <w:rPr>
        <w:rFonts w:cs="Times New Roman"/>
      </w:rPr>
    </w:lvl>
    <w:lvl w:ilvl="6" w:tplc="040A0001" w:tentative="1">
      <w:start w:val="1"/>
      <w:numFmt w:val="decimal"/>
      <w:lvlText w:val="%7."/>
      <w:lvlJc w:val="left"/>
      <w:pPr>
        <w:tabs>
          <w:tab w:val="num" w:pos="5040"/>
        </w:tabs>
        <w:ind w:left="5040" w:hanging="360"/>
      </w:pPr>
      <w:rPr>
        <w:rFonts w:cs="Times New Roman"/>
      </w:rPr>
    </w:lvl>
    <w:lvl w:ilvl="7" w:tplc="040A0003" w:tentative="1">
      <w:start w:val="1"/>
      <w:numFmt w:val="lowerLetter"/>
      <w:lvlText w:val="%8."/>
      <w:lvlJc w:val="left"/>
      <w:pPr>
        <w:tabs>
          <w:tab w:val="num" w:pos="5760"/>
        </w:tabs>
        <w:ind w:left="5760" w:hanging="360"/>
      </w:pPr>
      <w:rPr>
        <w:rFonts w:cs="Times New Roman"/>
      </w:rPr>
    </w:lvl>
    <w:lvl w:ilvl="8" w:tplc="040A0005" w:tentative="1">
      <w:start w:val="1"/>
      <w:numFmt w:val="lowerRoman"/>
      <w:lvlText w:val="%9."/>
      <w:lvlJc w:val="right"/>
      <w:pPr>
        <w:tabs>
          <w:tab w:val="num" w:pos="6480"/>
        </w:tabs>
        <w:ind w:left="6480" w:hanging="180"/>
      </w:pPr>
      <w:rPr>
        <w:rFonts w:cs="Times New Roman"/>
      </w:rPr>
    </w:lvl>
  </w:abstractNum>
  <w:abstractNum w:abstractNumId="25">
    <w:nsid w:val="39B478E5"/>
    <w:multiLevelType w:val="hybridMultilevel"/>
    <w:tmpl w:val="6F522B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nsid w:val="3BD87AA1"/>
    <w:multiLevelType w:val="hybridMultilevel"/>
    <w:tmpl w:val="C924F592"/>
    <w:lvl w:ilvl="0" w:tplc="35B82EEE">
      <w:numFmt w:val="bullet"/>
      <w:lvlText w:val=""/>
      <w:lvlJc w:val="left"/>
      <w:pPr>
        <w:ind w:left="720" w:hanging="360"/>
      </w:pPr>
      <w:rPr>
        <w:rFonts w:ascii="Wingdings" w:eastAsia="Arial"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nsid w:val="3CD57312"/>
    <w:multiLevelType w:val="multilevel"/>
    <w:tmpl w:val="1864F90A"/>
    <w:styleLink w:val="Formatvorlage2"/>
    <w:lvl w:ilvl="0">
      <w:start w:val="1"/>
      <w:numFmt w:val="bullet"/>
      <w:lvlText w:val=""/>
      <w:lvlJc w:val="left"/>
      <w:pPr>
        <w:ind w:left="360" w:hanging="360"/>
      </w:pPr>
      <w:rPr>
        <w:rFonts w:ascii="Symbol" w:hAnsi="Symbol" w:hint="default"/>
        <w:sz w:val="28"/>
      </w:rPr>
    </w:lvl>
    <w:lvl w:ilvl="1">
      <w:start w:val="1"/>
      <w:numFmt w:val="bullet"/>
      <w:lvlText w:val=""/>
      <w:lvlJc w:val="left"/>
      <w:pPr>
        <w:tabs>
          <w:tab w:val="num" w:pos="720"/>
        </w:tabs>
        <w:ind w:left="720" w:hanging="360"/>
      </w:pPr>
      <w:rPr>
        <w:rFonts w:ascii="Symbol" w:hAnsi="Symbol" w:hint="default"/>
        <w:sz w:val="24"/>
      </w:rPr>
    </w:lvl>
    <w:lvl w:ilvl="2">
      <w:start w:val="1"/>
      <w:numFmt w:val="bullet"/>
      <w:lvlText w:val=""/>
      <w:lvlJc w:val="left"/>
      <w:pPr>
        <w:tabs>
          <w:tab w:val="num" w:pos="1072"/>
        </w:tabs>
        <w:ind w:left="1072" w:hanging="358"/>
      </w:pPr>
      <w:rPr>
        <w:rFonts w:ascii="Symbol" w:hAnsi="Symbol" w:hint="default"/>
        <w:sz w:val="22"/>
      </w:rPr>
    </w:lvl>
    <w:lvl w:ilvl="3">
      <w:start w:val="1"/>
      <w:numFmt w:val="bullet"/>
      <w:lvlText w:val=""/>
      <w:lvlJc w:val="left"/>
      <w:pPr>
        <w:tabs>
          <w:tab w:val="num" w:pos="1429"/>
        </w:tabs>
        <w:ind w:left="1429" w:hanging="357"/>
      </w:pPr>
      <w:rPr>
        <w:rFonts w:ascii="Symbol" w:hAnsi="Symbol" w:hint="default"/>
        <w:sz w:val="22"/>
      </w:rPr>
    </w:lvl>
    <w:lvl w:ilvl="4">
      <w:start w:val="1"/>
      <w:numFmt w:val="bullet"/>
      <w:lvlText w:val=""/>
      <w:lvlJc w:val="left"/>
      <w:pPr>
        <w:tabs>
          <w:tab w:val="num" w:pos="1786"/>
        </w:tabs>
        <w:ind w:left="1786" w:hanging="357"/>
      </w:pPr>
      <w:rPr>
        <w:rFonts w:ascii="Symbol" w:hAnsi="Symbol" w:hint="default"/>
        <w:sz w:val="22"/>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8">
    <w:nsid w:val="3E3E1A2E"/>
    <w:multiLevelType w:val="hybridMultilevel"/>
    <w:tmpl w:val="4FCE2A9C"/>
    <w:lvl w:ilvl="0" w:tplc="0EDC5542">
      <w:numFmt w:val="bullet"/>
      <w:lvlText w:val=""/>
      <w:lvlJc w:val="left"/>
      <w:pPr>
        <w:ind w:left="720" w:hanging="360"/>
      </w:pPr>
      <w:rPr>
        <w:rFonts w:ascii="Wingdings" w:eastAsia="Arial"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nsid w:val="41E06437"/>
    <w:multiLevelType w:val="hybridMultilevel"/>
    <w:tmpl w:val="63368D06"/>
    <w:lvl w:ilvl="0" w:tplc="AFB2E206">
      <w:start w:val="327"/>
      <w:numFmt w:val="bullet"/>
      <w:lvlText w:val=""/>
      <w:lvlJc w:val="left"/>
      <w:pPr>
        <w:ind w:left="720" w:hanging="360"/>
      </w:pPr>
      <w:rPr>
        <w:rFonts w:ascii="Wingdings" w:eastAsia="Times New Roman" w:hAnsi="Wingding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nsid w:val="456042FE"/>
    <w:multiLevelType w:val="hybridMultilevel"/>
    <w:tmpl w:val="8CD66D48"/>
    <w:lvl w:ilvl="0" w:tplc="08090017">
      <w:start w:val="1"/>
      <w:numFmt w:val="lowerLetter"/>
      <w:lvlText w:val="%1)"/>
      <w:lvlJc w:val="left"/>
      <w:pPr>
        <w:ind w:left="753" w:hanging="360"/>
      </w:pPr>
    </w:lvl>
    <w:lvl w:ilvl="1" w:tplc="08090019">
      <w:start w:val="1"/>
      <w:numFmt w:val="lowerLetter"/>
      <w:lvlText w:val="%2."/>
      <w:lvlJc w:val="left"/>
      <w:pPr>
        <w:ind w:left="1473" w:hanging="360"/>
      </w:pPr>
    </w:lvl>
    <w:lvl w:ilvl="2" w:tplc="0809001B" w:tentative="1">
      <w:start w:val="1"/>
      <w:numFmt w:val="lowerRoman"/>
      <w:lvlText w:val="%3."/>
      <w:lvlJc w:val="right"/>
      <w:pPr>
        <w:ind w:left="2193" w:hanging="180"/>
      </w:pPr>
    </w:lvl>
    <w:lvl w:ilvl="3" w:tplc="0809000F" w:tentative="1">
      <w:start w:val="1"/>
      <w:numFmt w:val="decimal"/>
      <w:lvlText w:val="%4."/>
      <w:lvlJc w:val="left"/>
      <w:pPr>
        <w:ind w:left="2913" w:hanging="360"/>
      </w:pPr>
    </w:lvl>
    <w:lvl w:ilvl="4" w:tplc="08090019" w:tentative="1">
      <w:start w:val="1"/>
      <w:numFmt w:val="lowerLetter"/>
      <w:lvlText w:val="%5."/>
      <w:lvlJc w:val="left"/>
      <w:pPr>
        <w:ind w:left="3633" w:hanging="360"/>
      </w:pPr>
    </w:lvl>
    <w:lvl w:ilvl="5" w:tplc="0809001B" w:tentative="1">
      <w:start w:val="1"/>
      <w:numFmt w:val="lowerRoman"/>
      <w:lvlText w:val="%6."/>
      <w:lvlJc w:val="right"/>
      <w:pPr>
        <w:ind w:left="4353" w:hanging="180"/>
      </w:pPr>
    </w:lvl>
    <w:lvl w:ilvl="6" w:tplc="0809000F" w:tentative="1">
      <w:start w:val="1"/>
      <w:numFmt w:val="decimal"/>
      <w:lvlText w:val="%7."/>
      <w:lvlJc w:val="left"/>
      <w:pPr>
        <w:ind w:left="5073" w:hanging="360"/>
      </w:pPr>
    </w:lvl>
    <w:lvl w:ilvl="7" w:tplc="08090019" w:tentative="1">
      <w:start w:val="1"/>
      <w:numFmt w:val="lowerLetter"/>
      <w:lvlText w:val="%8."/>
      <w:lvlJc w:val="left"/>
      <w:pPr>
        <w:ind w:left="5793" w:hanging="360"/>
      </w:pPr>
    </w:lvl>
    <w:lvl w:ilvl="8" w:tplc="0809001B" w:tentative="1">
      <w:start w:val="1"/>
      <w:numFmt w:val="lowerRoman"/>
      <w:lvlText w:val="%9."/>
      <w:lvlJc w:val="right"/>
      <w:pPr>
        <w:ind w:left="6513" w:hanging="180"/>
      </w:pPr>
    </w:lvl>
  </w:abstractNum>
  <w:abstractNum w:abstractNumId="31">
    <w:nsid w:val="49772236"/>
    <w:multiLevelType w:val="hybridMultilevel"/>
    <w:tmpl w:val="E974A63C"/>
    <w:lvl w:ilvl="0" w:tplc="91F28F2A">
      <w:start w:val="1"/>
      <w:numFmt w:val="bullet"/>
      <w:pStyle w:val="Aufzhlungszeichen4"/>
      <w:lvlText w:val=""/>
      <w:lvlJc w:val="left"/>
      <w:pPr>
        <w:tabs>
          <w:tab w:val="num" w:pos="357"/>
        </w:tabs>
        <w:ind w:left="357" w:hanging="357"/>
      </w:pPr>
      <w:rPr>
        <w:rFonts w:ascii="Wingdings" w:hAnsi="Wingdings" w:hint="default"/>
        <w:sz w:val="28"/>
      </w:rPr>
    </w:lvl>
    <w:lvl w:ilvl="1" w:tplc="78D02204">
      <w:start w:val="1"/>
      <w:numFmt w:val="bullet"/>
      <w:lvlText w:val="o"/>
      <w:lvlJc w:val="left"/>
      <w:pPr>
        <w:tabs>
          <w:tab w:val="num" w:pos="1440"/>
        </w:tabs>
        <w:ind w:left="1440" w:hanging="360"/>
      </w:pPr>
      <w:rPr>
        <w:rFonts w:ascii="Courier New" w:hAnsi="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32">
    <w:nsid w:val="4C576841"/>
    <w:multiLevelType w:val="hybridMultilevel"/>
    <w:tmpl w:val="958812F6"/>
    <w:lvl w:ilvl="0" w:tplc="661CD2C6">
      <w:start w:val="1"/>
      <w:numFmt w:val="bullet"/>
      <w:lvlText w:val="o"/>
      <w:lvlJc w:val="left"/>
      <w:pPr>
        <w:tabs>
          <w:tab w:val="num" w:pos="720"/>
        </w:tabs>
        <w:ind w:left="720" w:hanging="360"/>
      </w:pPr>
      <w:rPr>
        <w:rFonts w:ascii="Courier New" w:hAnsi="Courier New" w:hint="default"/>
      </w:rPr>
    </w:lvl>
    <w:lvl w:ilvl="1" w:tplc="04070019">
      <w:start w:val="1"/>
      <w:numFmt w:val="bullet"/>
      <w:lvlText w:val=""/>
      <w:lvlJc w:val="left"/>
      <w:pPr>
        <w:tabs>
          <w:tab w:val="num" w:pos="1440"/>
        </w:tabs>
        <w:ind w:left="1440" w:hanging="360"/>
      </w:pPr>
      <w:rPr>
        <w:rFonts w:ascii="Wingdings" w:hAnsi="Wingdings" w:hint="default"/>
      </w:rPr>
    </w:lvl>
    <w:lvl w:ilvl="2" w:tplc="0407001B">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33">
    <w:nsid w:val="4EB95802"/>
    <w:multiLevelType w:val="multilevel"/>
    <w:tmpl w:val="0407001D"/>
    <w:styleLink w:val="Formatvorlage3"/>
    <w:lvl w:ilvl="0">
      <w:start w:val="1"/>
      <w:numFmt w:val="none"/>
      <w:pStyle w:val="Heading4"/>
      <w:lvlText w:val="%1"/>
      <w:lvlJc w:val="left"/>
      <w:pPr>
        <w:ind w:left="360" w:hanging="360"/>
      </w:pPr>
      <w:rPr>
        <w:rFonts w:ascii="Verdana" w:hAnsi="Verdana" w:cs="Times New Roman" w:hint="default"/>
        <w:b/>
        <w:color w:val="auto"/>
        <w:sz w:val="20"/>
        <w:u w:val="single"/>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4">
    <w:nsid w:val="4EF30DF1"/>
    <w:multiLevelType w:val="hybridMultilevel"/>
    <w:tmpl w:val="95BE37A4"/>
    <w:lvl w:ilvl="0" w:tplc="B2366634">
      <w:start w:val="1"/>
      <w:numFmt w:val="upperRoman"/>
      <w:pStyle w:val="Nummerierungsart3"/>
      <w:lvlText w:val="%1."/>
      <w:lvlJc w:val="left"/>
      <w:pPr>
        <w:tabs>
          <w:tab w:val="num" w:pos="357"/>
        </w:tabs>
        <w:ind w:left="357" w:hanging="357"/>
      </w:pPr>
      <w:rPr>
        <w:rFonts w:cs="Times New Roman" w:hint="default"/>
      </w:rPr>
    </w:lvl>
    <w:lvl w:ilvl="1" w:tplc="04070003" w:tentative="1">
      <w:start w:val="1"/>
      <w:numFmt w:val="lowerLetter"/>
      <w:lvlText w:val="%2."/>
      <w:lvlJc w:val="left"/>
      <w:pPr>
        <w:tabs>
          <w:tab w:val="num" w:pos="1440"/>
        </w:tabs>
        <w:ind w:left="1440" w:hanging="360"/>
      </w:pPr>
      <w:rPr>
        <w:rFonts w:cs="Times New Roman"/>
      </w:rPr>
    </w:lvl>
    <w:lvl w:ilvl="2" w:tplc="04070005" w:tentative="1">
      <w:start w:val="1"/>
      <w:numFmt w:val="lowerRoman"/>
      <w:lvlText w:val="%3."/>
      <w:lvlJc w:val="right"/>
      <w:pPr>
        <w:tabs>
          <w:tab w:val="num" w:pos="2160"/>
        </w:tabs>
        <w:ind w:left="2160" w:hanging="180"/>
      </w:pPr>
      <w:rPr>
        <w:rFonts w:cs="Times New Roman"/>
      </w:rPr>
    </w:lvl>
    <w:lvl w:ilvl="3" w:tplc="04070001" w:tentative="1">
      <w:start w:val="1"/>
      <w:numFmt w:val="decimal"/>
      <w:lvlText w:val="%4."/>
      <w:lvlJc w:val="left"/>
      <w:pPr>
        <w:tabs>
          <w:tab w:val="num" w:pos="2880"/>
        </w:tabs>
        <w:ind w:left="2880" w:hanging="360"/>
      </w:pPr>
      <w:rPr>
        <w:rFonts w:cs="Times New Roman"/>
      </w:rPr>
    </w:lvl>
    <w:lvl w:ilvl="4" w:tplc="04070003" w:tentative="1">
      <w:start w:val="1"/>
      <w:numFmt w:val="lowerLetter"/>
      <w:lvlText w:val="%5."/>
      <w:lvlJc w:val="left"/>
      <w:pPr>
        <w:tabs>
          <w:tab w:val="num" w:pos="3600"/>
        </w:tabs>
        <w:ind w:left="3600" w:hanging="360"/>
      </w:pPr>
      <w:rPr>
        <w:rFonts w:cs="Times New Roman"/>
      </w:rPr>
    </w:lvl>
    <w:lvl w:ilvl="5" w:tplc="04070005" w:tentative="1">
      <w:start w:val="1"/>
      <w:numFmt w:val="lowerRoman"/>
      <w:lvlText w:val="%6."/>
      <w:lvlJc w:val="right"/>
      <w:pPr>
        <w:tabs>
          <w:tab w:val="num" w:pos="4320"/>
        </w:tabs>
        <w:ind w:left="4320" w:hanging="180"/>
      </w:pPr>
      <w:rPr>
        <w:rFonts w:cs="Times New Roman"/>
      </w:rPr>
    </w:lvl>
    <w:lvl w:ilvl="6" w:tplc="04070001" w:tentative="1">
      <w:start w:val="1"/>
      <w:numFmt w:val="decimal"/>
      <w:lvlText w:val="%7."/>
      <w:lvlJc w:val="left"/>
      <w:pPr>
        <w:tabs>
          <w:tab w:val="num" w:pos="5040"/>
        </w:tabs>
        <w:ind w:left="5040" w:hanging="360"/>
      </w:pPr>
      <w:rPr>
        <w:rFonts w:cs="Times New Roman"/>
      </w:rPr>
    </w:lvl>
    <w:lvl w:ilvl="7" w:tplc="04070003" w:tentative="1">
      <w:start w:val="1"/>
      <w:numFmt w:val="lowerLetter"/>
      <w:lvlText w:val="%8."/>
      <w:lvlJc w:val="left"/>
      <w:pPr>
        <w:tabs>
          <w:tab w:val="num" w:pos="5760"/>
        </w:tabs>
        <w:ind w:left="5760" w:hanging="360"/>
      </w:pPr>
      <w:rPr>
        <w:rFonts w:cs="Times New Roman"/>
      </w:rPr>
    </w:lvl>
    <w:lvl w:ilvl="8" w:tplc="04070005" w:tentative="1">
      <w:start w:val="1"/>
      <w:numFmt w:val="lowerRoman"/>
      <w:lvlText w:val="%9."/>
      <w:lvlJc w:val="right"/>
      <w:pPr>
        <w:tabs>
          <w:tab w:val="num" w:pos="6480"/>
        </w:tabs>
        <w:ind w:left="6480" w:hanging="180"/>
      </w:pPr>
      <w:rPr>
        <w:rFonts w:cs="Times New Roman"/>
      </w:rPr>
    </w:lvl>
  </w:abstractNum>
  <w:abstractNum w:abstractNumId="35">
    <w:nsid w:val="53E83C52"/>
    <w:multiLevelType w:val="hybridMultilevel"/>
    <w:tmpl w:val="A6F0B0E0"/>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nsid w:val="58475FE0"/>
    <w:multiLevelType w:val="hybridMultilevel"/>
    <w:tmpl w:val="D1B83FF4"/>
    <w:lvl w:ilvl="0" w:tplc="08090017">
      <w:start w:val="1"/>
      <w:numFmt w:val="lowerLetter"/>
      <w:lvlText w:val="%1)"/>
      <w:lvlJc w:val="left"/>
      <w:pPr>
        <w:ind w:left="2338" w:hanging="360"/>
      </w:pPr>
    </w:lvl>
    <w:lvl w:ilvl="1" w:tplc="08090019" w:tentative="1">
      <w:start w:val="1"/>
      <w:numFmt w:val="lowerLetter"/>
      <w:lvlText w:val="%2."/>
      <w:lvlJc w:val="left"/>
      <w:pPr>
        <w:ind w:left="3058" w:hanging="360"/>
      </w:pPr>
    </w:lvl>
    <w:lvl w:ilvl="2" w:tplc="0809001B" w:tentative="1">
      <w:start w:val="1"/>
      <w:numFmt w:val="lowerRoman"/>
      <w:lvlText w:val="%3."/>
      <w:lvlJc w:val="right"/>
      <w:pPr>
        <w:ind w:left="3778" w:hanging="180"/>
      </w:pPr>
    </w:lvl>
    <w:lvl w:ilvl="3" w:tplc="0809000F" w:tentative="1">
      <w:start w:val="1"/>
      <w:numFmt w:val="decimal"/>
      <w:lvlText w:val="%4."/>
      <w:lvlJc w:val="left"/>
      <w:pPr>
        <w:ind w:left="4498" w:hanging="360"/>
      </w:pPr>
    </w:lvl>
    <w:lvl w:ilvl="4" w:tplc="08090019" w:tentative="1">
      <w:start w:val="1"/>
      <w:numFmt w:val="lowerLetter"/>
      <w:lvlText w:val="%5."/>
      <w:lvlJc w:val="left"/>
      <w:pPr>
        <w:ind w:left="5218" w:hanging="360"/>
      </w:pPr>
    </w:lvl>
    <w:lvl w:ilvl="5" w:tplc="0809001B" w:tentative="1">
      <w:start w:val="1"/>
      <w:numFmt w:val="lowerRoman"/>
      <w:lvlText w:val="%6."/>
      <w:lvlJc w:val="right"/>
      <w:pPr>
        <w:ind w:left="5938" w:hanging="180"/>
      </w:pPr>
    </w:lvl>
    <w:lvl w:ilvl="6" w:tplc="0809000F" w:tentative="1">
      <w:start w:val="1"/>
      <w:numFmt w:val="decimal"/>
      <w:lvlText w:val="%7."/>
      <w:lvlJc w:val="left"/>
      <w:pPr>
        <w:ind w:left="6658" w:hanging="360"/>
      </w:pPr>
    </w:lvl>
    <w:lvl w:ilvl="7" w:tplc="08090019" w:tentative="1">
      <w:start w:val="1"/>
      <w:numFmt w:val="lowerLetter"/>
      <w:lvlText w:val="%8."/>
      <w:lvlJc w:val="left"/>
      <w:pPr>
        <w:ind w:left="7378" w:hanging="360"/>
      </w:pPr>
    </w:lvl>
    <w:lvl w:ilvl="8" w:tplc="0809001B" w:tentative="1">
      <w:start w:val="1"/>
      <w:numFmt w:val="lowerRoman"/>
      <w:lvlText w:val="%9."/>
      <w:lvlJc w:val="right"/>
      <w:pPr>
        <w:ind w:left="8098" w:hanging="180"/>
      </w:pPr>
    </w:lvl>
  </w:abstractNum>
  <w:abstractNum w:abstractNumId="37">
    <w:nsid w:val="596827F6"/>
    <w:multiLevelType w:val="hybridMultilevel"/>
    <w:tmpl w:val="F0F6B20E"/>
    <w:lvl w:ilvl="0" w:tplc="C25E2F04">
      <w:start w:val="119"/>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8">
    <w:nsid w:val="5B5F0C9B"/>
    <w:multiLevelType w:val="hybridMultilevel"/>
    <w:tmpl w:val="6E8C4D94"/>
    <w:lvl w:ilvl="0" w:tplc="08090001">
      <w:start w:val="1"/>
      <w:numFmt w:val="bullet"/>
      <w:lvlText w:val=""/>
      <w:lvlJc w:val="left"/>
      <w:pPr>
        <w:ind w:left="808" w:hanging="360"/>
      </w:pPr>
      <w:rPr>
        <w:rFonts w:ascii="Symbol" w:hAnsi="Symbol" w:hint="default"/>
      </w:rPr>
    </w:lvl>
    <w:lvl w:ilvl="1" w:tplc="08090003" w:tentative="1">
      <w:start w:val="1"/>
      <w:numFmt w:val="bullet"/>
      <w:lvlText w:val="o"/>
      <w:lvlJc w:val="left"/>
      <w:pPr>
        <w:ind w:left="1528" w:hanging="360"/>
      </w:pPr>
      <w:rPr>
        <w:rFonts w:ascii="Courier New" w:hAnsi="Courier New" w:cs="Courier New" w:hint="default"/>
      </w:rPr>
    </w:lvl>
    <w:lvl w:ilvl="2" w:tplc="08090005" w:tentative="1">
      <w:start w:val="1"/>
      <w:numFmt w:val="bullet"/>
      <w:lvlText w:val=""/>
      <w:lvlJc w:val="left"/>
      <w:pPr>
        <w:ind w:left="2248" w:hanging="360"/>
      </w:pPr>
      <w:rPr>
        <w:rFonts w:ascii="Wingdings" w:hAnsi="Wingdings" w:hint="default"/>
      </w:rPr>
    </w:lvl>
    <w:lvl w:ilvl="3" w:tplc="08090001" w:tentative="1">
      <w:start w:val="1"/>
      <w:numFmt w:val="bullet"/>
      <w:lvlText w:val=""/>
      <w:lvlJc w:val="left"/>
      <w:pPr>
        <w:ind w:left="2968" w:hanging="360"/>
      </w:pPr>
      <w:rPr>
        <w:rFonts w:ascii="Symbol" w:hAnsi="Symbol" w:hint="default"/>
      </w:rPr>
    </w:lvl>
    <w:lvl w:ilvl="4" w:tplc="08090003" w:tentative="1">
      <w:start w:val="1"/>
      <w:numFmt w:val="bullet"/>
      <w:lvlText w:val="o"/>
      <w:lvlJc w:val="left"/>
      <w:pPr>
        <w:ind w:left="3688" w:hanging="360"/>
      </w:pPr>
      <w:rPr>
        <w:rFonts w:ascii="Courier New" w:hAnsi="Courier New" w:cs="Courier New" w:hint="default"/>
      </w:rPr>
    </w:lvl>
    <w:lvl w:ilvl="5" w:tplc="08090005" w:tentative="1">
      <w:start w:val="1"/>
      <w:numFmt w:val="bullet"/>
      <w:lvlText w:val=""/>
      <w:lvlJc w:val="left"/>
      <w:pPr>
        <w:ind w:left="4408" w:hanging="360"/>
      </w:pPr>
      <w:rPr>
        <w:rFonts w:ascii="Wingdings" w:hAnsi="Wingdings" w:hint="default"/>
      </w:rPr>
    </w:lvl>
    <w:lvl w:ilvl="6" w:tplc="08090001" w:tentative="1">
      <w:start w:val="1"/>
      <w:numFmt w:val="bullet"/>
      <w:lvlText w:val=""/>
      <w:lvlJc w:val="left"/>
      <w:pPr>
        <w:ind w:left="5128" w:hanging="360"/>
      </w:pPr>
      <w:rPr>
        <w:rFonts w:ascii="Symbol" w:hAnsi="Symbol" w:hint="default"/>
      </w:rPr>
    </w:lvl>
    <w:lvl w:ilvl="7" w:tplc="08090003" w:tentative="1">
      <w:start w:val="1"/>
      <w:numFmt w:val="bullet"/>
      <w:lvlText w:val="o"/>
      <w:lvlJc w:val="left"/>
      <w:pPr>
        <w:ind w:left="5848" w:hanging="360"/>
      </w:pPr>
      <w:rPr>
        <w:rFonts w:ascii="Courier New" w:hAnsi="Courier New" w:cs="Courier New" w:hint="default"/>
      </w:rPr>
    </w:lvl>
    <w:lvl w:ilvl="8" w:tplc="08090005" w:tentative="1">
      <w:start w:val="1"/>
      <w:numFmt w:val="bullet"/>
      <w:lvlText w:val=""/>
      <w:lvlJc w:val="left"/>
      <w:pPr>
        <w:ind w:left="6568" w:hanging="360"/>
      </w:pPr>
      <w:rPr>
        <w:rFonts w:ascii="Wingdings" w:hAnsi="Wingdings" w:hint="default"/>
      </w:rPr>
    </w:lvl>
  </w:abstractNum>
  <w:abstractNum w:abstractNumId="39">
    <w:nsid w:val="5B976757"/>
    <w:multiLevelType w:val="hybridMultilevel"/>
    <w:tmpl w:val="F0F6B20E"/>
    <w:lvl w:ilvl="0" w:tplc="C25E2F04">
      <w:start w:val="119"/>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nsid w:val="5BA1738F"/>
    <w:multiLevelType w:val="hybridMultilevel"/>
    <w:tmpl w:val="2FE2799E"/>
    <w:lvl w:ilvl="0" w:tplc="04090003">
      <w:start w:val="1"/>
      <w:numFmt w:val="decimal"/>
      <w:pStyle w:val="Instructionsberschrift3"/>
      <w:lvlText w:val="%1.1.1"/>
      <w:lvlJc w:val="left"/>
      <w:pPr>
        <w:ind w:left="720" w:hanging="360"/>
      </w:pPr>
      <w:rPr>
        <w:rFonts w:cs="Times New Roman" w:hint="default"/>
      </w:rPr>
    </w:lvl>
    <w:lvl w:ilvl="1" w:tplc="04090005" w:tentative="1">
      <w:start w:val="1"/>
      <w:numFmt w:val="lowerLetter"/>
      <w:lvlText w:val="%2."/>
      <w:lvlJc w:val="left"/>
      <w:pPr>
        <w:ind w:left="1440" w:hanging="360"/>
      </w:pPr>
      <w:rPr>
        <w:rFonts w:cs="Times New Roman"/>
      </w:rPr>
    </w:lvl>
    <w:lvl w:ilvl="2" w:tplc="04090005">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1">
    <w:nsid w:val="5BB46186"/>
    <w:multiLevelType w:val="hybridMultilevel"/>
    <w:tmpl w:val="341445EC"/>
    <w:lvl w:ilvl="0" w:tplc="08090017">
      <w:start w:val="1"/>
      <w:numFmt w:val="lowerLetter"/>
      <w:lvlText w:val="%1)"/>
      <w:lvlJc w:val="left"/>
      <w:pPr>
        <w:ind w:left="1353" w:hanging="360"/>
      </w:pPr>
    </w:lvl>
    <w:lvl w:ilvl="1" w:tplc="04070003">
      <w:start w:val="1"/>
      <w:numFmt w:val="lowerLetter"/>
      <w:lvlText w:val="%2."/>
      <w:lvlJc w:val="left"/>
      <w:pPr>
        <w:ind w:left="1440" w:hanging="360"/>
      </w:pPr>
      <w:rPr>
        <w:rFonts w:cs="Times New Roman"/>
      </w:rPr>
    </w:lvl>
    <w:lvl w:ilvl="2" w:tplc="04070005" w:tentative="1">
      <w:start w:val="1"/>
      <w:numFmt w:val="lowerRoman"/>
      <w:lvlText w:val="%3."/>
      <w:lvlJc w:val="right"/>
      <w:pPr>
        <w:ind w:left="2160" w:hanging="180"/>
      </w:pPr>
      <w:rPr>
        <w:rFonts w:cs="Times New Roman"/>
      </w:rPr>
    </w:lvl>
    <w:lvl w:ilvl="3" w:tplc="04070001">
      <w:start w:val="1"/>
      <w:numFmt w:val="decimal"/>
      <w:lvlText w:val="%4."/>
      <w:lvlJc w:val="left"/>
      <w:pPr>
        <w:ind w:left="2880" w:hanging="360"/>
      </w:pPr>
      <w:rPr>
        <w:rFonts w:cs="Times New Roman"/>
      </w:rPr>
    </w:lvl>
    <w:lvl w:ilvl="4" w:tplc="04070003" w:tentative="1">
      <w:start w:val="1"/>
      <w:numFmt w:val="lowerLetter"/>
      <w:lvlText w:val="%5."/>
      <w:lvlJc w:val="left"/>
      <w:pPr>
        <w:ind w:left="3600" w:hanging="360"/>
      </w:pPr>
      <w:rPr>
        <w:rFonts w:cs="Times New Roman"/>
      </w:rPr>
    </w:lvl>
    <w:lvl w:ilvl="5" w:tplc="04070005" w:tentative="1">
      <w:start w:val="1"/>
      <w:numFmt w:val="lowerRoman"/>
      <w:lvlText w:val="%6."/>
      <w:lvlJc w:val="right"/>
      <w:pPr>
        <w:ind w:left="4320" w:hanging="180"/>
      </w:pPr>
      <w:rPr>
        <w:rFonts w:cs="Times New Roman"/>
      </w:rPr>
    </w:lvl>
    <w:lvl w:ilvl="6" w:tplc="04070001" w:tentative="1">
      <w:start w:val="1"/>
      <w:numFmt w:val="decimal"/>
      <w:lvlText w:val="%7."/>
      <w:lvlJc w:val="left"/>
      <w:pPr>
        <w:ind w:left="5040" w:hanging="360"/>
      </w:pPr>
      <w:rPr>
        <w:rFonts w:cs="Times New Roman"/>
      </w:rPr>
    </w:lvl>
    <w:lvl w:ilvl="7" w:tplc="04070003" w:tentative="1">
      <w:start w:val="1"/>
      <w:numFmt w:val="lowerLetter"/>
      <w:lvlText w:val="%8."/>
      <w:lvlJc w:val="left"/>
      <w:pPr>
        <w:ind w:left="5760" w:hanging="360"/>
      </w:pPr>
      <w:rPr>
        <w:rFonts w:cs="Times New Roman"/>
      </w:rPr>
    </w:lvl>
    <w:lvl w:ilvl="8" w:tplc="04070005" w:tentative="1">
      <w:start w:val="1"/>
      <w:numFmt w:val="lowerRoman"/>
      <w:lvlText w:val="%9."/>
      <w:lvlJc w:val="right"/>
      <w:pPr>
        <w:ind w:left="6480" w:hanging="180"/>
      </w:pPr>
      <w:rPr>
        <w:rFonts w:cs="Times New Roman"/>
      </w:rPr>
    </w:lvl>
  </w:abstractNum>
  <w:abstractNum w:abstractNumId="42">
    <w:nsid w:val="5C951B61"/>
    <w:multiLevelType w:val="hybridMultilevel"/>
    <w:tmpl w:val="121C0A42"/>
    <w:lvl w:ilvl="0" w:tplc="040A0017">
      <w:start w:val="1"/>
      <w:numFmt w:val="bullet"/>
      <w:pStyle w:val="Aufzhlungszeichen2"/>
      <w:lvlText w:val=""/>
      <w:lvlJc w:val="left"/>
      <w:pPr>
        <w:tabs>
          <w:tab w:val="num" w:pos="714"/>
        </w:tabs>
        <w:ind w:left="714" w:hanging="357"/>
      </w:pPr>
      <w:rPr>
        <w:rFonts w:ascii="Wingdings" w:hAnsi="Wingdings" w:hint="default"/>
        <w:sz w:val="32"/>
      </w:rPr>
    </w:lvl>
    <w:lvl w:ilvl="1" w:tplc="040A0019" w:tentative="1">
      <w:start w:val="1"/>
      <w:numFmt w:val="bullet"/>
      <w:lvlText w:val="o"/>
      <w:lvlJc w:val="left"/>
      <w:pPr>
        <w:tabs>
          <w:tab w:val="num" w:pos="1797"/>
        </w:tabs>
        <w:ind w:left="1797" w:hanging="360"/>
      </w:pPr>
      <w:rPr>
        <w:rFonts w:ascii="Courier New" w:hAnsi="Courier New" w:hint="default"/>
      </w:rPr>
    </w:lvl>
    <w:lvl w:ilvl="2" w:tplc="040A001B" w:tentative="1">
      <w:start w:val="1"/>
      <w:numFmt w:val="bullet"/>
      <w:lvlText w:val=""/>
      <w:lvlJc w:val="left"/>
      <w:pPr>
        <w:tabs>
          <w:tab w:val="num" w:pos="2517"/>
        </w:tabs>
        <w:ind w:left="2517" w:hanging="360"/>
      </w:pPr>
      <w:rPr>
        <w:rFonts w:ascii="Wingdings" w:hAnsi="Wingdings" w:hint="default"/>
      </w:rPr>
    </w:lvl>
    <w:lvl w:ilvl="3" w:tplc="040A000F" w:tentative="1">
      <w:start w:val="1"/>
      <w:numFmt w:val="bullet"/>
      <w:lvlText w:val=""/>
      <w:lvlJc w:val="left"/>
      <w:pPr>
        <w:tabs>
          <w:tab w:val="num" w:pos="3237"/>
        </w:tabs>
        <w:ind w:left="3237" w:hanging="360"/>
      </w:pPr>
      <w:rPr>
        <w:rFonts w:ascii="Symbol" w:hAnsi="Symbol" w:hint="default"/>
      </w:rPr>
    </w:lvl>
    <w:lvl w:ilvl="4" w:tplc="040A0019" w:tentative="1">
      <w:start w:val="1"/>
      <w:numFmt w:val="bullet"/>
      <w:lvlText w:val="o"/>
      <w:lvlJc w:val="left"/>
      <w:pPr>
        <w:tabs>
          <w:tab w:val="num" w:pos="3957"/>
        </w:tabs>
        <w:ind w:left="3957" w:hanging="360"/>
      </w:pPr>
      <w:rPr>
        <w:rFonts w:ascii="Courier New" w:hAnsi="Courier New" w:hint="default"/>
      </w:rPr>
    </w:lvl>
    <w:lvl w:ilvl="5" w:tplc="040A001B" w:tentative="1">
      <w:start w:val="1"/>
      <w:numFmt w:val="bullet"/>
      <w:lvlText w:val=""/>
      <w:lvlJc w:val="left"/>
      <w:pPr>
        <w:tabs>
          <w:tab w:val="num" w:pos="4677"/>
        </w:tabs>
        <w:ind w:left="4677" w:hanging="360"/>
      </w:pPr>
      <w:rPr>
        <w:rFonts w:ascii="Wingdings" w:hAnsi="Wingdings" w:hint="default"/>
      </w:rPr>
    </w:lvl>
    <w:lvl w:ilvl="6" w:tplc="040A000F" w:tentative="1">
      <w:start w:val="1"/>
      <w:numFmt w:val="bullet"/>
      <w:lvlText w:val=""/>
      <w:lvlJc w:val="left"/>
      <w:pPr>
        <w:tabs>
          <w:tab w:val="num" w:pos="5397"/>
        </w:tabs>
        <w:ind w:left="5397" w:hanging="360"/>
      </w:pPr>
      <w:rPr>
        <w:rFonts w:ascii="Symbol" w:hAnsi="Symbol" w:hint="default"/>
      </w:rPr>
    </w:lvl>
    <w:lvl w:ilvl="7" w:tplc="040A0019" w:tentative="1">
      <w:start w:val="1"/>
      <w:numFmt w:val="bullet"/>
      <w:lvlText w:val="o"/>
      <w:lvlJc w:val="left"/>
      <w:pPr>
        <w:tabs>
          <w:tab w:val="num" w:pos="6117"/>
        </w:tabs>
        <w:ind w:left="6117" w:hanging="360"/>
      </w:pPr>
      <w:rPr>
        <w:rFonts w:ascii="Courier New" w:hAnsi="Courier New" w:hint="default"/>
      </w:rPr>
    </w:lvl>
    <w:lvl w:ilvl="8" w:tplc="040A001B" w:tentative="1">
      <w:start w:val="1"/>
      <w:numFmt w:val="bullet"/>
      <w:lvlText w:val=""/>
      <w:lvlJc w:val="left"/>
      <w:pPr>
        <w:tabs>
          <w:tab w:val="num" w:pos="6837"/>
        </w:tabs>
        <w:ind w:left="6837" w:hanging="360"/>
      </w:pPr>
      <w:rPr>
        <w:rFonts w:ascii="Wingdings" w:hAnsi="Wingdings" w:hint="default"/>
      </w:rPr>
    </w:lvl>
  </w:abstractNum>
  <w:abstractNum w:abstractNumId="43">
    <w:nsid w:val="647057A3"/>
    <w:multiLevelType w:val="hybridMultilevel"/>
    <w:tmpl w:val="13420D26"/>
    <w:lvl w:ilvl="0" w:tplc="91F28F2A">
      <w:start w:val="1"/>
      <w:numFmt w:val="decimal"/>
      <w:pStyle w:val="Nummerierungsart1"/>
      <w:lvlText w:val="%1."/>
      <w:lvlJc w:val="left"/>
      <w:pPr>
        <w:tabs>
          <w:tab w:val="num" w:pos="357"/>
        </w:tabs>
        <w:ind w:left="357" w:hanging="357"/>
      </w:pPr>
      <w:rPr>
        <w:rFonts w:cs="Times New Roman" w:hint="default"/>
      </w:rPr>
    </w:lvl>
    <w:lvl w:ilvl="1" w:tplc="04070019" w:tentative="1">
      <w:start w:val="1"/>
      <w:numFmt w:val="lowerLetter"/>
      <w:lvlText w:val="%2."/>
      <w:lvlJc w:val="left"/>
      <w:pPr>
        <w:tabs>
          <w:tab w:val="num" w:pos="1440"/>
        </w:tabs>
        <w:ind w:left="1440" w:hanging="360"/>
      </w:pPr>
      <w:rPr>
        <w:rFonts w:cs="Times New Roman"/>
      </w:rPr>
    </w:lvl>
    <w:lvl w:ilvl="2" w:tplc="0407001B" w:tentative="1">
      <w:start w:val="1"/>
      <w:numFmt w:val="lowerRoman"/>
      <w:lvlText w:val="%3."/>
      <w:lvlJc w:val="right"/>
      <w:pPr>
        <w:tabs>
          <w:tab w:val="num" w:pos="2160"/>
        </w:tabs>
        <w:ind w:left="2160" w:hanging="180"/>
      </w:pPr>
      <w:rPr>
        <w:rFonts w:cs="Times New Roman"/>
      </w:rPr>
    </w:lvl>
    <w:lvl w:ilvl="3" w:tplc="0407000F" w:tentative="1">
      <w:start w:val="1"/>
      <w:numFmt w:val="decimal"/>
      <w:lvlText w:val="%4."/>
      <w:lvlJc w:val="left"/>
      <w:pPr>
        <w:tabs>
          <w:tab w:val="num" w:pos="2880"/>
        </w:tabs>
        <w:ind w:left="2880" w:hanging="360"/>
      </w:pPr>
      <w:rPr>
        <w:rFonts w:cs="Times New Roman"/>
      </w:rPr>
    </w:lvl>
    <w:lvl w:ilvl="4" w:tplc="04070019" w:tentative="1">
      <w:start w:val="1"/>
      <w:numFmt w:val="lowerLetter"/>
      <w:lvlText w:val="%5."/>
      <w:lvlJc w:val="left"/>
      <w:pPr>
        <w:tabs>
          <w:tab w:val="num" w:pos="3600"/>
        </w:tabs>
        <w:ind w:left="3600" w:hanging="360"/>
      </w:pPr>
      <w:rPr>
        <w:rFonts w:cs="Times New Roman"/>
      </w:rPr>
    </w:lvl>
    <w:lvl w:ilvl="5" w:tplc="0407001B" w:tentative="1">
      <w:start w:val="1"/>
      <w:numFmt w:val="lowerRoman"/>
      <w:lvlText w:val="%6."/>
      <w:lvlJc w:val="right"/>
      <w:pPr>
        <w:tabs>
          <w:tab w:val="num" w:pos="4320"/>
        </w:tabs>
        <w:ind w:left="4320" w:hanging="180"/>
      </w:pPr>
      <w:rPr>
        <w:rFonts w:cs="Times New Roman"/>
      </w:rPr>
    </w:lvl>
    <w:lvl w:ilvl="6" w:tplc="0407000F" w:tentative="1">
      <w:start w:val="1"/>
      <w:numFmt w:val="decimal"/>
      <w:lvlText w:val="%7."/>
      <w:lvlJc w:val="left"/>
      <w:pPr>
        <w:tabs>
          <w:tab w:val="num" w:pos="5040"/>
        </w:tabs>
        <w:ind w:left="5040" w:hanging="360"/>
      </w:pPr>
      <w:rPr>
        <w:rFonts w:cs="Times New Roman"/>
      </w:rPr>
    </w:lvl>
    <w:lvl w:ilvl="7" w:tplc="04070019" w:tentative="1">
      <w:start w:val="1"/>
      <w:numFmt w:val="lowerLetter"/>
      <w:lvlText w:val="%8."/>
      <w:lvlJc w:val="left"/>
      <w:pPr>
        <w:tabs>
          <w:tab w:val="num" w:pos="5760"/>
        </w:tabs>
        <w:ind w:left="5760" w:hanging="360"/>
      </w:pPr>
      <w:rPr>
        <w:rFonts w:cs="Times New Roman"/>
      </w:rPr>
    </w:lvl>
    <w:lvl w:ilvl="8" w:tplc="0407001B" w:tentative="1">
      <w:start w:val="1"/>
      <w:numFmt w:val="lowerRoman"/>
      <w:lvlText w:val="%9."/>
      <w:lvlJc w:val="right"/>
      <w:pPr>
        <w:tabs>
          <w:tab w:val="num" w:pos="6480"/>
        </w:tabs>
        <w:ind w:left="6480" w:hanging="180"/>
      </w:pPr>
      <w:rPr>
        <w:rFonts w:cs="Times New Roman"/>
      </w:rPr>
    </w:lvl>
  </w:abstractNum>
  <w:abstractNum w:abstractNumId="44">
    <w:nsid w:val="64BE1E33"/>
    <w:multiLevelType w:val="multilevel"/>
    <w:tmpl w:val="D29C4EFC"/>
    <w:lvl w:ilvl="0">
      <w:start w:val="1"/>
      <w:numFmt w:val="decimal"/>
      <w:lvlText w:val="%1."/>
      <w:lvlJc w:val="left"/>
      <w:pPr>
        <w:ind w:left="357" w:hanging="357"/>
      </w:pPr>
      <w:rPr>
        <w:rFonts w:cs="Times New Roman" w:hint="default"/>
      </w:rPr>
    </w:lvl>
    <w:lvl w:ilvl="1">
      <w:start w:val="1"/>
      <w:numFmt w:val="decimal"/>
      <w:lvlText w:val="%1.%2."/>
      <w:lvlJc w:val="left"/>
      <w:pPr>
        <w:ind w:left="357" w:hanging="357"/>
      </w:pPr>
      <w:rPr>
        <w:rFonts w:cs="Times New Roman" w:hint="default"/>
      </w:rPr>
    </w:lvl>
    <w:lvl w:ilvl="2">
      <w:start w:val="1"/>
      <w:numFmt w:val="decimal"/>
      <w:lvlText w:val="%1.%2.%3."/>
      <w:lvlJc w:val="left"/>
      <w:pPr>
        <w:ind w:left="357" w:hanging="357"/>
      </w:pPr>
      <w:rPr>
        <w:rFonts w:cs="Times New Roman" w:hint="default"/>
      </w:rPr>
    </w:lvl>
    <w:lvl w:ilvl="3">
      <w:start w:val="1"/>
      <w:numFmt w:val="decimal"/>
      <w:lvlText w:val="%1.%2.%3.%4."/>
      <w:lvlJc w:val="left"/>
      <w:pPr>
        <w:ind w:left="357" w:hanging="357"/>
      </w:pPr>
      <w:rPr>
        <w:rFonts w:cs="Times New Roman" w:hint="default"/>
      </w:rPr>
    </w:lvl>
    <w:lvl w:ilvl="4">
      <w:start w:val="1"/>
      <w:numFmt w:val="decimal"/>
      <w:lvlText w:val="%1.%2.%3.%4.%5."/>
      <w:lvlJc w:val="left"/>
      <w:pPr>
        <w:ind w:left="357" w:hanging="357"/>
      </w:pPr>
      <w:rPr>
        <w:rFonts w:cs="Times New Roman" w:hint="default"/>
      </w:rPr>
    </w:lvl>
    <w:lvl w:ilvl="5">
      <w:start w:val="1"/>
      <w:numFmt w:val="decimal"/>
      <w:lvlText w:val="%1.%2.%3.%4.%5.%6."/>
      <w:lvlJc w:val="left"/>
      <w:pPr>
        <w:ind w:left="357" w:hanging="357"/>
      </w:pPr>
      <w:rPr>
        <w:rFonts w:cs="Times New Roman" w:hint="default"/>
      </w:rPr>
    </w:lvl>
    <w:lvl w:ilvl="6">
      <w:start w:val="1"/>
      <w:numFmt w:val="decimal"/>
      <w:lvlText w:val="%1.%2.%3.%4.%5.%6.%7."/>
      <w:lvlJc w:val="left"/>
      <w:pPr>
        <w:ind w:left="357" w:hanging="357"/>
      </w:pPr>
      <w:rPr>
        <w:rFonts w:cs="Times New Roman" w:hint="default"/>
      </w:rPr>
    </w:lvl>
    <w:lvl w:ilvl="7">
      <w:start w:val="1"/>
      <w:numFmt w:val="decimal"/>
      <w:lvlText w:val="%1.%2.%3.%4.%5.%6.%7.%8."/>
      <w:lvlJc w:val="left"/>
      <w:pPr>
        <w:ind w:left="357" w:hanging="357"/>
      </w:pPr>
      <w:rPr>
        <w:rFonts w:cs="Times New Roman" w:hint="default"/>
      </w:rPr>
    </w:lvl>
    <w:lvl w:ilvl="8">
      <w:start w:val="1"/>
      <w:numFmt w:val="decimal"/>
      <w:lvlText w:val="%1.%2.%3.%4.%5.%6.%7.%8.%9."/>
      <w:lvlJc w:val="left"/>
      <w:pPr>
        <w:ind w:left="357" w:hanging="357"/>
      </w:pPr>
      <w:rPr>
        <w:rFonts w:cs="Times New Roman" w:hint="default"/>
      </w:rPr>
    </w:lvl>
  </w:abstractNum>
  <w:abstractNum w:abstractNumId="45">
    <w:nsid w:val="64FB3E53"/>
    <w:multiLevelType w:val="hybridMultilevel"/>
    <w:tmpl w:val="E172833E"/>
    <w:lvl w:ilvl="0" w:tplc="040A0017">
      <w:start w:val="1"/>
      <w:numFmt w:val="bullet"/>
      <w:lvlText w:val=""/>
      <w:lvlJc w:val="left"/>
      <w:pPr>
        <w:ind w:left="720" w:hanging="360"/>
      </w:pPr>
      <w:rPr>
        <w:rFonts w:ascii="Symbol" w:hAnsi="Symbol" w:hint="default"/>
      </w:rPr>
    </w:lvl>
    <w:lvl w:ilvl="1" w:tplc="040A0019" w:tentative="1">
      <w:start w:val="1"/>
      <w:numFmt w:val="bullet"/>
      <w:lvlText w:val="o"/>
      <w:lvlJc w:val="left"/>
      <w:pPr>
        <w:ind w:left="1440" w:hanging="360"/>
      </w:pPr>
      <w:rPr>
        <w:rFonts w:ascii="Courier New" w:hAnsi="Courier New" w:hint="default"/>
      </w:rPr>
    </w:lvl>
    <w:lvl w:ilvl="2" w:tplc="040A001B" w:tentative="1">
      <w:start w:val="1"/>
      <w:numFmt w:val="bullet"/>
      <w:lvlText w:val=""/>
      <w:lvlJc w:val="left"/>
      <w:pPr>
        <w:ind w:left="2160" w:hanging="360"/>
      </w:pPr>
      <w:rPr>
        <w:rFonts w:ascii="Wingdings" w:hAnsi="Wingdings" w:hint="default"/>
      </w:rPr>
    </w:lvl>
    <w:lvl w:ilvl="3" w:tplc="040A000F" w:tentative="1">
      <w:start w:val="1"/>
      <w:numFmt w:val="bullet"/>
      <w:lvlText w:val=""/>
      <w:lvlJc w:val="left"/>
      <w:pPr>
        <w:ind w:left="2880" w:hanging="360"/>
      </w:pPr>
      <w:rPr>
        <w:rFonts w:ascii="Symbol" w:hAnsi="Symbol" w:hint="default"/>
      </w:rPr>
    </w:lvl>
    <w:lvl w:ilvl="4" w:tplc="040A0019" w:tentative="1">
      <w:start w:val="1"/>
      <w:numFmt w:val="bullet"/>
      <w:lvlText w:val="o"/>
      <w:lvlJc w:val="left"/>
      <w:pPr>
        <w:ind w:left="3600" w:hanging="360"/>
      </w:pPr>
      <w:rPr>
        <w:rFonts w:ascii="Courier New" w:hAnsi="Courier New" w:hint="default"/>
      </w:rPr>
    </w:lvl>
    <w:lvl w:ilvl="5" w:tplc="040A001B" w:tentative="1">
      <w:start w:val="1"/>
      <w:numFmt w:val="bullet"/>
      <w:lvlText w:val=""/>
      <w:lvlJc w:val="left"/>
      <w:pPr>
        <w:ind w:left="4320" w:hanging="360"/>
      </w:pPr>
      <w:rPr>
        <w:rFonts w:ascii="Wingdings" w:hAnsi="Wingdings" w:hint="default"/>
      </w:rPr>
    </w:lvl>
    <w:lvl w:ilvl="6" w:tplc="040A000F" w:tentative="1">
      <w:start w:val="1"/>
      <w:numFmt w:val="bullet"/>
      <w:lvlText w:val=""/>
      <w:lvlJc w:val="left"/>
      <w:pPr>
        <w:ind w:left="5040" w:hanging="360"/>
      </w:pPr>
      <w:rPr>
        <w:rFonts w:ascii="Symbol" w:hAnsi="Symbol" w:hint="default"/>
      </w:rPr>
    </w:lvl>
    <w:lvl w:ilvl="7" w:tplc="040A0019" w:tentative="1">
      <w:start w:val="1"/>
      <w:numFmt w:val="bullet"/>
      <w:lvlText w:val="o"/>
      <w:lvlJc w:val="left"/>
      <w:pPr>
        <w:ind w:left="5760" w:hanging="360"/>
      </w:pPr>
      <w:rPr>
        <w:rFonts w:ascii="Courier New" w:hAnsi="Courier New" w:hint="default"/>
      </w:rPr>
    </w:lvl>
    <w:lvl w:ilvl="8" w:tplc="040A001B" w:tentative="1">
      <w:start w:val="1"/>
      <w:numFmt w:val="bullet"/>
      <w:lvlText w:val=""/>
      <w:lvlJc w:val="left"/>
      <w:pPr>
        <w:ind w:left="6480" w:hanging="360"/>
      </w:pPr>
      <w:rPr>
        <w:rFonts w:ascii="Wingdings" w:hAnsi="Wingdings" w:hint="default"/>
      </w:rPr>
    </w:lvl>
  </w:abstractNum>
  <w:abstractNum w:abstractNumId="46">
    <w:nsid w:val="654F4121"/>
    <w:multiLevelType w:val="hybridMultilevel"/>
    <w:tmpl w:val="96108838"/>
    <w:lvl w:ilvl="0" w:tplc="08090017">
      <w:start w:val="1"/>
      <w:numFmt w:val="lowerLetter"/>
      <w:lvlText w:val="%1)"/>
      <w:lvlJc w:val="left"/>
      <w:pPr>
        <w:ind w:left="1353" w:hanging="360"/>
      </w:pPr>
    </w:lvl>
    <w:lvl w:ilvl="1" w:tplc="04070003">
      <w:start w:val="1"/>
      <w:numFmt w:val="lowerLetter"/>
      <w:lvlText w:val="%2."/>
      <w:lvlJc w:val="left"/>
      <w:pPr>
        <w:ind w:left="1440" w:hanging="360"/>
      </w:pPr>
      <w:rPr>
        <w:rFonts w:cs="Times New Roman"/>
      </w:rPr>
    </w:lvl>
    <w:lvl w:ilvl="2" w:tplc="04070005" w:tentative="1">
      <w:start w:val="1"/>
      <w:numFmt w:val="lowerRoman"/>
      <w:lvlText w:val="%3."/>
      <w:lvlJc w:val="right"/>
      <w:pPr>
        <w:ind w:left="2160" w:hanging="180"/>
      </w:pPr>
      <w:rPr>
        <w:rFonts w:cs="Times New Roman"/>
      </w:rPr>
    </w:lvl>
    <w:lvl w:ilvl="3" w:tplc="04070001">
      <w:start w:val="1"/>
      <w:numFmt w:val="decimal"/>
      <w:lvlText w:val="%4."/>
      <w:lvlJc w:val="left"/>
      <w:pPr>
        <w:ind w:left="2880" w:hanging="360"/>
      </w:pPr>
      <w:rPr>
        <w:rFonts w:cs="Times New Roman"/>
      </w:rPr>
    </w:lvl>
    <w:lvl w:ilvl="4" w:tplc="04070003" w:tentative="1">
      <w:start w:val="1"/>
      <w:numFmt w:val="lowerLetter"/>
      <w:lvlText w:val="%5."/>
      <w:lvlJc w:val="left"/>
      <w:pPr>
        <w:ind w:left="3600" w:hanging="360"/>
      </w:pPr>
      <w:rPr>
        <w:rFonts w:cs="Times New Roman"/>
      </w:rPr>
    </w:lvl>
    <w:lvl w:ilvl="5" w:tplc="04070005" w:tentative="1">
      <w:start w:val="1"/>
      <w:numFmt w:val="lowerRoman"/>
      <w:lvlText w:val="%6."/>
      <w:lvlJc w:val="right"/>
      <w:pPr>
        <w:ind w:left="4320" w:hanging="180"/>
      </w:pPr>
      <w:rPr>
        <w:rFonts w:cs="Times New Roman"/>
      </w:rPr>
    </w:lvl>
    <w:lvl w:ilvl="6" w:tplc="04070001" w:tentative="1">
      <w:start w:val="1"/>
      <w:numFmt w:val="decimal"/>
      <w:lvlText w:val="%7."/>
      <w:lvlJc w:val="left"/>
      <w:pPr>
        <w:ind w:left="5040" w:hanging="360"/>
      </w:pPr>
      <w:rPr>
        <w:rFonts w:cs="Times New Roman"/>
      </w:rPr>
    </w:lvl>
    <w:lvl w:ilvl="7" w:tplc="04070003" w:tentative="1">
      <w:start w:val="1"/>
      <w:numFmt w:val="lowerLetter"/>
      <w:lvlText w:val="%8."/>
      <w:lvlJc w:val="left"/>
      <w:pPr>
        <w:ind w:left="5760" w:hanging="360"/>
      </w:pPr>
      <w:rPr>
        <w:rFonts w:cs="Times New Roman"/>
      </w:rPr>
    </w:lvl>
    <w:lvl w:ilvl="8" w:tplc="04070005" w:tentative="1">
      <w:start w:val="1"/>
      <w:numFmt w:val="lowerRoman"/>
      <w:lvlText w:val="%9."/>
      <w:lvlJc w:val="right"/>
      <w:pPr>
        <w:ind w:left="6480" w:hanging="180"/>
      </w:pPr>
      <w:rPr>
        <w:rFonts w:cs="Times New Roman"/>
      </w:rPr>
    </w:lvl>
  </w:abstractNum>
  <w:abstractNum w:abstractNumId="47">
    <w:nsid w:val="65FF3666"/>
    <w:multiLevelType w:val="hybridMultilevel"/>
    <w:tmpl w:val="73AE6B94"/>
    <w:lvl w:ilvl="0" w:tplc="EA30D456">
      <w:start w:val="2"/>
      <w:numFmt w:val="bullet"/>
      <w:lvlText w:val="-"/>
      <w:lvlJc w:val="left"/>
      <w:pPr>
        <w:ind w:left="720" w:hanging="360"/>
      </w:pPr>
      <w:rPr>
        <w:rFonts w:ascii="Verdana" w:eastAsia="Arial" w:hAnsi="Verdan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nsid w:val="66CA2C8C"/>
    <w:multiLevelType w:val="hybridMultilevel"/>
    <w:tmpl w:val="5BF2CFE0"/>
    <w:lvl w:ilvl="0" w:tplc="4BB6D85C">
      <w:start w:val="1"/>
      <w:numFmt w:val="decimal"/>
      <w:pStyle w:val="Instructionsberschrift2"/>
      <w:lvlText w:val="%1.1"/>
      <w:lvlJc w:val="left"/>
      <w:pPr>
        <w:ind w:left="720" w:hanging="360"/>
      </w:pPr>
      <w:rPr>
        <w:rFonts w:cs="Times New Roman" w:hint="default"/>
      </w:rPr>
    </w:lvl>
    <w:lvl w:ilvl="1" w:tplc="E7565B6A">
      <w:start w:val="1"/>
      <w:numFmt w:val="lowerLetter"/>
      <w:lvlText w:val="%2."/>
      <w:lvlJc w:val="left"/>
      <w:pPr>
        <w:ind w:left="1440" w:hanging="360"/>
      </w:pPr>
      <w:rPr>
        <w:rFonts w:cs="Times New Roman"/>
      </w:rPr>
    </w:lvl>
    <w:lvl w:ilvl="2" w:tplc="67A6A44A" w:tentative="1">
      <w:start w:val="1"/>
      <w:numFmt w:val="lowerRoman"/>
      <w:lvlText w:val="%3."/>
      <w:lvlJc w:val="right"/>
      <w:pPr>
        <w:ind w:left="2160" w:hanging="180"/>
      </w:pPr>
      <w:rPr>
        <w:rFonts w:cs="Times New Roman"/>
      </w:rPr>
    </w:lvl>
    <w:lvl w:ilvl="3" w:tplc="21C6EF3C" w:tentative="1">
      <w:start w:val="1"/>
      <w:numFmt w:val="decimal"/>
      <w:lvlText w:val="%4."/>
      <w:lvlJc w:val="left"/>
      <w:pPr>
        <w:ind w:left="2880" w:hanging="360"/>
      </w:pPr>
      <w:rPr>
        <w:rFonts w:cs="Times New Roman"/>
      </w:rPr>
    </w:lvl>
    <w:lvl w:ilvl="4" w:tplc="6C185750" w:tentative="1">
      <w:start w:val="1"/>
      <w:numFmt w:val="lowerLetter"/>
      <w:lvlText w:val="%5."/>
      <w:lvlJc w:val="left"/>
      <w:pPr>
        <w:ind w:left="3600" w:hanging="360"/>
      </w:pPr>
      <w:rPr>
        <w:rFonts w:cs="Times New Roman"/>
      </w:rPr>
    </w:lvl>
    <w:lvl w:ilvl="5" w:tplc="FA46F0F4" w:tentative="1">
      <w:start w:val="1"/>
      <w:numFmt w:val="lowerRoman"/>
      <w:lvlText w:val="%6."/>
      <w:lvlJc w:val="right"/>
      <w:pPr>
        <w:ind w:left="4320" w:hanging="180"/>
      </w:pPr>
      <w:rPr>
        <w:rFonts w:cs="Times New Roman"/>
      </w:rPr>
    </w:lvl>
    <w:lvl w:ilvl="6" w:tplc="84CCF45A" w:tentative="1">
      <w:start w:val="1"/>
      <w:numFmt w:val="decimal"/>
      <w:lvlText w:val="%7."/>
      <w:lvlJc w:val="left"/>
      <w:pPr>
        <w:ind w:left="5040" w:hanging="360"/>
      </w:pPr>
      <w:rPr>
        <w:rFonts w:cs="Times New Roman"/>
      </w:rPr>
    </w:lvl>
    <w:lvl w:ilvl="7" w:tplc="E2FA2386" w:tentative="1">
      <w:start w:val="1"/>
      <w:numFmt w:val="lowerLetter"/>
      <w:lvlText w:val="%8."/>
      <w:lvlJc w:val="left"/>
      <w:pPr>
        <w:ind w:left="5760" w:hanging="360"/>
      </w:pPr>
      <w:rPr>
        <w:rFonts w:cs="Times New Roman"/>
      </w:rPr>
    </w:lvl>
    <w:lvl w:ilvl="8" w:tplc="1E3AE066" w:tentative="1">
      <w:start w:val="1"/>
      <w:numFmt w:val="lowerRoman"/>
      <w:lvlText w:val="%9."/>
      <w:lvlJc w:val="right"/>
      <w:pPr>
        <w:ind w:left="6480" w:hanging="180"/>
      </w:pPr>
      <w:rPr>
        <w:rFonts w:cs="Times New Roman"/>
      </w:rPr>
    </w:lvl>
  </w:abstractNum>
  <w:abstractNum w:abstractNumId="49">
    <w:nsid w:val="67D820F3"/>
    <w:multiLevelType w:val="hybridMultilevel"/>
    <w:tmpl w:val="7B3AFF7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0">
    <w:nsid w:val="692F0EC0"/>
    <w:multiLevelType w:val="multilevel"/>
    <w:tmpl w:val="51EEA844"/>
    <w:styleLink w:val="Formatvorlage1"/>
    <w:lvl w:ilvl="0">
      <w:start w:val="1"/>
      <w:numFmt w:val="bullet"/>
      <w:lvlText w:val=""/>
      <w:lvlJc w:val="left"/>
      <w:pPr>
        <w:tabs>
          <w:tab w:val="num" w:pos="360"/>
        </w:tabs>
        <w:ind w:left="360" w:hanging="360"/>
      </w:pPr>
      <w:rPr>
        <w:rFonts w:ascii="Symbol" w:hAnsi="Symbol" w:hint="default"/>
        <w:sz w:val="28"/>
      </w:rPr>
    </w:lvl>
    <w:lvl w:ilvl="1">
      <w:start w:val="1"/>
      <w:numFmt w:val="bullet"/>
      <w:lvlText w:val=""/>
      <w:lvlJc w:val="left"/>
      <w:pPr>
        <w:tabs>
          <w:tab w:val="num" w:pos="720"/>
        </w:tabs>
        <w:ind w:left="720" w:hanging="360"/>
      </w:pPr>
      <w:rPr>
        <w:rFonts w:ascii="Symbol" w:hAnsi="Symbol" w:hint="default"/>
        <w:sz w:val="24"/>
      </w:rPr>
    </w:lvl>
    <w:lvl w:ilvl="2">
      <w:start w:val="1"/>
      <w:numFmt w:val="bullet"/>
      <w:lvlText w:val=""/>
      <w:lvlJc w:val="left"/>
      <w:pPr>
        <w:tabs>
          <w:tab w:val="num" w:pos="1072"/>
        </w:tabs>
        <w:ind w:left="1072" w:hanging="358"/>
      </w:pPr>
      <w:rPr>
        <w:rFonts w:ascii="Symbol" w:hAnsi="Symbol" w:hint="default"/>
        <w:sz w:val="22"/>
      </w:rPr>
    </w:lvl>
    <w:lvl w:ilvl="3">
      <w:start w:val="1"/>
      <w:numFmt w:val="bullet"/>
      <w:lvlText w:val=""/>
      <w:lvlJc w:val="left"/>
      <w:pPr>
        <w:tabs>
          <w:tab w:val="num" w:pos="1429"/>
        </w:tabs>
        <w:ind w:left="1429" w:hanging="357"/>
      </w:pPr>
      <w:rPr>
        <w:rFonts w:ascii="Symbol" w:hAnsi="Symbol" w:hint="default"/>
        <w:sz w:val="28"/>
      </w:rPr>
    </w:lvl>
    <w:lvl w:ilvl="4">
      <w:start w:val="1"/>
      <w:numFmt w:val="bullet"/>
      <w:lvlText w:val=""/>
      <w:lvlJc w:val="left"/>
      <w:pPr>
        <w:tabs>
          <w:tab w:val="num" w:pos="1786"/>
        </w:tabs>
        <w:ind w:left="1786" w:hanging="357"/>
      </w:pPr>
      <w:rPr>
        <w:rFonts w:ascii="Symbol" w:hAnsi="Symbol" w:hint="default"/>
        <w:sz w:val="28"/>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1">
    <w:nsid w:val="69FA5EA3"/>
    <w:multiLevelType w:val="multilevel"/>
    <w:tmpl w:val="D29C4EFC"/>
    <w:styleLink w:val="Formatvorlage4"/>
    <w:lvl w:ilvl="0">
      <w:start w:val="1"/>
      <w:numFmt w:val="decimal"/>
      <w:lvlText w:val="%1."/>
      <w:lvlJc w:val="left"/>
      <w:pPr>
        <w:ind w:left="357" w:hanging="357"/>
      </w:pPr>
      <w:rPr>
        <w:rFonts w:cs="Times New Roman" w:hint="default"/>
        <w:u w:val="single"/>
      </w:rPr>
    </w:lvl>
    <w:lvl w:ilvl="1">
      <w:start w:val="1"/>
      <w:numFmt w:val="decimal"/>
      <w:lvlText w:val="%1.%2."/>
      <w:lvlJc w:val="left"/>
      <w:pPr>
        <w:ind w:left="357" w:hanging="357"/>
      </w:pPr>
      <w:rPr>
        <w:rFonts w:cs="Times New Roman" w:hint="default"/>
      </w:rPr>
    </w:lvl>
    <w:lvl w:ilvl="2">
      <w:start w:val="1"/>
      <w:numFmt w:val="decimal"/>
      <w:lvlText w:val="%1.%2.%3."/>
      <w:lvlJc w:val="left"/>
      <w:pPr>
        <w:ind w:left="357" w:hanging="357"/>
      </w:pPr>
      <w:rPr>
        <w:rFonts w:cs="Times New Roman" w:hint="default"/>
      </w:rPr>
    </w:lvl>
    <w:lvl w:ilvl="3">
      <w:start w:val="1"/>
      <w:numFmt w:val="decimal"/>
      <w:lvlText w:val="%1.%2.%3.%4."/>
      <w:lvlJc w:val="left"/>
      <w:pPr>
        <w:ind w:left="357" w:hanging="357"/>
      </w:pPr>
      <w:rPr>
        <w:rFonts w:cs="Times New Roman" w:hint="default"/>
      </w:rPr>
    </w:lvl>
    <w:lvl w:ilvl="4">
      <w:start w:val="1"/>
      <w:numFmt w:val="decimal"/>
      <w:lvlText w:val="%1.%2.%3.%4.%5."/>
      <w:lvlJc w:val="left"/>
      <w:pPr>
        <w:ind w:left="357" w:hanging="357"/>
      </w:pPr>
      <w:rPr>
        <w:rFonts w:cs="Times New Roman" w:hint="default"/>
      </w:rPr>
    </w:lvl>
    <w:lvl w:ilvl="5">
      <w:start w:val="1"/>
      <w:numFmt w:val="decimal"/>
      <w:lvlText w:val="%1.%2.%3.%4.%5.%6."/>
      <w:lvlJc w:val="left"/>
      <w:pPr>
        <w:ind w:left="357" w:hanging="357"/>
      </w:pPr>
      <w:rPr>
        <w:rFonts w:cs="Times New Roman" w:hint="default"/>
      </w:rPr>
    </w:lvl>
    <w:lvl w:ilvl="6">
      <w:start w:val="1"/>
      <w:numFmt w:val="decimal"/>
      <w:lvlText w:val="%1.%2.%3.%4.%5.%6.%7."/>
      <w:lvlJc w:val="left"/>
      <w:pPr>
        <w:ind w:left="357" w:hanging="357"/>
      </w:pPr>
      <w:rPr>
        <w:rFonts w:cs="Times New Roman" w:hint="default"/>
      </w:rPr>
    </w:lvl>
    <w:lvl w:ilvl="7">
      <w:start w:val="1"/>
      <w:numFmt w:val="decimal"/>
      <w:lvlText w:val="%1.%2.%3.%4.%5.%6.%7.%8."/>
      <w:lvlJc w:val="left"/>
      <w:pPr>
        <w:ind w:left="357" w:hanging="357"/>
      </w:pPr>
      <w:rPr>
        <w:rFonts w:cs="Times New Roman" w:hint="default"/>
      </w:rPr>
    </w:lvl>
    <w:lvl w:ilvl="8">
      <w:start w:val="1"/>
      <w:numFmt w:val="decimal"/>
      <w:lvlText w:val="%1.%2.%3.%4.%5.%6.%7.%8.%9."/>
      <w:lvlJc w:val="left"/>
      <w:pPr>
        <w:ind w:left="357" w:hanging="357"/>
      </w:pPr>
      <w:rPr>
        <w:rFonts w:cs="Times New Roman" w:hint="default"/>
      </w:rPr>
    </w:lvl>
  </w:abstractNum>
  <w:abstractNum w:abstractNumId="52">
    <w:nsid w:val="6BA03357"/>
    <w:multiLevelType w:val="hybridMultilevel"/>
    <w:tmpl w:val="E7649974"/>
    <w:lvl w:ilvl="0" w:tplc="7E54E0E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nsid w:val="72242E3E"/>
    <w:multiLevelType w:val="multilevel"/>
    <w:tmpl w:val="51EEA844"/>
    <w:lvl w:ilvl="0">
      <w:start w:val="1"/>
      <w:numFmt w:val="bullet"/>
      <w:pStyle w:val="GliederungmitAufzhlung"/>
      <w:lvlText w:val=""/>
      <w:lvlJc w:val="left"/>
      <w:pPr>
        <w:tabs>
          <w:tab w:val="num" w:pos="360"/>
        </w:tabs>
        <w:ind w:left="360" w:hanging="360"/>
      </w:pPr>
      <w:rPr>
        <w:rFonts w:ascii="Symbol" w:hAnsi="Symbol" w:hint="default"/>
        <w:sz w:val="28"/>
      </w:rPr>
    </w:lvl>
    <w:lvl w:ilvl="1">
      <w:start w:val="1"/>
      <w:numFmt w:val="bullet"/>
      <w:lvlText w:val=""/>
      <w:lvlJc w:val="left"/>
      <w:pPr>
        <w:tabs>
          <w:tab w:val="num" w:pos="720"/>
        </w:tabs>
        <w:ind w:left="720" w:hanging="360"/>
      </w:pPr>
      <w:rPr>
        <w:rFonts w:ascii="Symbol" w:hAnsi="Symbol" w:hint="default"/>
        <w:sz w:val="24"/>
      </w:rPr>
    </w:lvl>
    <w:lvl w:ilvl="2">
      <w:start w:val="1"/>
      <w:numFmt w:val="bullet"/>
      <w:lvlText w:val=""/>
      <w:lvlJc w:val="left"/>
      <w:pPr>
        <w:tabs>
          <w:tab w:val="num" w:pos="1072"/>
        </w:tabs>
        <w:ind w:left="1072" w:hanging="358"/>
      </w:pPr>
      <w:rPr>
        <w:rFonts w:ascii="Symbol" w:hAnsi="Symbol" w:hint="default"/>
        <w:sz w:val="22"/>
      </w:rPr>
    </w:lvl>
    <w:lvl w:ilvl="3">
      <w:start w:val="1"/>
      <w:numFmt w:val="bullet"/>
      <w:lvlText w:val=""/>
      <w:lvlJc w:val="left"/>
      <w:pPr>
        <w:tabs>
          <w:tab w:val="num" w:pos="1429"/>
        </w:tabs>
        <w:ind w:left="1429" w:hanging="357"/>
      </w:pPr>
      <w:rPr>
        <w:rFonts w:ascii="Symbol" w:hAnsi="Symbol" w:hint="default"/>
        <w:sz w:val="18"/>
      </w:rPr>
    </w:lvl>
    <w:lvl w:ilvl="4">
      <w:start w:val="1"/>
      <w:numFmt w:val="bullet"/>
      <w:lvlText w:val=""/>
      <w:lvlJc w:val="left"/>
      <w:pPr>
        <w:tabs>
          <w:tab w:val="num" w:pos="1786"/>
        </w:tabs>
        <w:ind w:left="1786" w:hanging="357"/>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4">
    <w:nsid w:val="72377034"/>
    <w:multiLevelType w:val="hybridMultilevel"/>
    <w:tmpl w:val="D348E89A"/>
    <w:lvl w:ilvl="0" w:tplc="F42CC6B2">
      <w:start w:val="1"/>
      <w:numFmt w:val="bullet"/>
      <w:pStyle w:val="Aufzhlungszeichen3"/>
      <w:lvlText w:val=""/>
      <w:lvlJc w:val="left"/>
      <w:pPr>
        <w:tabs>
          <w:tab w:val="num" w:pos="357"/>
        </w:tabs>
        <w:ind w:left="357" w:hanging="357"/>
      </w:pPr>
      <w:rPr>
        <w:rFonts w:ascii="Wingdings" w:hAnsi="Wingdings" w:hint="default"/>
        <w:sz w:val="22"/>
      </w:rPr>
    </w:lvl>
    <w:lvl w:ilvl="1" w:tplc="3FFC2FA6" w:tentative="1">
      <w:start w:val="1"/>
      <w:numFmt w:val="bullet"/>
      <w:lvlText w:val="o"/>
      <w:lvlJc w:val="left"/>
      <w:pPr>
        <w:tabs>
          <w:tab w:val="num" w:pos="1440"/>
        </w:tabs>
        <w:ind w:left="1440" w:hanging="360"/>
      </w:pPr>
      <w:rPr>
        <w:rFonts w:ascii="Courier New" w:hAnsi="Courier New" w:hint="default"/>
      </w:rPr>
    </w:lvl>
    <w:lvl w:ilvl="2" w:tplc="4DF4E19A" w:tentative="1">
      <w:start w:val="1"/>
      <w:numFmt w:val="bullet"/>
      <w:lvlText w:val=""/>
      <w:lvlJc w:val="left"/>
      <w:pPr>
        <w:tabs>
          <w:tab w:val="num" w:pos="2160"/>
        </w:tabs>
        <w:ind w:left="2160" w:hanging="360"/>
      </w:pPr>
      <w:rPr>
        <w:rFonts w:ascii="Wingdings" w:hAnsi="Wingdings" w:hint="default"/>
      </w:rPr>
    </w:lvl>
    <w:lvl w:ilvl="3" w:tplc="72105B96" w:tentative="1">
      <w:start w:val="1"/>
      <w:numFmt w:val="bullet"/>
      <w:lvlText w:val=""/>
      <w:lvlJc w:val="left"/>
      <w:pPr>
        <w:tabs>
          <w:tab w:val="num" w:pos="2880"/>
        </w:tabs>
        <w:ind w:left="2880" w:hanging="360"/>
      </w:pPr>
      <w:rPr>
        <w:rFonts w:ascii="Symbol" w:hAnsi="Symbol" w:hint="default"/>
      </w:rPr>
    </w:lvl>
    <w:lvl w:ilvl="4" w:tplc="E61A1B3C" w:tentative="1">
      <w:start w:val="1"/>
      <w:numFmt w:val="bullet"/>
      <w:lvlText w:val="o"/>
      <w:lvlJc w:val="left"/>
      <w:pPr>
        <w:tabs>
          <w:tab w:val="num" w:pos="3600"/>
        </w:tabs>
        <w:ind w:left="3600" w:hanging="360"/>
      </w:pPr>
      <w:rPr>
        <w:rFonts w:ascii="Courier New" w:hAnsi="Courier New" w:hint="default"/>
      </w:rPr>
    </w:lvl>
    <w:lvl w:ilvl="5" w:tplc="160AC6CE" w:tentative="1">
      <w:start w:val="1"/>
      <w:numFmt w:val="bullet"/>
      <w:lvlText w:val=""/>
      <w:lvlJc w:val="left"/>
      <w:pPr>
        <w:tabs>
          <w:tab w:val="num" w:pos="4320"/>
        </w:tabs>
        <w:ind w:left="4320" w:hanging="360"/>
      </w:pPr>
      <w:rPr>
        <w:rFonts w:ascii="Wingdings" w:hAnsi="Wingdings" w:hint="default"/>
      </w:rPr>
    </w:lvl>
    <w:lvl w:ilvl="6" w:tplc="88D27BC4" w:tentative="1">
      <w:start w:val="1"/>
      <w:numFmt w:val="bullet"/>
      <w:lvlText w:val=""/>
      <w:lvlJc w:val="left"/>
      <w:pPr>
        <w:tabs>
          <w:tab w:val="num" w:pos="5040"/>
        </w:tabs>
        <w:ind w:left="5040" w:hanging="360"/>
      </w:pPr>
      <w:rPr>
        <w:rFonts w:ascii="Symbol" w:hAnsi="Symbol" w:hint="default"/>
      </w:rPr>
    </w:lvl>
    <w:lvl w:ilvl="7" w:tplc="8D3A7330" w:tentative="1">
      <w:start w:val="1"/>
      <w:numFmt w:val="bullet"/>
      <w:lvlText w:val="o"/>
      <w:lvlJc w:val="left"/>
      <w:pPr>
        <w:tabs>
          <w:tab w:val="num" w:pos="5760"/>
        </w:tabs>
        <w:ind w:left="5760" w:hanging="360"/>
      </w:pPr>
      <w:rPr>
        <w:rFonts w:ascii="Courier New" w:hAnsi="Courier New" w:hint="default"/>
      </w:rPr>
    </w:lvl>
    <w:lvl w:ilvl="8" w:tplc="7F7ADA40" w:tentative="1">
      <w:start w:val="1"/>
      <w:numFmt w:val="bullet"/>
      <w:lvlText w:val=""/>
      <w:lvlJc w:val="left"/>
      <w:pPr>
        <w:tabs>
          <w:tab w:val="num" w:pos="6480"/>
        </w:tabs>
        <w:ind w:left="6480" w:hanging="360"/>
      </w:pPr>
      <w:rPr>
        <w:rFonts w:ascii="Wingdings" w:hAnsi="Wingdings" w:hint="default"/>
      </w:rPr>
    </w:lvl>
  </w:abstractNum>
  <w:abstractNum w:abstractNumId="55">
    <w:nsid w:val="7B6F1D02"/>
    <w:multiLevelType w:val="hybridMultilevel"/>
    <w:tmpl w:val="309C1596"/>
    <w:lvl w:ilvl="0" w:tplc="13D2A4B0">
      <w:start w:val="1"/>
      <w:numFmt w:val="bullet"/>
      <w:lvlText w:val=""/>
      <w:lvlJc w:val="left"/>
      <w:pPr>
        <w:tabs>
          <w:tab w:val="num" w:pos="720"/>
        </w:tabs>
        <w:ind w:left="720" w:hanging="360"/>
      </w:pPr>
      <w:rPr>
        <w:rFonts w:ascii="Symbol" w:hAnsi="Symbol" w:hint="default"/>
      </w:rPr>
    </w:lvl>
    <w:lvl w:ilvl="1" w:tplc="72D82CB2" w:tentative="1">
      <w:start w:val="1"/>
      <w:numFmt w:val="bullet"/>
      <w:lvlText w:val="o"/>
      <w:lvlJc w:val="left"/>
      <w:pPr>
        <w:tabs>
          <w:tab w:val="num" w:pos="1440"/>
        </w:tabs>
        <w:ind w:left="1440" w:hanging="360"/>
      </w:pPr>
      <w:rPr>
        <w:rFonts w:ascii="Courier New" w:hAnsi="Courier New" w:hint="default"/>
      </w:rPr>
    </w:lvl>
    <w:lvl w:ilvl="2" w:tplc="F3D860D8" w:tentative="1">
      <w:start w:val="1"/>
      <w:numFmt w:val="bullet"/>
      <w:lvlText w:val=""/>
      <w:lvlJc w:val="left"/>
      <w:pPr>
        <w:tabs>
          <w:tab w:val="num" w:pos="2160"/>
        </w:tabs>
        <w:ind w:left="2160" w:hanging="360"/>
      </w:pPr>
      <w:rPr>
        <w:rFonts w:ascii="Wingdings" w:hAnsi="Wingdings" w:hint="default"/>
      </w:rPr>
    </w:lvl>
    <w:lvl w:ilvl="3" w:tplc="B8088B2A" w:tentative="1">
      <w:start w:val="1"/>
      <w:numFmt w:val="bullet"/>
      <w:lvlText w:val=""/>
      <w:lvlJc w:val="left"/>
      <w:pPr>
        <w:tabs>
          <w:tab w:val="num" w:pos="2880"/>
        </w:tabs>
        <w:ind w:left="2880" w:hanging="360"/>
      </w:pPr>
      <w:rPr>
        <w:rFonts w:ascii="Symbol" w:hAnsi="Symbol" w:hint="default"/>
      </w:rPr>
    </w:lvl>
    <w:lvl w:ilvl="4" w:tplc="71845B34" w:tentative="1">
      <w:start w:val="1"/>
      <w:numFmt w:val="bullet"/>
      <w:lvlText w:val="o"/>
      <w:lvlJc w:val="left"/>
      <w:pPr>
        <w:tabs>
          <w:tab w:val="num" w:pos="3600"/>
        </w:tabs>
        <w:ind w:left="3600" w:hanging="360"/>
      </w:pPr>
      <w:rPr>
        <w:rFonts w:ascii="Courier New" w:hAnsi="Courier New" w:hint="default"/>
      </w:rPr>
    </w:lvl>
    <w:lvl w:ilvl="5" w:tplc="490A9836" w:tentative="1">
      <w:start w:val="1"/>
      <w:numFmt w:val="bullet"/>
      <w:lvlText w:val=""/>
      <w:lvlJc w:val="left"/>
      <w:pPr>
        <w:tabs>
          <w:tab w:val="num" w:pos="4320"/>
        </w:tabs>
        <w:ind w:left="4320" w:hanging="360"/>
      </w:pPr>
      <w:rPr>
        <w:rFonts w:ascii="Wingdings" w:hAnsi="Wingdings" w:hint="default"/>
      </w:rPr>
    </w:lvl>
    <w:lvl w:ilvl="6" w:tplc="E8D84DA6" w:tentative="1">
      <w:start w:val="1"/>
      <w:numFmt w:val="bullet"/>
      <w:lvlText w:val=""/>
      <w:lvlJc w:val="left"/>
      <w:pPr>
        <w:tabs>
          <w:tab w:val="num" w:pos="5040"/>
        </w:tabs>
        <w:ind w:left="5040" w:hanging="360"/>
      </w:pPr>
      <w:rPr>
        <w:rFonts w:ascii="Symbol" w:hAnsi="Symbol" w:hint="default"/>
      </w:rPr>
    </w:lvl>
    <w:lvl w:ilvl="7" w:tplc="2D5EB902" w:tentative="1">
      <w:start w:val="1"/>
      <w:numFmt w:val="bullet"/>
      <w:lvlText w:val="o"/>
      <w:lvlJc w:val="left"/>
      <w:pPr>
        <w:tabs>
          <w:tab w:val="num" w:pos="5760"/>
        </w:tabs>
        <w:ind w:left="5760" w:hanging="360"/>
      </w:pPr>
      <w:rPr>
        <w:rFonts w:ascii="Courier New" w:hAnsi="Courier New" w:hint="default"/>
      </w:rPr>
    </w:lvl>
    <w:lvl w:ilvl="8" w:tplc="29147270"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42"/>
  </w:num>
  <w:num w:numId="3">
    <w:abstractNumId w:val="54"/>
  </w:num>
  <w:num w:numId="4">
    <w:abstractNumId w:val="31"/>
  </w:num>
  <w:num w:numId="5">
    <w:abstractNumId w:val="50"/>
  </w:num>
  <w:num w:numId="6">
    <w:abstractNumId w:val="27"/>
  </w:num>
  <w:num w:numId="7">
    <w:abstractNumId w:val="53"/>
  </w:num>
  <w:num w:numId="8">
    <w:abstractNumId w:val="13"/>
  </w:num>
  <w:num w:numId="9">
    <w:abstractNumId w:val="43"/>
  </w:num>
  <w:num w:numId="10">
    <w:abstractNumId w:val="24"/>
  </w:num>
  <w:num w:numId="11">
    <w:abstractNumId w:val="34"/>
  </w:num>
  <w:num w:numId="12">
    <w:abstractNumId w:val="20"/>
  </w:num>
  <w:num w:numId="13">
    <w:abstractNumId w:val="23"/>
  </w:num>
  <w:num w:numId="14">
    <w:abstractNumId w:val="48"/>
  </w:num>
  <w:num w:numId="15">
    <w:abstractNumId w:val="40"/>
  </w:num>
  <w:num w:numId="16">
    <w:abstractNumId w:val="22"/>
  </w:num>
  <w:num w:numId="17">
    <w:abstractNumId w:val="33"/>
  </w:num>
  <w:num w:numId="18">
    <w:abstractNumId w:val="21"/>
  </w:num>
  <w:num w:numId="19">
    <w:abstractNumId w:val="51"/>
  </w:num>
  <w:num w:numId="20">
    <w:abstractNumId w:val="0"/>
  </w:num>
  <w:num w:numId="21">
    <w:abstractNumId w:val="6"/>
  </w:num>
  <w:num w:numId="22">
    <w:abstractNumId w:val="44"/>
  </w:num>
  <w:num w:numId="23">
    <w:abstractNumId w:val="19"/>
  </w:num>
  <w:num w:numId="24">
    <w:abstractNumId w:val="29"/>
  </w:num>
  <w:num w:numId="25">
    <w:abstractNumId w:val="17"/>
  </w:num>
  <w:num w:numId="26">
    <w:abstractNumId w:val="32"/>
  </w:num>
  <w:num w:numId="27">
    <w:abstractNumId w:val="12"/>
  </w:num>
  <w:num w:numId="28">
    <w:abstractNumId w:val="18"/>
  </w:num>
  <w:num w:numId="29">
    <w:abstractNumId w:val="14"/>
  </w:num>
  <w:num w:numId="30">
    <w:abstractNumId w:val="30"/>
  </w:num>
  <w:num w:numId="31">
    <w:abstractNumId w:val="4"/>
  </w:num>
  <w:num w:numId="32">
    <w:abstractNumId w:val="1"/>
  </w:num>
  <w:num w:numId="33">
    <w:abstractNumId w:val="3"/>
  </w:num>
  <w:num w:numId="34">
    <w:abstractNumId w:val="35"/>
  </w:num>
  <w:num w:numId="35">
    <w:abstractNumId w:val="8"/>
  </w:num>
  <w:num w:numId="36">
    <w:abstractNumId w:val="45"/>
  </w:num>
  <w:num w:numId="37">
    <w:abstractNumId w:val="9"/>
  </w:num>
  <w:num w:numId="38">
    <w:abstractNumId w:val="15"/>
  </w:num>
  <w:num w:numId="39">
    <w:abstractNumId w:val="55"/>
  </w:num>
  <w:num w:numId="40">
    <w:abstractNumId w:val="49"/>
  </w:num>
  <w:num w:numId="41">
    <w:abstractNumId w:val="25"/>
  </w:num>
  <w:num w:numId="42">
    <w:abstractNumId w:val="11"/>
  </w:num>
  <w:num w:numId="43">
    <w:abstractNumId w:val="36"/>
  </w:num>
  <w:num w:numId="44">
    <w:abstractNumId w:val="5"/>
  </w:num>
  <w:num w:numId="45">
    <w:abstractNumId w:val="46"/>
  </w:num>
  <w:num w:numId="46">
    <w:abstractNumId w:val="41"/>
  </w:num>
  <w:num w:numId="47">
    <w:abstractNumId w:val="16"/>
  </w:num>
  <w:num w:numId="48">
    <w:abstractNumId w:val="52"/>
  </w:num>
  <w:num w:numId="49">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8"/>
  </w:num>
  <w:num w:numId="51">
    <w:abstractNumId w:val="47"/>
  </w:num>
  <w:num w:numId="52">
    <w:abstractNumId w:val="26"/>
  </w:num>
  <w:num w:numId="53">
    <w:abstractNumId w:val="22"/>
  </w:num>
  <w:num w:numId="54">
    <w:abstractNumId w:val="22"/>
  </w:num>
  <w:num w:numId="55">
    <w:abstractNumId w:val="22"/>
  </w:num>
  <w:num w:numId="56">
    <w:abstractNumId w:val="22"/>
  </w:num>
  <w:num w:numId="57">
    <w:abstractNumId w:val="7"/>
  </w:num>
  <w:num w:numId="58">
    <w:abstractNumId w:val="37"/>
  </w:num>
  <w:num w:numId="59">
    <w:abstractNumId w:val="22"/>
  </w:num>
  <w:num w:numId="60">
    <w:abstractNumId w:val="22"/>
  </w:num>
  <w:num w:numId="61">
    <w:abstractNumId w:val="22"/>
  </w:num>
  <w:num w:numId="62">
    <w:abstractNumId w:val="22"/>
  </w:num>
  <w:num w:numId="63">
    <w:abstractNumId w:val="22"/>
  </w:num>
  <w:num w:numId="64">
    <w:abstractNumId w:val="22"/>
  </w:num>
  <w:num w:numId="65">
    <w:abstractNumId w:val="22"/>
  </w:num>
  <w:num w:numId="66">
    <w:abstractNumId w:val="22"/>
  </w:num>
  <w:num w:numId="67">
    <w:abstractNumId w:val="22"/>
  </w:num>
  <w:num w:numId="68">
    <w:abstractNumId w:val="48"/>
  </w:num>
  <w:num w:numId="69">
    <w:abstractNumId w:val="48"/>
  </w:num>
  <w:num w:numId="70">
    <w:abstractNumId w:val="22"/>
  </w:num>
  <w:num w:numId="71">
    <w:abstractNumId w:val="48"/>
  </w:num>
  <w:num w:numId="72">
    <w:abstractNumId w:val="48"/>
  </w:num>
  <w:num w:numId="73">
    <w:abstractNumId w:val="48"/>
  </w:num>
  <w:num w:numId="74">
    <w:abstractNumId w:val="22"/>
  </w:num>
  <w:num w:numId="75">
    <w:abstractNumId w:val="22"/>
  </w:num>
  <w:num w:numId="76">
    <w:abstractNumId w:val="22"/>
  </w:num>
  <w:num w:numId="77">
    <w:abstractNumId w:val="22"/>
  </w:num>
  <w:num w:numId="78">
    <w:abstractNumId w:val="22"/>
  </w:num>
  <w:num w:numId="79">
    <w:abstractNumId w:val="22"/>
  </w:num>
  <w:num w:numId="80">
    <w:abstractNumId w:val="22"/>
  </w:num>
  <w:num w:numId="81">
    <w:abstractNumId w:val="22"/>
  </w:num>
  <w:num w:numId="82">
    <w:abstractNumId w:val="38"/>
  </w:num>
  <w:num w:numId="83">
    <w:abstractNumId w:val="39"/>
  </w:num>
  <w:num w:numId="84">
    <w:abstractNumId w:val="22"/>
  </w:num>
  <w:num w:numId="85">
    <w:abstractNumId w:val="22"/>
  </w:num>
  <w:num w:numId="86">
    <w:abstractNumId w:val="48"/>
  </w:num>
  <w:num w:numId="87">
    <w:abstractNumId w:val="48"/>
  </w:num>
  <w:num w:numId="88">
    <w:abstractNumId w:val="48"/>
  </w:num>
  <w:num w:numId="89">
    <w:abstractNumId w:val="48"/>
  </w:num>
  <w:num w:numId="90">
    <w:abstractNumId w:val="48"/>
  </w:num>
  <w:num w:numId="91">
    <w:abstractNumId w:val="48"/>
  </w:num>
  <w:num w:numId="92">
    <w:abstractNumId w:val="48"/>
  </w:num>
  <w:num w:numId="93">
    <w:abstractNumId w:val="22"/>
  </w:num>
  <w:num w:numId="94">
    <w:abstractNumId w:val="22"/>
  </w:num>
  <w:num w:numId="95">
    <w:abstractNumId w:val="22"/>
  </w:num>
  <w:num w:numId="96">
    <w:abstractNumId w:val="22"/>
  </w:num>
  <w:num w:numId="97">
    <w:abstractNumId w:val="22"/>
  </w:num>
  <w:num w:numId="98">
    <w:abstractNumId w:val="22"/>
  </w:num>
  <w:num w:numId="99">
    <w:abstractNumId w:val="22"/>
  </w:num>
  <w:num w:numId="100">
    <w:abstractNumId w:val="48"/>
  </w:num>
  <w:num w:numId="101">
    <w:abstractNumId w:val="22"/>
  </w:num>
  <w:num w:numId="102">
    <w:abstractNumId w:val="22"/>
  </w:num>
  <w:num w:numId="103">
    <w:abstractNumId w:val="22"/>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08"/>
  <w:autoHyphenation/>
  <w:hyphenationZone w:val="170"/>
  <w:drawingGridHorizontalSpacing w:val="100"/>
  <w:displayHorizontalDrawingGridEvery w:val="2"/>
  <w:characterSpacingControl w:val="doNotCompress"/>
  <w:hdrShapeDefaults>
    <o:shapedefaults v:ext="edit" spidmax="10241"/>
  </w:hdrShapeDefaults>
  <w:footnotePr>
    <w:footnote w:id="-1"/>
    <w:footnote w:id="0"/>
    <w:footnote w:id="1"/>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FigNum" w:val="1"/>
    <w:docVar w:name="LW_DocType" w:val="NORMAL"/>
  </w:docVars>
  <w:rsids>
    <w:rsidRoot w:val="00884FEB"/>
    <w:rsid w:val="000001EC"/>
    <w:rsid w:val="00000255"/>
    <w:rsid w:val="00000F70"/>
    <w:rsid w:val="000017F3"/>
    <w:rsid w:val="000020E5"/>
    <w:rsid w:val="00002933"/>
    <w:rsid w:val="00004478"/>
    <w:rsid w:val="000044B7"/>
    <w:rsid w:val="00004978"/>
    <w:rsid w:val="00004FE8"/>
    <w:rsid w:val="00005078"/>
    <w:rsid w:val="00005765"/>
    <w:rsid w:val="00005FFC"/>
    <w:rsid w:val="00007605"/>
    <w:rsid w:val="00007D0D"/>
    <w:rsid w:val="00011BD0"/>
    <w:rsid w:val="000120EB"/>
    <w:rsid w:val="00014890"/>
    <w:rsid w:val="00014DC3"/>
    <w:rsid w:val="0001693F"/>
    <w:rsid w:val="00020200"/>
    <w:rsid w:val="00020516"/>
    <w:rsid w:val="00020857"/>
    <w:rsid w:val="00020AF9"/>
    <w:rsid w:val="000232E2"/>
    <w:rsid w:val="00023383"/>
    <w:rsid w:val="000243CE"/>
    <w:rsid w:val="00024ED7"/>
    <w:rsid w:val="0002657F"/>
    <w:rsid w:val="00027235"/>
    <w:rsid w:val="000326C1"/>
    <w:rsid w:val="00033C55"/>
    <w:rsid w:val="00034834"/>
    <w:rsid w:val="000359E1"/>
    <w:rsid w:val="00037093"/>
    <w:rsid w:val="000377CC"/>
    <w:rsid w:val="00041480"/>
    <w:rsid w:val="000433C4"/>
    <w:rsid w:val="00045036"/>
    <w:rsid w:val="0004590F"/>
    <w:rsid w:val="000530BC"/>
    <w:rsid w:val="0005400A"/>
    <w:rsid w:val="000548A2"/>
    <w:rsid w:val="0005609F"/>
    <w:rsid w:val="000565B6"/>
    <w:rsid w:val="00056C0F"/>
    <w:rsid w:val="00057154"/>
    <w:rsid w:val="00057362"/>
    <w:rsid w:val="0005746D"/>
    <w:rsid w:val="00061E48"/>
    <w:rsid w:val="00063085"/>
    <w:rsid w:val="00063B3F"/>
    <w:rsid w:val="0006666B"/>
    <w:rsid w:val="00067DC1"/>
    <w:rsid w:val="00067EEA"/>
    <w:rsid w:val="00070AF9"/>
    <w:rsid w:val="00070E18"/>
    <w:rsid w:val="00071341"/>
    <w:rsid w:val="000716F4"/>
    <w:rsid w:val="000758FE"/>
    <w:rsid w:val="00076091"/>
    <w:rsid w:val="00076880"/>
    <w:rsid w:val="00077C5F"/>
    <w:rsid w:val="0008111C"/>
    <w:rsid w:val="000828C6"/>
    <w:rsid w:val="000843B3"/>
    <w:rsid w:val="00084A4D"/>
    <w:rsid w:val="000858A9"/>
    <w:rsid w:val="000903FA"/>
    <w:rsid w:val="0009195D"/>
    <w:rsid w:val="00092F67"/>
    <w:rsid w:val="00093686"/>
    <w:rsid w:val="00094D25"/>
    <w:rsid w:val="00095191"/>
    <w:rsid w:val="0009761E"/>
    <w:rsid w:val="00097C81"/>
    <w:rsid w:val="00097E91"/>
    <w:rsid w:val="000A1955"/>
    <w:rsid w:val="000A3B1A"/>
    <w:rsid w:val="000A4B61"/>
    <w:rsid w:val="000A4C10"/>
    <w:rsid w:val="000A57BC"/>
    <w:rsid w:val="000A7D27"/>
    <w:rsid w:val="000B0B09"/>
    <w:rsid w:val="000B0E46"/>
    <w:rsid w:val="000B0EBE"/>
    <w:rsid w:val="000B13A1"/>
    <w:rsid w:val="000B3C33"/>
    <w:rsid w:val="000B6A14"/>
    <w:rsid w:val="000B70E1"/>
    <w:rsid w:val="000C0127"/>
    <w:rsid w:val="000C0A34"/>
    <w:rsid w:val="000C24B5"/>
    <w:rsid w:val="000C30A6"/>
    <w:rsid w:val="000C4A6C"/>
    <w:rsid w:val="000C5A1A"/>
    <w:rsid w:val="000C7632"/>
    <w:rsid w:val="000D194E"/>
    <w:rsid w:val="000D220D"/>
    <w:rsid w:val="000D3CBC"/>
    <w:rsid w:val="000D4352"/>
    <w:rsid w:val="000D5292"/>
    <w:rsid w:val="000D5958"/>
    <w:rsid w:val="000D6B9B"/>
    <w:rsid w:val="000E093A"/>
    <w:rsid w:val="000E1572"/>
    <w:rsid w:val="000E29C9"/>
    <w:rsid w:val="000E3F99"/>
    <w:rsid w:val="000E6835"/>
    <w:rsid w:val="000E7BA8"/>
    <w:rsid w:val="000E7F08"/>
    <w:rsid w:val="000F13F9"/>
    <w:rsid w:val="000F1CEA"/>
    <w:rsid w:val="000F2EC8"/>
    <w:rsid w:val="000F2F09"/>
    <w:rsid w:val="000F33AF"/>
    <w:rsid w:val="000F46D5"/>
    <w:rsid w:val="000F4702"/>
    <w:rsid w:val="000F6A80"/>
    <w:rsid w:val="000F6B25"/>
    <w:rsid w:val="000F70EC"/>
    <w:rsid w:val="0010177C"/>
    <w:rsid w:val="00102C6F"/>
    <w:rsid w:val="00104370"/>
    <w:rsid w:val="0010455D"/>
    <w:rsid w:val="00104A65"/>
    <w:rsid w:val="0010559F"/>
    <w:rsid w:val="00106FC5"/>
    <w:rsid w:val="00113EA5"/>
    <w:rsid w:val="001151C1"/>
    <w:rsid w:val="0011539B"/>
    <w:rsid w:val="0012049B"/>
    <w:rsid w:val="001219C2"/>
    <w:rsid w:val="00124A44"/>
    <w:rsid w:val="00124B85"/>
    <w:rsid w:val="001250CC"/>
    <w:rsid w:val="00125707"/>
    <w:rsid w:val="00125D44"/>
    <w:rsid w:val="001273B5"/>
    <w:rsid w:val="001323BF"/>
    <w:rsid w:val="00132778"/>
    <w:rsid w:val="00133107"/>
    <w:rsid w:val="001331F5"/>
    <w:rsid w:val="00133AC1"/>
    <w:rsid w:val="00136316"/>
    <w:rsid w:val="00137AC5"/>
    <w:rsid w:val="001402DB"/>
    <w:rsid w:val="001409D9"/>
    <w:rsid w:val="00141DD1"/>
    <w:rsid w:val="001432EE"/>
    <w:rsid w:val="00144F03"/>
    <w:rsid w:val="00146D50"/>
    <w:rsid w:val="001474E0"/>
    <w:rsid w:val="00151071"/>
    <w:rsid w:val="00151B44"/>
    <w:rsid w:val="00151D8A"/>
    <w:rsid w:val="00154859"/>
    <w:rsid w:val="00155114"/>
    <w:rsid w:val="00156555"/>
    <w:rsid w:val="001570C4"/>
    <w:rsid w:val="00157B19"/>
    <w:rsid w:val="0016072E"/>
    <w:rsid w:val="001628F4"/>
    <w:rsid w:val="00162CCF"/>
    <w:rsid w:val="00163DBA"/>
    <w:rsid w:val="00164970"/>
    <w:rsid w:val="00164B62"/>
    <w:rsid w:val="00167E59"/>
    <w:rsid w:val="001721BD"/>
    <w:rsid w:val="001734AB"/>
    <w:rsid w:val="0017440D"/>
    <w:rsid w:val="00175957"/>
    <w:rsid w:val="00181174"/>
    <w:rsid w:val="00181888"/>
    <w:rsid w:val="001822DF"/>
    <w:rsid w:val="00183B7A"/>
    <w:rsid w:val="00184E8A"/>
    <w:rsid w:val="0018533B"/>
    <w:rsid w:val="001854F6"/>
    <w:rsid w:val="00185877"/>
    <w:rsid w:val="00187348"/>
    <w:rsid w:val="00190FA3"/>
    <w:rsid w:val="001919E9"/>
    <w:rsid w:val="001959EF"/>
    <w:rsid w:val="001A2115"/>
    <w:rsid w:val="001A44B3"/>
    <w:rsid w:val="001A523B"/>
    <w:rsid w:val="001A7742"/>
    <w:rsid w:val="001B21AE"/>
    <w:rsid w:val="001B44EE"/>
    <w:rsid w:val="001B4EA5"/>
    <w:rsid w:val="001B5499"/>
    <w:rsid w:val="001B7D0F"/>
    <w:rsid w:val="001B7F1A"/>
    <w:rsid w:val="001C1392"/>
    <w:rsid w:val="001C2BA5"/>
    <w:rsid w:val="001C3D30"/>
    <w:rsid w:val="001C5557"/>
    <w:rsid w:val="001C6416"/>
    <w:rsid w:val="001C7897"/>
    <w:rsid w:val="001C79CB"/>
    <w:rsid w:val="001C7AB7"/>
    <w:rsid w:val="001C7F2A"/>
    <w:rsid w:val="001D1F64"/>
    <w:rsid w:val="001D2FE6"/>
    <w:rsid w:val="001D3409"/>
    <w:rsid w:val="001D7382"/>
    <w:rsid w:val="001E01BA"/>
    <w:rsid w:val="001E38FD"/>
    <w:rsid w:val="001E39E5"/>
    <w:rsid w:val="001E5A75"/>
    <w:rsid w:val="001E6127"/>
    <w:rsid w:val="001E6B9D"/>
    <w:rsid w:val="001E7AE4"/>
    <w:rsid w:val="001E7EA7"/>
    <w:rsid w:val="001F0111"/>
    <w:rsid w:val="001F2920"/>
    <w:rsid w:val="001F3BBE"/>
    <w:rsid w:val="001F4225"/>
    <w:rsid w:val="001F5AC3"/>
    <w:rsid w:val="001F73EA"/>
    <w:rsid w:val="00200D6E"/>
    <w:rsid w:val="00201704"/>
    <w:rsid w:val="00201F3E"/>
    <w:rsid w:val="00202198"/>
    <w:rsid w:val="00202742"/>
    <w:rsid w:val="0020282E"/>
    <w:rsid w:val="00206687"/>
    <w:rsid w:val="00206D7E"/>
    <w:rsid w:val="00211293"/>
    <w:rsid w:val="0021389C"/>
    <w:rsid w:val="00213DC3"/>
    <w:rsid w:val="00213E0E"/>
    <w:rsid w:val="00215548"/>
    <w:rsid w:val="00216D67"/>
    <w:rsid w:val="0021767A"/>
    <w:rsid w:val="00221103"/>
    <w:rsid w:val="00221C2F"/>
    <w:rsid w:val="00222596"/>
    <w:rsid w:val="002229FF"/>
    <w:rsid w:val="00222AC6"/>
    <w:rsid w:val="00222CD3"/>
    <w:rsid w:val="00224016"/>
    <w:rsid w:val="00224828"/>
    <w:rsid w:val="00224FE5"/>
    <w:rsid w:val="00225D42"/>
    <w:rsid w:val="002301C6"/>
    <w:rsid w:val="002305D2"/>
    <w:rsid w:val="00232217"/>
    <w:rsid w:val="0023488F"/>
    <w:rsid w:val="00234E7D"/>
    <w:rsid w:val="0023571F"/>
    <w:rsid w:val="002357EA"/>
    <w:rsid w:val="00235897"/>
    <w:rsid w:val="002367E6"/>
    <w:rsid w:val="0023700C"/>
    <w:rsid w:val="00237276"/>
    <w:rsid w:val="0023738B"/>
    <w:rsid w:val="0023769E"/>
    <w:rsid w:val="002376B2"/>
    <w:rsid w:val="00241845"/>
    <w:rsid w:val="002423CA"/>
    <w:rsid w:val="002450B6"/>
    <w:rsid w:val="00245325"/>
    <w:rsid w:val="00245E37"/>
    <w:rsid w:val="00246BCA"/>
    <w:rsid w:val="00250176"/>
    <w:rsid w:val="002506A3"/>
    <w:rsid w:val="00251CF4"/>
    <w:rsid w:val="00251F24"/>
    <w:rsid w:val="0025290C"/>
    <w:rsid w:val="00253022"/>
    <w:rsid w:val="002540B2"/>
    <w:rsid w:val="002547C1"/>
    <w:rsid w:val="00254DF6"/>
    <w:rsid w:val="0025607F"/>
    <w:rsid w:val="002562F9"/>
    <w:rsid w:val="00260AA2"/>
    <w:rsid w:val="002618F4"/>
    <w:rsid w:val="00262B48"/>
    <w:rsid w:val="00262C1B"/>
    <w:rsid w:val="002630FB"/>
    <w:rsid w:val="0026352F"/>
    <w:rsid w:val="002647D2"/>
    <w:rsid w:val="0026485D"/>
    <w:rsid w:val="002648B0"/>
    <w:rsid w:val="002664C7"/>
    <w:rsid w:val="00271C8B"/>
    <w:rsid w:val="00272F65"/>
    <w:rsid w:val="002735FE"/>
    <w:rsid w:val="00276720"/>
    <w:rsid w:val="00276B41"/>
    <w:rsid w:val="00277058"/>
    <w:rsid w:val="002805FD"/>
    <w:rsid w:val="0028072E"/>
    <w:rsid w:val="00280B99"/>
    <w:rsid w:val="00283B5F"/>
    <w:rsid w:val="00285E2F"/>
    <w:rsid w:val="00290CAD"/>
    <w:rsid w:val="002917CA"/>
    <w:rsid w:val="002920FF"/>
    <w:rsid w:val="00292409"/>
    <w:rsid w:val="00295225"/>
    <w:rsid w:val="00297074"/>
    <w:rsid w:val="002A04D3"/>
    <w:rsid w:val="002A1B49"/>
    <w:rsid w:val="002A5969"/>
    <w:rsid w:val="002A7C84"/>
    <w:rsid w:val="002B15B5"/>
    <w:rsid w:val="002B1600"/>
    <w:rsid w:val="002B2BA3"/>
    <w:rsid w:val="002B5403"/>
    <w:rsid w:val="002B5492"/>
    <w:rsid w:val="002B5B50"/>
    <w:rsid w:val="002B66BD"/>
    <w:rsid w:val="002C0206"/>
    <w:rsid w:val="002C053E"/>
    <w:rsid w:val="002C06FD"/>
    <w:rsid w:val="002C1251"/>
    <w:rsid w:val="002C37D9"/>
    <w:rsid w:val="002C41F1"/>
    <w:rsid w:val="002C6263"/>
    <w:rsid w:val="002C674A"/>
    <w:rsid w:val="002D2C75"/>
    <w:rsid w:val="002D3982"/>
    <w:rsid w:val="002D4561"/>
    <w:rsid w:val="002D4E10"/>
    <w:rsid w:val="002D4F6A"/>
    <w:rsid w:val="002D6B9E"/>
    <w:rsid w:val="002E053A"/>
    <w:rsid w:val="002E0DDB"/>
    <w:rsid w:val="002E136A"/>
    <w:rsid w:val="002E2061"/>
    <w:rsid w:val="002E2164"/>
    <w:rsid w:val="002E3720"/>
    <w:rsid w:val="002E4EB7"/>
    <w:rsid w:val="002E587F"/>
    <w:rsid w:val="002F07EA"/>
    <w:rsid w:val="002F170E"/>
    <w:rsid w:val="002F1920"/>
    <w:rsid w:val="002F1E8D"/>
    <w:rsid w:val="002F2663"/>
    <w:rsid w:val="002F39A7"/>
    <w:rsid w:val="002F4A67"/>
    <w:rsid w:val="002F5571"/>
    <w:rsid w:val="002F7E28"/>
    <w:rsid w:val="00300224"/>
    <w:rsid w:val="0030572F"/>
    <w:rsid w:val="00306AD1"/>
    <w:rsid w:val="00306F71"/>
    <w:rsid w:val="003105C6"/>
    <w:rsid w:val="00310F05"/>
    <w:rsid w:val="00311119"/>
    <w:rsid w:val="00311B2D"/>
    <w:rsid w:val="00312BA3"/>
    <w:rsid w:val="003132E6"/>
    <w:rsid w:val="003137B9"/>
    <w:rsid w:val="00313D20"/>
    <w:rsid w:val="00320BB4"/>
    <w:rsid w:val="00321A3B"/>
    <w:rsid w:val="003220BD"/>
    <w:rsid w:val="00325654"/>
    <w:rsid w:val="0032635E"/>
    <w:rsid w:val="003300FF"/>
    <w:rsid w:val="00330199"/>
    <w:rsid w:val="00331FE6"/>
    <w:rsid w:val="00333A44"/>
    <w:rsid w:val="00334093"/>
    <w:rsid w:val="003374C1"/>
    <w:rsid w:val="00337849"/>
    <w:rsid w:val="00337BEA"/>
    <w:rsid w:val="00340094"/>
    <w:rsid w:val="003400BB"/>
    <w:rsid w:val="00342B6A"/>
    <w:rsid w:val="003438E8"/>
    <w:rsid w:val="003459F8"/>
    <w:rsid w:val="00345A82"/>
    <w:rsid w:val="00345E53"/>
    <w:rsid w:val="00346C65"/>
    <w:rsid w:val="0034786E"/>
    <w:rsid w:val="00347FF9"/>
    <w:rsid w:val="00350DDB"/>
    <w:rsid w:val="00352C6E"/>
    <w:rsid w:val="00353D40"/>
    <w:rsid w:val="00356773"/>
    <w:rsid w:val="00357F63"/>
    <w:rsid w:val="003616A1"/>
    <w:rsid w:val="00361D60"/>
    <w:rsid w:val="00363969"/>
    <w:rsid w:val="0036415F"/>
    <w:rsid w:val="00371593"/>
    <w:rsid w:val="00371653"/>
    <w:rsid w:val="00373E3E"/>
    <w:rsid w:val="00375C47"/>
    <w:rsid w:val="00380D47"/>
    <w:rsid w:val="003812AC"/>
    <w:rsid w:val="003813DF"/>
    <w:rsid w:val="0038147E"/>
    <w:rsid w:val="003826D9"/>
    <w:rsid w:val="00383FF2"/>
    <w:rsid w:val="00386492"/>
    <w:rsid w:val="00387E40"/>
    <w:rsid w:val="00390DDA"/>
    <w:rsid w:val="00392C11"/>
    <w:rsid w:val="00392FFD"/>
    <w:rsid w:val="00393539"/>
    <w:rsid w:val="00394FF1"/>
    <w:rsid w:val="003953E6"/>
    <w:rsid w:val="00397314"/>
    <w:rsid w:val="00397A77"/>
    <w:rsid w:val="003A0835"/>
    <w:rsid w:val="003A0C05"/>
    <w:rsid w:val="003A1469"/>
    <w:rsid w:val="003A1B96"/>
    <w:rsid w:val="003A200A"/>
    <w:rsid w:val="003A3877"/>
    <w:rsid w:val="003A449C"/>
    <w:rsid w:val="003A497B"/>
    <w:rsid w:val="003A4C8B"/>
    <w:rsid w:val="003A5743"/>
    <w:rsid w:val="003A5D8C"/>
    <w:rsid w:val="003A7214"/>
    <w:rsid w:val="003B00F4"/>
    <w:rsid w:val="003B06B9"/>
    <w:rsid w:val="003B25F0"/>
    <w:rsid w:val="003B3112"/>
    <w:rsid w:val="003B3DBB"/>
    <w:rsid w:val="003B7060"/>
    <w:rsid w:val="003C050A"/>
    <w:rsid w:val="003C0FB5"/>
    <w:rsid w:val="003C1BB1"/>
    <w:rsid w:val="003C2409"/>
    <w:rsid w:val="003C2566"/>
    <w:rsid w:val="003C3168"/>
    <w:rsid w:val="003C3AAB"/>
    <w:rsid w:val="003C3B79"/>
    <w:rsid w:val="003C3FD5"/>
    <w:rsid w:val="003C4307"/>
    <w:rsid w:val="003C60B9"/>
    <w:rsid w:val="003C7853"/>
    <w:rsid w:val="003D10E9"/>
    <w:rsid w:val="003D1657"/>
    <w:rsid w:val="003D17D0"/>
    <w:rsid w:val="003D3CED"/>
    <w:rsid w:val="003D431C"/>
    <w:rsid w:val="003D485B"/>
    <w:rsid w:val="003D56DE"/>
    <w:rsid w:val="003D7F50"/>
    <w:rsid w:val="003E098F"/>
    <w:rsid w:val="003E4EF2"/>
    <w:rsid w:val="003E5145"/>
    <w:rsid w:val="003E52DA"/>
    <w:rsid w:val="003F05A0"/>
    <w:rsid w:val="003F15BB"/>
    <w:rsid w:val="003F17BB"/>
    <w:rsid w:val="00401111"/>
    <w:rsid w:val="0040521E"/>
    <w:rsid w:val="00405C0A"/>
    <w:rsid w:val="00407110"/>
    <w:rsid w:val="00407936"/>
    <w:rsid w:val="00410796"/>
    <w:rsid w:val="004129D0"/>
    <w:rsid w:val="00412D44"/>
    <w:rsid w:val="004133D9"/>
    <w:rsid w:val="00415A1B"/>
    <w:rsid w:val="00417984"/>
    <w:rsid w:val="00422449"/>
    <w:rsid w:val="00425F4C"/>
    <w:rsid w:val="0042766A"/>
    <w:rsid w:val="0043001B"/>
    <w:rsid w:val="004304C0"/>
    <w:rsid w:val="00430F6F"/>
    <w:rsid w:val="004317F7"/>
    <w:rsid w:val="0043231D"/>
    <w:rsid w:val="004350F2"/>
    <w:rsid w:val="004357B9"/>
    <w:rsid w:val="00436204"/>
    <w:rsid w:val="00436490"/>
    <w:rsid w:val="00436A46"/>
    <w:rsid w:val="004377DA"/>
    <w:rsid w:val="004377E2"/>
    <w:rsid w:val="004408E7"/>
    <w:rsid w:val="00443003"/>
    <w:rsid w:val="00443DD0"/>
    <w:rsid w:val="00445E06"/>
    <w:rsid w:val="00450A2E"/>
    <w:rsid w:val="00451B63"/>
    <w:rsid w:val="00452FEF"/>
    <w:rsid w:val="00454082"/>
    <w:rsid w:val="00454139"/>
    <w:rsid w:val="00455364"/>
    <w:rsid w:val="004600E4"/>
    <w:rsid w:val="004603C7"/>
    <w:rsid w:val="00460A9C"/>
    <w:rsid w:val="00461A5A"/>
    <w:rsid w:val="004629A2"/>
    <w:rsid w:val="00462BAB"/>
    <w:rsid w:val="00464DCB"/>
    <w:rsid w:val="00464F34"/>
    <w:rsid w:val="00467F08"/>
    <w:rsid w:val="00471A96"/>
    <w:rsid w:val="00474C49"/>
    <w:rsid w:val="0047503C"/>
    <w:rsid w:val="0047563E"/>
    <w:rsid w:val="00475B6A"/>
    <w:rsid w:val="0047602E"/>
    <w:rsid w:val="00476566"/>
    <w:rsid w:val="004766D4"/>
    <w:rsid w:val="00477CB6"/>
    <w:rsid w:val="00480A69"/>
    <w:rsid w:val="0048116C"/>
    <w:rsid w:val="0048143B"/>
    <w:rsid w:val="00483FC9"/>
    <w:rsid w:val="00484DDA"/>
    <w:rsid w:val="00486DA5"/>
    <w:rsid w:val="00487597"/>
    <w:rsid w:val="004901BE"/>
    <w:rsid w:val="004913CE"/>
    <w:rsid w:val="00491F4D"/>
    <w:rsid w:val="00492D77"/>
    <w:rsid w:val="00493D5E"/>
    <w:rsid w:val="00496C53"/>
    <w:rsid w:val="00496F5D"/>
    <w:rsid w:val="004970FA"/>
    <w:rsid w:val="00497D60"/>
    <w:rsid w:val="004A01BF"/>
    <w:rsid w:val="004A0885"/>
    <w:rsid w:val="004A0D4A"/>
    <w:rsid w:val="004A3A58"/>
    <w:rsid w:val="004A3B3D"/>
    <w:rsid w:val="004A5880"/>
    <w:rsid w:val="004A6C52"/>
    <w:rsid w:val="004A705D"/>
    <w:rsid w:val="004A7B60"/>
    <w:rsid w:val="004B031B"/>
    <w:rsid w:val="004B135C"/>
    <w:rsid w:val="004B2A17"/>
    <w:rsid w:val="004B38D3"/>
    <w:rsid w:val="004B38D7"/>
    <w:rsid w:val="004B3B58"/>
    <w:rsid w:val="004B4DF9"/>
    <w:rsid w:val="004B67ED"/>
    <w:rsid w:val="004C03BC"/>
    <w:rsid w:val="004C0508"/>
    <w:rsid w:val="004C15A0"/>
    <w:rsid w:val="004C1ACF"/>
    <w:rsid w:val="004C4478"/>
    <w:rsid w:val="004C6E6F"/>
    <w:rsid w:val="004C74EC"/>
    <w:rsid w:val="004D0C15"/>
    <w:rsid w:val="004D2031"/>
    <w:rsid w:val="004D36B6"/>
    <w:rsid w:val="004D4419"/>
    <w:rsid w:val="004D5161"/>
    <w:rsid w:val="004D6755"/>
    <w:rsid w:val="004D6C74"/>
    <w:rsid w:val="004D780C"/>
    <w:rsid w:val="004E0244"/>
    <w:rsid w:val="004E04BF"/>
    <w:rsid w:val="004E081B"/>
    <w:rsid w:val="004E0A91"/>
    <w:rsid w:val="004E5B02"/>
    <w:rsid w:val="004E7DF2"/>
    <w:rsid w:val="004F0D16"/>
    <w:rsid w:val="004F2B30"/>
    <w:rsid w:val="004F3766"/>
    <w:rsid w:val="004F458D"/>
    <w:rsid w:val="004F4775"/>
    <w:rsid w:val="004F4BB8"/>
    <w:rsid w:val="004F50AF"/>
    <w:rsid w:val="00502363"/>
    <w:rsid w:val="00502FC6"/>
    <w:rsid w:val="0050394C"/>
    <w:rsid w:val="0050399F"/>
    <w:rsid w:val="00503F93"/>
    <w:rsid w:val="00504A16"/>
    <w:rsid w:val="005050CE"/>
    <w:rsid w:val="00505B5C"/>
    <w:rsid w:val="005067A1"/>
    <w:rsid w:val="005130D9"/>
    <w:rsid w:val="005135D6"/>
    <w:rsid w:val="00513822"/>
    <w:rsid w:val="00514783"/>
    <w:rsid w:val="00521D56"/>
    <w:rsid w:val="00522F33"/>
    <w:rsid w:val="0052367C"/>
    <w:rsid w:val="00523DD6"/>
    <w:rsid w:val="0053078D"/>
    <w:rsid w:val="00530FC7"/>
    <w:rsid w:val="00531FC9"/>
    <w:rsid w:val="0053327A"/>
    <w:rsid w:val="00533D6A"/>
    <w:rsid w:val="00533E53"/>
    <w:rsid w:val="005342A5"/>
    <w:rsid w:val="00535350"/>
    <w:rsid w:val="00535A98"/>
    <w:rsid w:val="0053702D"/>
    <w:rsid w:val="005429A0"/>
    <w:rsid w:val="00542C33"/>
    <w:rsid w:val="00543DBD"/>
    <w:rsid w:val="00544DA4"/>
    <w:rsid w:val="00547047"/>
    <w:rsid w:val="00550113"/>
    <w:rsid w:val="005511AD"/>
    <w:rsid w:val="00551271"/>
    <w:rsid w:val="0055245C"/>
    <w:rsid w:val="00552A83"/>
    <w:rsid w:val="00552E3E"/>
    <w:rsid w:val="00554886"/>
    <w:rsid w:val="00554A32"/>
    <w:rsid w:val="0055657F"/>
    <w:rsid w:val="0055791B"/>
    <w:rsid w:val="00557D09"/>
    <w:rsid w:val="00560A14"/>
    <w:rsid w:val="005617F7"/>
    <w:rsid w:val="00562181"/>
    <w:rsid w:val="00563313"/>
    <w:rsid w:val="005643EA"/>
    <w:rsid w:val="00564A89"/>
    <w:rsid w:val="00565031"/>
    <w:rsid w:val="005666F4"/>
    <w:rsid w:val="005723E9"/>
    <w:rsid w:val="00572C82"/>
    <w:rsid w:val="0057350E"/>
    <w:rsid w:val="00573DB4"/>
    <w:rsid w:val="00573EC2"/>
    <w:rsid w:val="00576215"/>
    <w:rsid w:val="005808DE"/>
    <w:rsid w:val="00581FA5"/>
    <w:rsid w:val="00585466"/>
    <w:rsid w:val="005911AC"/>
    <w:rsid w:val="00593E1F"/>
    <w:rsid w:val="0059657D"/>
    <w:rsid w:val="00597BBC"/>
    <w:rsid w:val="005A020C"/>
    <w:rsid w:val="005A18FB"/>
    <w:rsid w:val="005A2363"/>
    <w:rsid w:val="005A43B1"/>
    <w:rsid w:val="005A6305"/>
    <w:rsid w:val="005A7CA9"/>
    <w:rsid w:val="005B02DE"/>
    <w:rsid w:val="005B0463"/>
    <w:rsid w:val="005B0C8D"/>
    <w:rsid w:val="005B13A0"/>
    <w:rsid w:val="005B321D"/>
    <w:rsid w:val="005B3B7C"/>
    <w:rsid w:val="005B5D85"/>
    <w:rsid w:val="005C1BC9"/>
    <w:rsid w:val="005C287F"/>
    <w:rsid w:val="005C517E"/>
    <w:rsid w:val="005C6DEB"/>
    <w:rsid w:val="005C7A91"/>
    <w:rsid w:val="005D3318"/>
    <w:rsid w:val="005D35A0"/>
    <w:rsid w:val="005D3E00"/>
    <w:rsid w:val="005D40D9"/>
    <w:rsid w:val="005E0301"/>
    <w:rsid w:val="005E03B8"/>
    <w:rsid w:val="005E0917"/>
    <w:rsid w:val="005E3471"/>
    <w:rsid w:val="005E7DF2"/>
    <w:rsid w:val="005F05ED"/>
    <w:rsid w:val="005F1095"/>
    <w:rsid w:val="005F1957"/>
    <w:rsid w:val="005F3409"/>
    <w:rsid w:val="005F5B6B"/>
    <w:rsid w:val="005F5DF8"/>
    <w:rsid w:val="005F6354"/>
    <w:rsid w:val="005F6603"/>
    <w:rsid w:val="005F6FDF"/>
    <w:rsid w:val="00600733"/>
    <w:rsid w:val="00601450"/>
    <w:rsid w:val="006015FF"/>
    <w:rsid w:val="006022CB"/>
    <w:rsid w:val="0060673F"/>
    <w:rsid w:val="00606885"/>
    <w:rsid w:val="0060723F"/>
    <w:rsid w:val="006108B8"/>
    <w:rsid w:val="00610920"/>
    <w:rsid w:val="00610B56"/>
    <w:rsid w:val="00611073"/>
    <w:rsid w:val="0061222C"/>
    <w:rsid w:val="0061248F"/>
    <w:rsid w:val="00612780"/>
    <w:rsid w:val="006128D7"/>
    <w:rsid w:val="0061482E"/>
    <w:rsid w:val="0061552A"/>
    <w:rsid w:val="00616264"/>
    <w:rsid w:val="00616690"/>
    <w:rsid w:val="00616E90"/>
    <w:rsid w:val="00620AB3"/>
    <w:rsid w:val="00622B37"/>
    <w:rsid w:val="00622DF8"/>
    <w:rsid w:val="00623BD2"/>
    <w:rsid w:val="0062558D"/>
    <w:rsid w:val="006269F7"/>
    <w:rsid w:val="00627143"/>
    <w:rsid w:val="00630711"/>
    <w:rsid w:val="006317A9"/>
    <w:rsid w:val="0063337F"/>
    <w:rsid w:val="00633D3C"/>
    <w:rsid w:val="00633DEB"/>
    <w:rsid w:val="0063493E"/>
    <w:rsid w:val="006364E5"/>
    <w:rsid w:val="00643011"/>
    <w:rsid w:val="00643362"/>
    <w:rsid w:val="006455B0"/>
    <w:rsid w:val="00646287"/>
    <w:rsid w:val="00646D1B"/>
    <w:rsid w:val="00647F9C"/>
    <w:rsid w:val="00650D5A"/>
    <w:rsid w:val="00650DB8"/>
    <w:rsid w:val="00651C18"/>
    <w:rsid w:val="00652DF7"/>
    <w:rsid w:val="00652F11"/>
    <w:rsid w:val="00656BF0"/>
    <w:rsid w:val="0066173C"/>
    <w:rsid w:val="00662545"/>
    <w:rsid w:val="006646B6"/>
    <w:rsid w:val="006660B9"/>
    <w:rsid w:val="00666996"/>
    <w:rsid w:val="006746DB"/>
    <w:rsid w:val="006750B8"/>
    <w:rsid w:val="00676B42"/>
    <w:rsid w:val="00676B98"/>
    <w:rsid w:val="006771CE"/>
    <w:rsid w:val="006778A2"/>
    <w:rsid w:val="00681382"/>
    <w:rsid w:val="00685182"/>
    <w:rsid w:val="00690D01"/>
    <w:rsid w:val="006916DC"/>
    <w:rsid w:val="00691F9C"/>
    <w:rsid w:val="00692A55"/>
    <w:rsid w:val="00692B10"/>
    <w:rsid w:val="006966FF"/>
    <w:rsid w:val="00696F12"/>
    <w:rsid w:val="006972E8"/>
    <w:rsid w:val="006A01F5"/>
    <w:rsid w:val="006A14F6"/>
    <w:rsid w:val="006A20A0"/>
    <w:rsid w:val="006A3201"/>
    <w:rsid w:val="006A3A82"/>
    <w:rsid w:val="006A4B1B"/>
    <w:rsid w:val="006A6CCF"/>
    <w:rsid w:val="006B08A5"/>
    <w:rsid w:val="006B19A0"/>
    <w:rsid w:val="006B1A77"/>
    <w:rsid w:val="006B2A31"/>
    <w:rsid w:val="006B36C2"/>
    <w:rsid w:val="006B55D6"/>
    <w:rsid w:val="006B5A2B"/>
    <w:rsid w:val="006B5BA8"/>
    <w:rsid w:val="006B7228"/>
    <w:rsid w:val="006B72F3"/>
    <w:rsid w:val="006C0915"/>
    <w:rsid w:val="006C11BB"/>
    <w:rsid w:val="006C163A"/>
    <w:rsid w:val="006C1FB5"/>
    <w:rsid w:val="006C3FF9"/>
    <w:rsid w:val="006C4136"/>
    <w:rsid w:val="006C4174"/>
    <w:rsid w:val="006C45C6"/>
    <w:rsid w:val="006C4D76"/>
    <w:rsid w:val="006C52E6"/>
    <w:rsid w:val="006C66DB"/>
    <w:rsid w:val="006C6D3F"/>
    <w:rsid w:val="006C6EE0"/>
    <w:rsid w:val="006C7201"/>
    <w:rsid w:val="006D35FC"/>
    <w:rsid w:val="006D3B1A"/>
    <w:rsid w:val="006D49F3"/>
    <w:rsid w:val="006D665A"/>
    <w:rsid w:val="006D6AE0"/>
    <w:rsid w:val="006E0809"/>
    <w:rsid w:val="006E3440"/>
    <w:rsid w:val="006E52E7"/>
    <w:rsid w:val="006E5D07"/>
    <w:rsid w:val="006E6AEF"/>
    <w:rsid w:val="006F2637"/>
    <w:rsid w:val="006F2989"/>
    <w:rsid w:val="006F3626"/>
    <w:rsid w:val="006F503D"/>
    <w:rsid w:val="006F53D7"/>
    <w:rsid w:val="00700DFD"/>
    <w:rsid w:val="00703C87"/>
    <w:rsid w:val="007065FE"/>
    <w:rsid w:val="00706D25"/>
    <w:rsid w:val="007106FB"/>
    <w:rsid w:val="007111B3"/>
    <w:rsid w:val="00711F3A"/>
    <w:rsid w:val="007121C9"/>
    <w:rsid w:val="00712B6C"/>
    <w:rsid w:val="00720ADC"/>
    <w:rsid w:val="00721A22"/>
    <w:rsid w:val="00721CEA"/>
    <w:rsid w:val="0072265E"/>
    <w:rsid w:val="007233B1"/>
    <w:rsid w:val="007241D3"/>
    <w:rsid w:val="007247ED"/>
    <w:rsid w:val="007248BD"/>
    <w:rsid w:val="00727756"/>
    <w:rsid w:val="00730040"/>
    <w:rsid w:val="0073242B"/>
    <w:rsid w:val="007345D3"/>
    <w:rsid w:val="0073473E"/>
    <w:rsid w:val="0073581C"/>
    <w:rsid w:val="00736AD5"/>
    <w:rsid w:val="00736D27"/>
    <w:rsid w:val="007420C6"/>
    <w:rsid w:val="007434D0"/>
    <w:rsid w:val="00745142"/>
    <w:rsid w:val="00745369"/>
    <w:rsid w:val="007463E2"/>
    <w:rsid w:val="007503D4"/>
    <w:rsid w:val="0075112B"/>
    <w:rsid w:val="00752B94"/>
    <w:rsid w:val="0075517F"/>
    <w:rsid w:val="00757C76"/>
    <w:rsid w:val="007608E4"/>
    <w:rsid w:val="00761856"/>
    <w:rsid w:val="00761891"/>
    <w:rsid w:val="0076257F"/>
    <w:rsid w:val="00763A4B"/>
    <w:rsid w:val="00764E61"/>
    <w:rsid w:val="00765008"/>
    <w:rsid w:val="007679BF"/>
    <w:rsid w:val="00770830"/>
    <w:rsid w:val="00770EAF"/>
    <w:rsid w:val="007711E7"/>
    <w:rsid w:val="00771E97"/>
    <w:rsid w:val="0077276E"/>
    <w:rsid w:val="0078015D"/>
    <w:rsid w:val="00781160"/>
    <w:rsid w:val="007827A3"/>
    <w:rsid w:val="00783881"/>
    <w:rsid w:val="00783DA7"/>
    <w:rsid w:val="00784477"/>
    <w:rsid w:val="00785E60"/>
    <w:rsid w:val="00785F3E"/>
    <w:rsid w:val="007864CA"/>
    <w:rsid w:val="00787028"/>
    <w:rsid w:val="00787CDE"/>
    <w:rsid w:val="00791DA9"/>
    <w:rsid w:val="00795EC6"/>
    <w:rsid w:val="007969A4"/>
    <w:rsid w:val="00797715"/>
    <w:rsid w:val="00797C89"/>
    <w:rsid w:val="007A1067"/>
    <w:rsid w:val="007A1D61"/>
    <w:rsid w:val="007A212A"/>
    <w:rsid w:val="007A40CB"/>
    <w:rsid w:val="007A49AC"/>
    <w:rsid w:val="007A4CFD"/>
    <w:rsid w:val="007B0068"/>
    <w:rsid w:val="007B025E"/>
    <w:rsid w:val="007B0AC3"/>
    <w:rsid w:val="007B16A3"/>
    <w:rsid w:val="007B4FD3"/>
    <w:rsid w:val="007B5523"/>
    <w:rsid w:val="007C099C"/>
    <w:rsid w:val="007C3B71"/>
    <w:rsid w:val="007C4C33"/>
    <w:rsid w:val="007C5DF2"/>
    <w:rsid w:val="007C6E66"/>
    <w:rsid w:val="007D183F"/>
    <w:rsid w:val="007D2AEF"/>
    <w:rsid w:val="007D2CE6"/>
    <w:rsid w:val="007D63B3"/>
    <w:rsid w:val="007D7D73"/>
    <w:rsid w:val="007E16E5"/>
    <w:rsid w:val="007E18BB"/>
    <w:rsid w:val="007E33D4"/>
    <w:rsid w:val="007E39E6"/>
    <w:rsid w:val="007E3DCF"/>
    <w:rsid w:val="007E475F"/>
    <w:rsid w:val="007E7340"/>
    <w:rsid w:val="007F0442"/>
    <w:rsid w:val="007F360A"/>
    <w:rsid w:val="007F5225"/>
    <w:rsid w:val="007F5488"/>
    <w:rsid w:val="007F6D99"/>
    <w:rsid w:val="007F7831"/>
    <w:rsid w:val="007F7A60"/>
    <w:rsid w:val="008004DF"/>
    <w:rsid w:val="008015A0"/>
    <w:rsid w:val="00802421"/>
    <w:rsid w:val="008024B2"/>
    <w:rsid w:val="00805255"/>
    <w:rsid w:val="00810F87"/>
    <w:rsid w:val="0081176B"/>
    <w:rsid w:val="00812582"/>
    <w:rsid w:val="00816B32"/>
    <w:rsid w:val="00816F2D"/>
    <w:rsid w:val="00820E23"/>
    <w:rsid w:val="0082105B"/>
    <w:rsid w:val="008248E0"/>
    <w:rsid w:val="00830F86"/>
    <w:rsid w:val="0083278B"/>
    <w:rsid w:val="0083444D"/>
    <w:rsid w:val="00836845"/>
    <w:rsid w:val="00841322"/>
    <w:rsid w:val="008420D9"/>
    <w:rsid w:val="008427C5"/>
    <w:rsid w:val="00842A5C"/>
    <w:rsid w:val="00844689"/>
    <w:rsid w:val="00845545"/>
    <w:rsid w:val="008503E1"/>
    <w:rsid w:val="00854E5A"/>
    <w:rsid w:val="00855D5F"/>
    <w:rsid w:val="00856854"/>
    <w:rsid w:val="00856E42"/>
    <w:rsid w:val="0086119A"/>
    <w:rsid w:val="0086634C"/>
    <w:rsid w:val="00867EDC"/>
    <w:rsid w:val="00870531"/>
    <w:rsid w:val="00871877"/>
    <w:rsid w:val="00871CAF"/>
    <w:rsid w:val="008737EA"/>
    <w:rsid w:val="00873855"/>
    <w:rsid w:val="00873BC6"/>
    <w:rsid w:val="0087411F"/>
    <w:rsid w:val="008744A5"/>
    <w:rsid w:val="0087489F"/>
    <w:rsid w:val="00874F0C"/>
    <w:rsid w:val="00875044"/>
    <w:rsid w:val="00875C7F"/>
    <w:rsid w:val="008815DE"/>
    <w:rsid w:val="0088172D"/>
    <w:rsid w:val="008824B3"/>
    <w:rsid w:val="00884B2C"/>
    <w:rsid w:val="00884FEB"/>
    <w:rsid w:val="00885185"/>
    <w:rsid w:val="0088630E"/>
    <w:rsid w:val="00887637"/>
    <w:rsid w:val="00887A83"/>
    <w:rsid w:val="008932B5"/>
    <w:rsid w:val="00894221"/>
    <w:rsid w:val="008968A4"/>
    <w:rsid w:val="008A1A1E"/>
    <w:rsid w:val="008A1C51"/>
    <w:rsid w:val="008A3152"/>
    <w:rsid w:val="008A49E8"/>
    <w:rsid w:val="008A509C"/>
    <w:rsid w:val="008A5DBC"/>
    <w:rsid w:val="008A7A5D"/>
    <w:rsid w:val="008B2119"/>
    <w:rsid w:val="008B2F5E"/>
    <w:rsid w:val="008B37B1"/>
    <w:rsid w:val="008B6066"/>
    <w:rsid w:val="008B695F"/>
    <w:rsid w:val="008B7267"/>
    <w:rsid w:val="008B73EE"/>
    <w:rsid w:val="008C017D"/>
    <w:rsid w:val="008C09FE"/>
    <w:rsid w:val="008C122C"/>
    <w:rsid w:val="008C2DC4"/>
    <w:rsid w:val="008C624D"/>
    <w:rsid w:val="008C6A9B"/>
    <w:rsid w:val="008C6E0B"/>
    <w:rsid w:val="008D2210"/>
    <w:rsid w:val="008D274F"/>
    <w:rsid w:val="008D30F0"/>
    <w:rsid w:val="008D4535"/>
    <w:rsid w:val="008D6256"/>
    <w:rsid w:val="008D6581"/>
    <w:rsid w:val="008D7D83"/>
    <w:rsid w:val="008E0E86"/>
    <w:rsid w:val="008E0F08"/>
    <w:rsid w:val="008E10EF"/>
    <w:rsid w:val="008E20BD"/>
    <w:rsid w:val="008E3CA9"/>
    <w:rsid w:val="008E47D2"/>
    <w:rsid w:val="008E5ADB"/>
    <w:rsid w:val="008F1D51"/>
    <w:rsid w:val="008F2D4E"/>
    <w:rsid w:val="008F42E6"/>
    <w:rsid w:val="008F50DF"/>
    <w:rsid w:val="008F54B0"/>
    <w:rsid w:val="008F5BFE"/>
    <w:rsid w:val="00900C1D"/>
    <w:rsid w:val="00901501"/>
    <w:rsid w:val="00902EFC"/>
    <w:rsid w:val="00907115"/>
    <w:rsid w:val="00907513"/>
    <w:rsid w:val="00910210"/>
    <w:rsid w:val="00912DF5"/>
    <w:rsid w:val="00920491"/>
    <w:rsid w:val="009247A0"/>
    <w:rsid w:val="00924EEF"/>
    <w:rsid w:val="009270FE"/>
    <w:rsid w:val="00927A7A"/>
    <w:rsid w:val="00927A8B"/>
    <w:rsid w:val="0093055F"/>
    <w:rsid w:val="00931528"/>
    <w:rsid w:val="009339C1"/>
    <w:rsid w:val="00934BDB"/>
    <w:rsid w:val="00934F04"/>
    <w:rsid w:val="00936BB3"/>
    <w:rsid w:val="00936DD1"/>
    <w:rsid w:val="009371BA"/>
    <w:rsid w:val="0094162B"/>
    <w:rsid w:val="00941843"/>
    <w:rsid w:val="00942368"/>
    <w:rsid w:val="009433BC"/>
    <w:rsid w:val="00947A01"/>
    <w:rsid w:val="00950950"/>
    <w:rsid w:val="00954485"/>
    <w:rsid w:val="00955C81"/>
    <w:rsid w:val="00955F25"/>
    <w:rsid w:val="00960B47"/>
    <w:rsid w:val="0096378F"/>
    <w:rsid w:val="00964E1D"/>
    <w:rsid w:val="00965272"/>
    <w:rsid w:val="00966663"/>
    <w:rsid w:val="00967868"/>
    <w:rsid w:val="00967FAE"/>
    <w:rsid w:val="00971A2C"/>
    <w:rsid w:val="009720F9"/>
    <w:rsid w:val="00972A1C"/>
    <w:rsid w:val="00973B8E"/>
    <w:rsid w:val="00974150"/>
    <w:rsid w:val="00974E3F"/>
    <w:rsid w:val="00975CA2"/>
    <w:rsid w:val="00975F7F"/>
    <w:rsid w:val="009769DE"/>
    <w:rsid w:val="00981540"/>
    <w:rsid w:val="0098182F"/>
    <w:rsid w:val="0098245F"/>
    <w:rsid w:val="00984A5C"/>
    <w:rsid w:val="00985397"/>
    <w:rsid w:val="00986FA9"/>
    <w:rsid w:val="0098778D"/>
    <w:rsid w:val="00991C37"/>
    <w:rsid w:val="00991D59"/>
    <w:rsid w:val="009921F0"/>
    <w:rsid w:val="0099270E"/>
    <w:rsid w:val="0099694B"/>
    <w:rsid w:val="009A1317"/>
    <w:rsid w:val="009A2864"/>
    <w:rsid w:val="009A2E43"/>
    <w:rsid w:val="009A455A"/>
    <w:rsid w:val="009A47E2"/>
    <w:rsid w:val="009A4B3E"/>
    <w:rsid w:val="009A6E08"/>
    <w:rsid w:val="009B09F5"/>
    <w:rsid w:val="009B0E38"/>
    <w:rsid w:val="009B511B"/>
    <w:rsid w:val="009B6CE4"/>
    <w:rsid w:val="009C001E"/>
    <w:rsid w:val="009C2C58"/>
    <w:rsid w:val="009C3801"/>
    <w:rsid w:val="009C3D16"/>
    <w:rsid w:val="009C3DD6"/>
    <w:rsid w:val="009C4291"/>
    <w:rsid w:val="009C44E7"/>
    <w:rsid w:val="009C4702"/>
    <w:rsid w:val="009C5582"/>
    <w:rsid w:val="009C7899"/>
    <w:rsid w:val="009C7D6A"/>
    <w:rsid w:val="009D3244"/>
    <w:rsid w:val="009D50E7"/>
    <w:rsid w:val="009D5501"/>
    <w:rsid w:val="009D5D1A"/>
    <w:rsid w:val="009D6EDB"/>
    <w:rsid w:val="009D7A90"/>
    <w:rsid w:val="009E283E"/>
    <w:rsid w:val="009E2BBD"/>
    <w:rsid w:val="009E563E"/>
    <w:rsid w:val="009E5DCC"/>
    <w:rsid w:val="009E655E"/>
    <w:rsid w:val="009E718A"/>
    <w:rsid w:val="009F1084"/>
    <w:rsid w:val="009F2B54"/>
    <w:rsid w:val="009F3AD0"/>
    <w:rsid w:val="009F78B4"/>
    <w:rsid w:val="00A01C72"/>
    <w:rsid w:val="00A02850"/>
    <w:rsid w:val="00A03C89"/>
    <w:rsid w:val="00A03DC9"/>
    <w:rsid w:val="00A045D1"/>
    <w:rsid w:val="00A0483F"/>
    <w:rsid w:val="00A10C90"/>
    <w:rsid w:val="00A12B66"/>
    <w:rsid w:val="00A136CD"/>
    <w:rsid w:val="00A232F8"/>
    <w:rsid w:val="00A24751"/>
    <w:rsid w:val="00A248E2"/>
    <w:rsid w:val="00A26662"/>
    <w:rsid w:val="00A2674E"/>
    <w:rsid w:val="00A31125"/>
    <w:rsid w:val="00A320B1"/>
    <w:rsid w:val="00A325F5"/>
    <w:rsid w:val="00A33695"/>
    <w:rsid w:val="00A34026"/>
    <w:rsid w:val="00A402A8"/>
    <w:rsid w:val="00A4281F"/>
    <w:rsid w:val="00A4309F"/>
    <w:rsid w:val="00A4319E"/>
    <w:rsid w:val="00A51AA9"/>
    <w:rsid w:val="00A5221E"/>
    <w:rsid w:val="00A53C11"/>
    <w:rsid w:val="00A60195"/>
    <w:rsid w:val="00A64421"/>
    <w:rsid w:val="00A6683C"/>
    <w:rsid w:val="00A66EC6"/>
    <w:rsid w:val="00A6706B"/>
    <w:rsid w:val="00A70159"/>
    <w:rsid w:val="00A72DF3"/>
    <w:rsid w:val="00A73282"/>
    <w:rsid w:val="00A7376F"/>
    <w:rsid w:val="00A74D8D"/>
    <w:rsid w:val="00A76381"/>
    <w:rsid w:val="00A772B4"/>
    <w:rsid w:val="00A774C1"/>
    <w:rsid w:val="00A801A9"/>
    <w:rsid w:val="00A80A02"/>
    <w:rsid w:val="00A80C2E"/>
    <w:rsid w:val="00A840BE"/>
    <w:rsid w:val="00A840D5"/>
    <w:rsid w:val="00A85CE0"/>
    <w:rsid w:val="00A86139"/>
    <w:rsid w:val="00A86EB4"/>
    <w:rsid w:val="00A90BDF"/>
    <w:rsid w:val="00A94FBC"/>
    <w:rsid w:val="00A9559C"/>
    <w:rsid w:val="00A95FD0"/>
    <w:rsid w:val="00AA02BE"/>
    <w:rsid w:val="00AA1B66"/>
    <w:rsid w:val="00AA3189"/>
    <w:rsid w:val="00AA629F"/>
    <w:rsid w:val="00AA6A66"/>
    <w:rsid w:val="00AB01A1"/>
    <w:rsid w:val="00AB0412"/>
    <w:rsid w:val="00AB1C4B"/>
    <w:rsid w:val="00AB2C97"/>
    <w:rsid w:val="00AB2F46"/>
    <w:rsid w:val="00AB393F"/>
    <w:rsid w:val="00AB4E51"/>
    <w:rsid w:val="00AB7B8D"/>
    <w:rsid w:val="00AB7EF6"/>
    <w:rsid w:val="00AC06B8"/>
    <w:rsid w:val="00AC0C9F"/>
    <w:rsid w:val="00AC0F2C"/>
    <w:rsid w:val="00AC14E2"/>
    <w:rsid w:val="00AC3054"/>
    <w:rsid w:val="00AC4299"/>
    <w:rsid w:val="00AC4E3A"/>
    <w:rsid w:val="00AC5975"/>
    <w:rsid w:val="00AC5D72"/>
    <w:rsid w:val="00AC5F45"/>
    <w:rsid w:val="00AC6255"/>
    <w:rsid w:val="00AC654C"/>
    <w:rsid w:val="00AC6570"/>
    <w:rsid w:val="00AC7107"/>
    <w:rsid w:val="00AD061B"/>
    <w:rsid w:val="00AD0C6F"/>
    <w:rsid w:val="00AD1A08"/>
    <w:rsid w:val="00AD4571"/>
    <w:rsid w:val="00AD70F1"/>
    <w:rsid w:val="00AE0C1B"/>
    <w:rsid w:val="00AE1CD7"/>
    <w:rsid w:val="00AE3D79"/>
    <w:rsid w:val="00AF003B"/>
    <w:rsid w:val="00AF07E2"/>
    <w:rsid w:val="00AF1037"/>
    <w:rsid w:val="00AF1E50"/>
    <w:rsid w:val="00AF1F57"/>
    <w:rsid w:val="00AF3C10"/>
    <w:rsid w:val="00AF4ED2"/>
    <w:rsid w:val="00AF62BC"/>
    <w:rsid w:val="00AF672F"/>
    <w:rsid w:val="00AF7FA5"/>
    <w:rsid w:val="00B006E9"/>
    <w:rsid w:val="00B01163"/>
    <w:rsid w:val="00B024AD"/>
    <w:rsid w:val="00B048F1"/>
    <w:rsid w:val="00B049B4"/>
    <w:rsid w:val="00B057CA"/>
    <w:rsid w:val="00B11D0D"/>
    <w:rsid w:val="00B12EA6"/>
    <w:rsid w:val="00B145A2"/>
    <w:rsid w:val="00B15280"/>
    <w:rsid w:val="00B17100"/>
    <w:rsid w:val="00B171C0"/>
    <w:rsid w:val="00B17999"/>
    <w:rsid w:val="00B20E5D"/>
    <w:rsid w:val="00B21DE2"/>
    <w:rsid w:val="00B22110"/>
    <w:rsid w:val="00B23005"/>
    <w:rsid w:val="00B26927"/>
    <w:rsid w:val="00B30046"/>
    <w:rsid w:val="00B31D8A"/>
    <w:rsid w:val="00B34B0B"/>
    <w:rsid w:val="00B34B77"/>
    <w:rsid w:val="00B35F80"/>
    <w:rsid w:val="00B36BA6"/>
    <w:rsid w:val="00B4177D"/>
    <w:rsid w:val="00B431BD"/>
    <w:rsid w:val="00B439B1"/>
    <w:rsid w:val="00B43C2A"/>
    <w:rsid w:val="00B4423C"/>
    <w:rsid w:val="00B442BD"/>
    <w:rsid w:val="00B4512A"/>
    <w:rsid w:val="00B50194"/>
    <w:rsid w:val="00B51CC6"/>
    <w:rsid w:val="00B51F42"/>
    <w:rsid w:val="00B522A4"/>
    <w:rsid w:val="00B52872"/>
    <w:rsid w:val="00B53030"/>
    <w:rsid w:val="00B53939"/>
    <w:rsid w:val="00B542AB"/>
    <w:rsid w:val="00B62635"/>
    <w:rsid w:val="00B71DAC"/>
    <w:rsid w:val="00B72E87"/>
    <w:rsid w:val="00B730C7"/>
    <w:rsid w:val="00B7350E"/>
    <w:rsid w:val="00B74792"/>
    <w:rsid w:val="00B74827"/>
    <w:rsid w:val="00B759BA"/>
    <w:rsid w:val="00B811B0"/>
    <w:rsid w:val="00B816A3"/>
    <w:rsid w:val="00B822A4"/>
    <w:rsid w:val="00B83834"/>
    <w:rsid w:val="00B846EC"/>
    <w:rsid w:val="00B8560C"/>
    <w:rsid w:val="00B8575F"/>
    <w:rsid w:val="00B86CA9"/>
    <w:rsid w:val="00B91440"/>
    <w:rsid w:val="00B96FBD"/>
    <w:rsid w:val="00B976CF"/>
    <w:rsid w:val="00B97F1B"/>
    <w:rsid w:val="00BA1C6C"/>
    <w:rsid w:val="00BA2863"/>
    <w:rsid w:val="00BA6384"/>
    <w:rsid w:val="00BA6E03"/>
    <w:rsid w:val="00BA7CE0"/>
    <w:rsid w:val="00BB169C"/>
    <w:rsid w:val="00BB50BB"/>
    <w:rsid w:val="00BB5B5D"/>
    <w:rsid w:val="00BB6397"/>
    <w:rsid w:val="00BB73C8"/>
    <w:rsid w:val="00BB7E19"/>
    <w:rsid w:val="00BC068F"/>
    <w:rsid w:val="00BC0A7F"/>
    <w:rsid w:val="00BC2C58"/>
    <w:rsid w:val="00BC3F13"/>
    <w:rsid w:val="00BC47BF"/>
    <w:rsid w:val="00BC4F1C"/>
    <w:rsid w:val="00BC6F41"/>
    <w:rsid w:val="00BC793E"/>
    <w:rsid w:val="00BD1379"/>
    <w:rsid w:val="00BD36DE"/>
    <w:rsid w:val="00BD52C3"/>
    <w:rsid w:val="00BD5485"/>
    <w:rsid w:val="00BD687C"/>
    <w:rsid w:val="00BD75D1"/>
    <w:rsid w:val="00BE0A45"/>
    <w:rsid w:val="00BE1233"/>
    <w:rsid w:val="00BE1311"/>
    <w:rsid w:val="00BE19C2"/>
    <w:rsid w:val="00BE358B"/>
    <w:rsid w:val="00BE4109"/>
    <w:rsid w:val="00BE447B"/>
    <w:rsid w:val="00BE4782"/>
    <w:rsid w:val="00BE47D8"/>
    <w:rsid w:val="00BE4FD9"/>
    <w:rsid w:val="00BE5D73"/>
    <w:rsid w:val="00BE6DFE"/>
    <w:rsid w:val="00BF124A"/>
    <w:rsid w:val="00BF540A"/>
    <w:rsid w:val="00BF6EC1"/>
    <w:rsid w:val="00BF7257"/>
    <w:rsid w:val="00C017D1"/>
    <w:rsid w:val="00C029BC"/>
    <w:rsid w:val="00C04D37"/>
    <w:rsid w:val="00C074C4"/>
    <w:rsid w:val="00C10CD4"/>
    <w:rsid w:val="00C12AE0"/>
    <w:rsid w:val="00C12FEB"/>
    <w:rsid w:val="00C140C6"/>
    <w:rsid w:val="00C144EF"/>
    <w:rsid w:val="00C1534E"/>
    <w:rsid w:val="00C211DC"/>
    <w:rsid w:val="00C233C6"/>
    <w:rsid w:val="00C23D4E"/>
    <w:rsid w:val="00C25670"/>
    <w:rsid w:val="00C2636B"/>
    <w:rsid w:val="00C277FB"/>
    <w:rsid w:val="00C30639"/>
    <w:rsid w:val="00C306B3"/>
    <w:rsid w:val="00C306F6"/>
    <w:rsid w:val="00C3194E"/>
    <w:rsid w:val="00C31BBB"/>
    <w:rsid w:val="00C345ED"/>
    <w:rsid w:val="00C34837"/>
    <w:rsid w:val="00C348B3"/>
    <w:rsid w:val="00C356C8"/>
    <w:rsid w:val="00C367B4"/>
    <w:rsid w:val="00C36B2D"/>
    <w:rsid w:val="00C40D60"/>
    <w:rsid w:val="00C43A7D"/>
    <w:rsid w:val="00C4425F"/>
    <w:rsid w:val="00C46DB1"/>
    <w:rsid w:val="00C4706F"/>
    <w:rsid w:val="00C47BD3"/>
    <w:rsid w:val="00C504D3"/>
    <w:rsid w:val="00C53B22"/>
    <w:rsid w:val="00C542A9"/>
    <w:rsid w:val="00C54763"/>
    <w:rsid w:val="00C55649"/>
    <w:rsid w:val="00C563A1"/>
    <w:rsid w:val="00C576F8"/>
    <w:rsid w:val="00C57F07"/>
    <w:rsid w:val="00C61FF5"/>
    <w:rsid w:val="00C62CD3"/>
    <w:rsid w:val="00C635CF"/>
    <w:rsid w:val="00C66473"/>
    <w:rsid w:val="00C707EE"/>
    <w:rsid w:val="00C717C8"/>
    <w:rsid w:val="00C7187C"/>
    <w:rsid w:val="00C71B86"/>
    <w:rsid w:val="00C71D62"/>
    <w:rsid w:val="00C723EA"/>
    <w:rsid w:val="00C76E4A"/>
    <w:rsid w:val="00C80731"/>
    <w:rsid w:val="00C80811"/>
    <w:rsid w:val="00C84BAF"/>
    <w:rsid w:val="00C84C64"/>
    <w:rsid w:val="00C8571F"/>
    <w:rsid w:val="00C87CEE"/>
    <w:rsid w:val="00C9009E"/>
    <w:rsid w:val="00C917B0"/>
    <w:rsid w:val="00C91DC9"/>
    <w:rsid w:val="00C93697"/>
    <w:rsid w:val="00C941FF"/>
    <w:rsid w:val="00C94AFD"/>
    <w:rsid w:val="00C95414"/>
    <w:rsid w:val="00C95E48"/>
    <w:rsid w:val="00C960CE"/>
    <w:rsid w:val="00C973FB"/>
    <w:rsid w:val="00CA0C40"/>
    <w:rsid w:val="00CA126C"/>
    <w:rsid w:val="00CA13B9"/>
    <w:rsid w:val="00CA270D"/>
    <w:rsid w:val="00CA2E80"/>
    <w:rsid w:val="00CA61EE"/>
    <w:rsid w:val="00CA6F54"/>
    <w:rsid w:val="00CB1F27"/>
    <w:rsid w:val="00CB484B"/>
    <w:rsid w:val="00CB4E0C"/>
    <w:rsid w:val="00CB5059"/>
    <w:rsid w:val="00CB6C8D"/>
    <w:rsid w:val="00CB7F46"/>
    <w:rsid w:val="00CC2508"/>
    <w:rsid w:val="00CC26A6"/>
    <w:rsid w:val="00CC2F2F"/>
    <w:rsid w:val="00CC4F4F"/>
    <w:rsid w:val="00CC4F94"/>
    <w:rsid w:val="00CC6811"/>
    <w:rsid w:val="00CC7195"/>
    <w:rsid w:val="00CD1420"/>
    <w:rsid w:val="00CD1B30"/>
    <w:rsid w:val="00CD385E"/>
    <w:rsid w:val="00CD3F0E"/>
    <w:rsid w:val="00CD7D5B"/>
    <w:rsid w:val="00CD7ED8"/>
    <w:rsid w:val="00CE1093"/>
    <w:rsid w:val="00CE2B78"/>
    <w:rsid w:val="00CE31F7"/>
    <w:rsid w:val="00CE5ACF"/>
    <w:rsid w:val="00CE7F91"/>
    <w:rsid w:val="00CF2D64"/>
    <w:rsid w:val="00CF5466"/>
    <w:rsid w:val="00CF6D85"/>
    <w:rsid w:val="00D024BD"/>
    <w:rsid w:val="00D02770"/>
    <w:rsid w:val="00D02E89"/>
    <w:rsid w:val="00D054C0"/>
    <w:rsid w:val="00D05A94"/>
    <w:rsid w:val="00D06F70"/>
    <w:rsid w:val="00D10700"/>
    <w:rsid w:val="00D11D41"/>
    <w:rsid w:val="00D1223C"/>
    <w:rsid w:val="00D14A32"/>
    <w:rsid w:val="00D14EE0"/>
    <w:rsid w:val="00D15808"/>
    <w:rsid w:val="00D1690D"/>
    <w:rsid w:val="00D16FBF"/>
    <w:rsid w:val="00D1786A"/>
    <w:rsid w:val="00D2018B"/>
    <w:rsid w:val="00D20799"/>
    <w:rsid w:val="00D209AF"/>
    <w:rsid w:val="00D20C67"/>
    <w:rsid w:val="00D212FE"/>
    <w:rsid w:val="00D2506C"/>
    <w:rsid w:val="00D27F99"/>
    <w:rsid w:val="00D300D9"/>
    <w:rsid w:val="00D30A68"/>
    <w:rsid w:val="00D30BE6"/>
    <w:rsid w:val="00D30C04"/>
    <w:rsid w:val="00D314D5"/>
    <w:rsid w:val="00D31C7A"/>
    <w:rsid w:val="00D32447"/>
    <w:rsid w:val="00D33AA1"/>
    <w:rsid w:val="00D34F75"/>
    <w:rsid w:val="00D35BD5"/>
    <w:rsid w:val="00D35C30"/>
    <w:rsid w:val="00D36501"/>
    <w:rsid w:val="00D412C0"/>
    <w:rsid w:val="00D4194D"/>
    <w:rsid w:val="00D4457C"/>
    <w:rsid w:val="00D459F5"/>
    <w:rsid w:val="00D45B15"/>
    <w:rsid w:val="00D47551"/>
    <w:rsid w:val="00D51A17"/>
    <w:rsid w:val="00D52387"/>
    <w:rsid w:val="00D5285D"/>
    <w:rsid w:val="00D52FC3"/>
    <w:rsid w:val="00D52FEA"/>
    <w:rsid w:val="00D533DD"/>
    <w:rsid w:val="00D5433B"/>
    <w:rsid w:val="00D54C42"/>
    <w:rsid w:val="00D56AF5"/>
    <w:rsid w:val="00D60795"/>
    <w:rsid w:val="00D60F96"/>
    <w:rsid w:val="00D61651"/>
    <w:rsid w:val="00D634CB"/>
    <w:rsid w:val="00D6494A"/>
    <w:rsid w:val="00D64ADE"/>
    <w:rsid w:val="00D64B66"/>
    <w:rsid w:val="00D6607A"/>
    <w:rsid w:val="00D66CAA"/>
    <w:rsid w:val="00D66F87"/>
    <w:rsid w:val="00D67483"/>
    <w:rsid w:val="00D70F07"/>
    <w:rsid w:val="00D7242F"/>
    <w:rsid w:val="00D742A8"/>
    <w:rsid w:val="00D77799"/>
    <w:rsid w:val="00D8096D"/>
    <w:rsid w:val="00D81422"/>
    <w:rsid w:val="00D81C35"/>
    <w:rsid w:val="00D8254C"/>
    <w:rsid w:val="00D826AC"/>
    <w:rsid w:val="00D82913"/>
    <w:rsid w:val="00D82B60"/>
    <w:rsid w:val="00D8369E"/>
    <w:rsid w:val="00D8416E"/>
    <w:rsid w:val="00D84EB7"/>
    <w:rsid w:val="00D8545A"/>
    <w:rsid w:val="00D85AC7"/>
    <w:rsid w:val="00D87BAB"/>
    <w:rsid w:val="00D90BFF"/>
    <w:rsid w:val="00D92396"/>
    <w:rsid w:val="00D946DB"/>
    <w:rsid w:val="00DA040A"/>
    <w:rsid w:val="00DA1253"/>
    <w:rsid w:val="00DA3B36"/>
    <w:rsid w:val="00DA4727"/>
    <w:rsid w:val="00DA4AAA"/>
    <w:rsid w:val="00DA77E1"/>
    <w:rsid w:val="00DB0274"/>
    <w:rsid w:val="00DB0F07"/>
    <w:rsid w:val="00DB2DD0"/>
    <w:rsid w:val="00DB3B68"/>
    <w:rsid w:val="00DB3EEA"/>
    <w:rsid w:val="00DB40CA"/>
    <w:rsid w:val="00DB5503"/>
    <w:rsid w:val="00DC03E0"/>
    <w:rsid w:val="00DC0817"/>
    <w:rsid w:val="00DC1FD1"/>
    <w:rsid w:val="00DC2D05"/>
    <w:rsid w:val="00DC3A83"/>
    <w:rsid w:val="00DC3B38"/>
    <w:rsid w:val="00DC40DA"/>
    <w:rsid w:val="00DC4CE4"/>
    <w:rsid w:val="00DD07FF"/>
    <w:rsid w:val="00DD092D"/>
    <w:rsid w:val="00DD156E"/>
    <w:rsid w:val="00DD1906"/>
    <w:rsid w:val="00DD2C1E"/>
    <w:rsid w:val="00DD4CFC"/>
    <w:rsid w:val="00DD5F87"/>
    <w:rsid w:val="00DD60DF"/>
    <w:rsid w:val="00DD6D54"/>
    <w:rsid w:val="00DD72AA"/>
    <w:rsid w:val="00DE0157"/>
    <w:rsid w:val="00DE0962"/>
    <w:rsid w:val="00DE230A"/>
    <w:rsid w:val="00DE26F2"/>
    <w:rsid w:val="00DE4001"/>
    <w:rsid w:val="00DE489B"/>
    <w:rsid w:val="00DE48EF"/>
    <w:rsid w:val="00DE4EF2"/>
    <w:rsid w:val="00DE5A31"/>
    <w:rsid w:val="00DF30EB"/>
    <w:rsid w:val="00DF65DF"/>
    <w:rsid w:val="00DF70AE"/>
    <w:rsid w:val="00E0175F"/>
    <w:rsid w:val="00E01F9D"/>
    <w:rsid w:val="00E02F76"/>
    <w:rsid w:val="00E050F3"/>
    <w:rsid w:val="00E052A9"/>
    <w:rsid w:val="00E0639C"/>
    <w:rsid w:val="00E06628"/>
    <w:rsid w:val="00E07C8E"/>
    <w:rsid w:val="00E11F7B"/>
    <w:rsid w:val="00E143FD"/>
    <w:rsid w:val="00E14C4D"/>
    <w:rsid w:val="00E1696D"/>
    <w:rsid w:val="00E1750A"/>
    <w:rsid w:val="00E2178E"/>
    <w:rsid w:val="00E2447E"/>
    <w:rsid w:val="00E249EF"/>
    <w:rsid w:val="00E25862"/>
    <w:rsid w:val="00E26CB6"/>
    <w:rsid w:val="00E27969"/>
    <w:rsid w:val="00E32DA2"/>
    <w:rsid w:val="00E33BF7"/>
    <w:rsid w:val="00E340D7"/>
    <w:rsid w:val="00E41A58"/>
    <w:rsid w:val="00E41E4F"/>
    <w:rsid w:val="00E42A4D"/>
    <w:rsid w:val="00E43CD2"/>
    <w:rsid w:val="00E440D2"/>
    <w:rsid w:val="00E46936"/>
    <w:rsid w:val="00E47B54"/>
    <w:rsid w:val="00E47CCD"/>
    <w:rsid w:val="00E509EA"/>
    <w:rsid w:val="00E53E55"/>
    <w:rsid w:val="00E543B2"/>
    <w:rsid w:val="00E54B05"/>
    <w:rsid w:val="00E60C82"/>
    <w:rsid w:val="00E61840"/>
    <w:rsid w:val="00E63DC8"/>
    <w:rsid w:val="00E66040"/>
    <w:rsid w:val="00E6616A"/>
    <w:rsid w:val="00E67F16"/>
    <w:rsid w:val="00E70AB0"/>
    <w:rsid w:val="00E721D9"/>
    <w:rsid w:val="00E73F4B"/>
    <w:rsid w:val="00E74C2C"/>
    <w:rsid w:val="00E75993"/>
    <w:rsid w:val="00E80172"/>
    <w:rsid w:val="00E804CC"/>
    <w:rsid w:val="00E81DB9"/>
    <w:rsid w:val="00E81F69"/>
    <w:rsid w:val="00E822F7"/>
    <w:rsid w:val="00E8231C"/>
    <w:rsid w:val="00E8262F"/>
    <w:rsid w:val="00E84C8E"/>
    <w:rsid w:val="00E85358"/>
    <w:rsid w:val="00E863C1"/>
    <w:rsid w:val="00E86638"/>
    <w:rsid w:val="00E871FE"/>
    <w:rsid w:val="00E87B6C"/>
    <w:rsid w:val="00E92C04"/>
    <w:rsid w:val="00E93AB5"/>
    <w:rsid w:val="00E96A85"/>
    <w:rsid w:val="00E9758A"/>
    <w:rsid w:val="00E97CD2"/>
    <w:rsid w:val="00EA050A"/>
    <w:rsid w:val="00EA0BAB"/>
    <w:rsid w:val="00EA11F0"/>
    <w:rsid w:val="00EA3FEF"/>
    <w:rsid w:val="00EA4108"/>
    <w:rsid w:val="00EA419C"/>
    <w:rsid w:val="00EB154B"/>
    <w:rsid w:val="00EB5013"/>
    <w:rsid w:val="00EB5804"/>
    <w:rsid w:val="00EB5C9A"/>
    <w:rsid w:val="00EB62C2"/>
    <w:rsid w:val="00EB6DEA"/>
    <w:rsid w:val="00EC0B74"/>
    <w:rsid w:val="00EC19AE"/>
    <w:rsid w:val="00EC5046"/>
    <w:rsid w:val="00EC53E0"/>
    <w:rsid w:val="00EC57C6"/>
    <w:rsid w:val="00EC5FA2"/>
    <w:rsid w:val="00ED1956"/>
    <w:rsid w:val="00ED4629"/>
    <w:rsid w:val="00ED52BC"/>
    <w:rsid w:val="00ED55F7"/>
    <w:rsid w:val="00ED66A4"/>
    <w:rsid w:val="00ED7C8E"/>
    <w:rsid w:val="00EE0B9D"/>
    <w:rsid w:val="00EE2205"/>
    <w:rsid w:val="00EE2BDA"/>
    <w:rsid w:val="00EE5691"/>
    <w:rsid w:val="00EE63B4"/>
    <w:rsid w:val="00EF0C0C"/>
    <w:rsid w:val="00EF0DA4"/>
    <w:rsid w:val="00EF36D2"/>
    <w:rsid w:val="00EF3F40"/>
    <w:rsid w:val="00F006CF"/>
    <w:rsid w:val="00F015E6"/>
    <w:rsid w:val="00F0322C"/>
    <w:rsid w:val="00F052D1"/>
    <w:rsid w:val="00F1041F"/>
    <w:rsid w:val="00F1062E"/>
    <w:rsid w:val="00F11185"/>
    <w:rsid w:val="00F117D1"/>
    <w:rsid w:val="00F12EA3"/>
    <w:rsid w:val="00F1455C"/>
    <w:rsid w:val="00F14B07"/>
    <w:rsid w:val="00F177C6"/>
    <w:rsid w:val="00F215C7"/>
    <w:rsid w:val="00F2228C"/>
    <w:rsid w:val="00F22648"/>
    <w:rsid w:val="00F249CD"/>
    <w:rsid w:val="00F26B14"/>
    <w:rsid w:val="00F271B3"/>
    <w:rsid w:val="00F30076"/>
    <w:rsid w:val="00F315FD"/>
    <w:rsid w:val="00F325B9"/>
    <w:rsid w:val="00F32D09"/>
    <w:rsid w:val="00F356CE"/>
    <w:rsid w:val="00F358AF"/>
    <w:rsid w:val="00F423F0"/>
    <w:rsid w:val="00F4393C"/>
    <w:rsid w:val="00F45359"/>
    <w:rsid w:val="00F46113"/>
    <w:rsid w:val="00F463F5"/>
    <w:rsid w:val="00F47628"/>
    <w:rsid w:val="00F50709"/>
    <w:rsid w:val="00F52DD3"/>
    <w:rsid w:val="00F52DF6"/>
    <w:rsid w:val="00F52FC6"/>
    <w:rsid w:val="00F535E7"/>
    <w:rsid w:val="00F5381F"/>
    <w:rsid w:val="00F5524C"/>
    <w:rsid w:val="00F56546"/>
    <w:rsid w:val="00F56641"/>
    <w:rsid w:val="00F57838"/>
    <w:rsid w:val="00F57ED1"/>
    <w:rsid w:val="00F60315"/>
    <w:rsid w:val="00F60F37"/>
    <w:rsid w:val="00F61095"/>
    <w:rsid w:val="00F620A2"/>
    <w:rsid w:val="00F63080"/>
    <w:rsid w:val="00F63BA7"/>
    <w:rsid w:val="00F65282"/>
    <w:rsid w:val="00F66294"/>
    <w:rsid w:val="00F66830"/>
    <w:rsid w:val="00F67634"/>
    <w:rsid w:val="00F71DF2"/>
    <w:rsid w:val="00F777C7"/>
    <w:rsid w:val="00F800B6"/>
    <w:rsid w:val="00F8071F"/>
    <w:rsid w:val="00F84B2D"/>
    <w:rsid w:val="00F87E46"/>
    <w:rsid w:val="00F913DC"/>
    <w:rsid w:val="00F9145F"/>
    <w:rsid w:val="00F93400"/>
    <w:rsid w:val="00F93B5F"/>
    <w:rsid w:val="00F9591C"/>
    <w:rsid w:val="00FA3858"/>
    <w:rsid w:val="00FA3865"/>
    <w:rsid w:val="00FA46C8"/>
    <w:rsid w:val="00FA610E"/>
    <w:rsid w:val="00FA6E69"/>
    <w:rsid w:val="00FA77E4"/>
    <w:rsid w:val="00FB1578"/>
    <w:rsid w:val="00FB199D"/>
    <w:rsid w:val="00FB1C26"/>
    <w:rsid w:val="00FB1D44"/>
    <w:rsid w:val="00FB25EE"/>
    <w:rsid w:val="00FB2E7B"/>
    <w:rsid w:val="00FB4960"/>
    <w:rsid w:val="00FB5258"/>
    <w:rsid w:val="00FB5985"/>
    <w:rsid w:val="00FC0624"/>
    <w:rsid w:val="00FC0B81"/>
    <w:rsid w:val="00FC1030"/>
    <w:rsid w:val="00FC1715"/>
    <w:rsid w:val="00FC20DD"/>
    <w:rsid w:val="00FC371D"/>
    <w:rsid w:val="00FC41EC"/>
    <w:rsid w:val="00FC4D06"/>
    <w:rsid w:val="00FC6D7A"/>
    <w:rsid w:val="00FD0193"/>
    <w:rsid w:val="00FD0FAA"/>
    <w:rsid w:val="00FD16F5"/>
    <w:rsid w:val="00FD380B"/>
    <w:rsid w:val="00FD457C"/>
    <w:rsid w:val="00FD54FC"/>
    <w:rsid w:val="00FD5ABD"/>
    <w:rsid w:val="00FD6CCB"/>
    <w:rsid w:val="00FD6D27"/>
    <w:rsid w:val="00FD7524"/>
    <w:rsid w:val="00FD7960"/>
    <w:rsid w:val="00FD7E66"/>
    <w:rsid w:val="00FE052A"/>
    <w:rsid w:val="00FE219F"/>
    <w:rsid w:val="00FE21F5"/>
    <w:rsid w:val="00FE30C1"/>
    <w:rsid w:val="00FE3BD8"/>
    <w:rsid w:val="00FE43D5"/>
    <w:rsid w:val="00FE4AE0"/>
    <w:rsid w:val="00FE4D22"/>
    <w:rsid w:val="00FE69AC"/>
    <w:rsid w:val="00FE6CFB"/>
    <w:rsid w:val="00FF0040"/>
    <w:rsid w:val="00FF208F"/>
    <w:rsid w:val="00FF2658"/>
    <w:rsid w:val="00FF2D0E"/>
    <w:rsid w:val="00FF36A5"/>
    <w:rsid w:val="00FF75CC"/>
  </w:rsids>
  <m:mathPr>
    <m:mathFont m:val="Cambria Math"/>
    <m:brkBin m:val="before"/>
    <m:brkBinSub m:val="--"/>
    <m:smallFrac m:val="0"/>
    <m:dispDef/>
    <m:lMargin m:val="0"/>
    <m:rMargin m:val="0"/>
    <m:defJc m:val="centerGroup"/>
    <m:wrapIndent m:val="1440"/>
    <m:intLim m:val="subSup"/>
    <m:naryLim m:val="undOvr"/>
  </m:mathPr>
  <w:themeFontLang w:val="en-GB" w:eastAsia="zh-CN" w:bidi="ne-N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fr-FR" w:eastAsia="fr-FR" w:bidi="fr-FR"/>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iPriority="1"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able of figures" w:uiPriority="0"/>
    <w:lsdException w:name="footnote reference" w:uiPriority="0"/>
    <w:lsdException w:name="endnote reference" w:uiPriority="1"/>
    <w:lsdException w:name="endnote text" w:uiPriority="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semiHidden="0" w:uiPriority="39" w:unhideWhenUsed="0" w:qFormat="1"/>
  </w:latentStyles>
  <w:style w:type="paragraph" w:default="1" w:styleId="Normal">
    <w:name w:val="Normal"/>
    <w:qFormat/>
    <w:rsid w:val="00884FEB"/>
    <w:pPr>
      <w:spacing w:before="120" w:after="120"/>
      <w:jc w:val="both"/>
    </w:pPr>
    <w:rPr>
      <w:rFonts w:ascii="Verdana" w:eastAsia="Times New Roman" w:hAnsi="Verdana"/>
      <w:szCs w:val="24"/>
    </w:rPr>
  </w:style>
  <w:style w:type="paragraph" w:styleId="Heading1">
    <w:name w:val="heading 1"/>
    <w:basedOn w:val="Normal"/>
    <w:next w:val="Normal"/>
    <w:link w:val="Heading1Char"/>
    <w:autoRedefine/>
    <w:qFormat/>
    <w:rsid w:val="005A6305"/>
    <w:pPr>
      <w:keepNext/>
      <w:autoSpaceDE w:val="0"/>
      <w:autoSpaceDN w:val="0"/>
      <w:adjustRightInd w:val="0"/>
      <w:spacing w:before="0" w:after="0"/>
      <w:jc w:val="left"/>
      <w:outlineLvl w:val="0"/>
    </w:pPr>
    <w:rPr>
      <w:rFonts w:eastAsia="Arial"/>
      <w:b/>
      <w:szCs w:val="20"/>
      <w:u w:val="single"/>
    </w:rPr>
  </w:style>
  <w:style w:type="paragraph" w:styleId="Heading2">
    <w:name w:val="heading 2"/>
    <w:basedOn w:val="Normal"/>
    <w:next w:val="Normal"/>
    <w:link w:val="Heading2Char"/>
    <w:autoRedefine/>
    <w:uiPriority w:val="99"/>
    <w:qFormat/>
    <w:rsid w:val="001E5A75"/>
    <w:pPr>
      <w:keepNext/>
      <w:spacing w:before="240"/>
      <w:outlineLvl w:val="1"/>
    </w:pPr>
    <w:rPr>
      <w:rFonts w:eastAsia="Arial"/>
      <w:b/>
      <w:sz w:val="24"/>
      <w:u w:val="single"/>
    </w:rPr>
  </w:style>
  <w:style w:type="paragraph" w:styleId="Heading3">
    <w:name w:val="heading 3"/>
    <w:basedOn w:val="Normal"/>
    <w:next w:val="Normal"/>
    <w:link w:val="Heading3Char1"/>
    <w:autoRedefine/>
    <w:uiPriority w:val="99"/>
    <w:qFormat/>
    <w:rsid w:val="001E5A75"/>
    <w:pPr>
      <w:keepNext/>
      <w:spacing w:before="180"/>
      <w:outlineLvl w:val="2"/>
    </w:pPr>
    <w:rPr>
      <w:rFonts w:ascii="Arial" w:eastAsia="Arial" w:hAnsi="Arial"/>
      <w:b/>
      <w:szCs w:val="20"/>
    </w:rPr>
  </w:style>
  <w:style w:type="paragraph" w:styleId="Heading4">
    <w:name w:val="heading 4"/>
    <w:basedOn w:val="Normal"/>
    <w:next w:val="Normal"/>
    <w:link w:val="Heading4Char"/>
    <w:autoRedefine/>
    <w:uiPriority w:val="99"/>
    <w:qFormat/>
    <w:rsid w:val="00DE0962"/>
    <w:pPr>
      <w:keepNext/>
      <w:numPr>
        <w:numId w:val="18"/>
      </w:numPr>
      <w:spacing w:before="160"/>
      <w:outlineLvl w:val="3"/>
    </w:pPr>
    <w:rPr>
      <w:b/>
      <w:u w:val="single"/>
    </w:rPr>
  </w:style>
  <w:style w:type="paragraph" w:styleId="Heading5">
    <w:name w:val="heading 5"/>
    <w:basedOn w:val="Normal"/>
    <w:next w:val="Normal"/>
    <w:link w:val="Heading5Char"/>
    <w:autoRedefine/>
    <w:uiPriority w:val="1"/>
    <w:qFormat/>
    <w:rsid w:val="001E5A75"/>
    <w:pPr>
      <w:keepNext/>
      <w:spacing w:before="140"/>
      <w:outlineLvl w:val="4"/>
    </w:pPr>
    <w:rPr>
      <w:rFonts w:ascii="Arial" w:eastAsia="Arial" w:hAnsi="Arial"/>
      <w:b/>
      <w:i/>
      <w:szCs w:val="20"/>
    </w:rPr>
  </w:style>
  <w:style w:type="paragraph" w:styleId="Heading6">
    <w:name w:val="heading 6"/>
    <w:basedOn w:val="Normal"/>
    <w:next w:val="Normal"/>
    <w:link w:val="Heading6Char"/>
    <w:qFormat/>
    <w:rsid w:val="001E5A75"/>
    <w:pPr>
      <w:spacing w:before="240" w:after="60"/>
      <w:outlineLvl w:val="5"/>
    </w:pPr>
    <w:rPr>
      <w:rFonts w:ascii="Times New Roman" w:eastAsia="Arial" w:hAnsi="Times New Roman"/>
      <w:b/>
      <w:bCs/>
      <w:szCs w:val="20"/>
    </w:rPr>
  </w:style>
  <w:style w:type="paragraph" w:styleId="Heading7">
    <w:name w:val="heading 7"/>
    <w:basedOn w:val="Normal"/>
    <w:next w:val="Normal"/>
    <w:link w:val="Heading7Char"/>
    <w:qFormat/>
    <w:rsid w:val="001E5A75"/>
    <w:pPr>
      <w:spacing w:before="240" w:after="60"/>
      <w:outlineLvl w:val="6"/>
    </w:pPr>
    <w:rPr>
      <w:rFonts w:ascii="Times New Roman" w:eastAsia="Arial" w:hAnsi="Times New Roman"/>
      <w:szCs w:val="20"/>
    </w:rPr>
  </w:style>
  <w:style w:type="paragraph" w:styleId="Heading8">
    <w:name w:val="heading 8"/>
    <w:basedOn w:val="Normal"/>
    <w:next w:val="Normal"/>
    <w:link w:val="Heading8Char"/>
    <w:qFormat/>
    <w:rsid w:val="001E5A75"/>
    <w:pPr>
      <w:spacing w:before="240" w:after="60"/>
      <w:outlineLvl w:val="7"/>
    </w:pPr>
    <w:rPr>
      <w:rFonts w:ascii="Times New Roman" w:eastAsia="Arial" w:hAnsi="Times New Roman"/>
      <w:i/>
      <w:iCs/>
      <w:szCs w:val="20"/>
    </w:rPr>
  </w:style>
  <w:style w:type="paragraph" w:styleId="Heading9">
    <w:name w:val="heading 9"/>
    <w:basedOn w:val="Normal"/>
    <w:next w:val="Normal"/>
    <w:link w:val="Heading9Char"/>
    <w:qFormat/>
    <w:rsid w:val="001E5A75"/>
    <w:pPr>
      <w:spacing w:before="240" w:after="60"/>
      <w:outlineLvl w:val="8"/>
    </w:pPr>
    <w:rPr>
      <w:rFonts w:ascii="Arial" w:eastAsia="Arial"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A6305"/>
    <w:rPr>
      <w:rFonts w:ascii="Verdana" w:hAnsi="Verdana" w:cs="Times New Roman"/>
      <w:b/>
      <w:sz w:val="20"/>
      <w:szCs w:val="20"/>
      <w:u w:val="single"/>
      <w:lang w:val="fr-FR"/>
    </w:rPr>
  </w:style>
  <w:style w:type="character" w:customStyle="1" w:styleId="Heading2Char">
    <w:name w:val="Heading 2 Char"/>
    <w:link w:val="Heading2"/>
    <w:uiPriority w:val="99"/>
    <w:locked/>
    <w:rsid w:val="00EC5046"/>
    <w:rPr>
      <w:rFonts w:ascii="Verdana" w:hAnsi="Verdana" w:cs="Times New Roman"/>
      <w:b/>
      <w:sz w:val="24"/>
      <w:szCs w:val="24"/>
      <w:u w:val="single"/>
      <w:lang w:val="fr-FR"/>
    </w:rPr>
  </w:style>
  <w:style w:type="character" w:customStyle="1" w:styleId="Heading3Char">
    <w:name w:val="Heading 3 Char"/>
    <w:uiPriority w:val="99"/>
    <w:locked/>
    <w:rsid w:val="00884FEB"/>
    <w:rPr>
      <w:rFonts w:cs="Times New Roman"/>
      <w:sz w:val="24"/>
      <w:szCs w:val="24"/>
      <w:lang w:val="fr-FR" w:eastAsia="fr-FR"/>
    </w:rPr>
  </w:style>
  <w:style w:type="character" w:customStyle="1" w:styleId="Heading4Char">
    <w:name w:val="Heading 4 Char"/>
    <w:link w:val="Heading4"/>
    <w:uiPriority w:val="99"/>
    <w:locked/>
    <w:rsid w:val="00DE0962"/>
    <w:rPr>
      <w:rFonts w:ascii="Verdana" w:eastAsia="Times New Roman" w:hAnsi="Verdana"/>
      <w:b/>
      <w:szCs w:val="24"/>
      <w:u w:val="single"/>
      <w:lang w:eastAsia="fr-FR"/>
    </w:rPr>
  </w:style>
  <w:style w:type="character" w:customStyle="1" w:styleId="Heading5Char">
    <w:name w:val="Heading 5 Char"/>
    <w:link w:val="Heading5"/>
    <w:uiPriority w:val="1"/>
    <w:locked/>
    <w:rsid w:val="001E5A75"/>
    <w:rPr>
      <w:rFonts w:ascii="Arial" w:hAnsi="Arial" w:cs="Times New Roman"/>
      <w:b/>
      <w:i/>
      <w:sz w:val="20"/>
      <w:szCs w:val="20"/>
      <w:lang w:eastAsia="fr-FR"/>
    </w:rPr>
  </w:style>
  <w:style w:type="character" w:customStyle="1" w:styleId="Heading6Char">
    <w:name w:val="Heading 6 Char"/>
    <w:link w:val="Heading6"/>
    <w:semiHidden/>
    <w:locked/>
    <w:rsid w:val="001E5A75"/>
    <w:rPr>
      <w:rFonts w:ascii="Times New Roman" w:hAnsi="Times New Roman" w:cs="Times New Roman"/>
      <w:b/>
      <w:bCs/>
      <w:lang w:eastAsia="fr-FR"/>
    </w:rPr>
  </w:style>
  <w:style w:type="character" w:customStyle="1" w:styleId="Heading7Char">
    <w:name w:val="Heading 7 Char"/>
    <w:link w:val="Heading7"/>
    <w:semiHidden/>
    <w:locked/>
    <w:rsid w:val="001E5A75"/>
    <w:rPr>
      <w:rFonts w:ascii="Times New Roman" w:hAnsi="Times New Roman" w:cs="Times New Roman"/>
      <w:sz w:val="20"/>
      <w:szCs w:val="20"/>
      <w:lang w:eastAsia="fr-FR"/>
    </w:rPr>
  </w:style>
  <w:style w:type="character" w:customStyle="1" w:styleId="Heading8Char">
    <w:name w:val="Heading 8 Char"/>
    <w:link w:val="Heading8"/>
    <w:semiHidden/>
    <w:locked/>
    <w:rsid w:val="001E5A75"/>
    <w:rPr>
      <w:rFonts w:ascii="Times New Roman" w:hAnsi="Times New Roman" w:cs="Times New Roman"/>
      <w:i/>
      <w:iCs/>
      <w:sz w:val="20"/>
      <w:szCs w:val="20"/>
      <w:lang w:eastAsia="fr-FR"/>
    </w:rPr>
  </w:style>
  <w:style w:type="character" w:customStyle="1" w:styleId="Heading9Char">
    <w:name w:val="Heading 9 Char"/>
    <w:link w:val="Heading9"/>
    <w:semiHidden/>
    <w:locked/>
    <w:rsid w:val="001E5A75"/>
    <w:rPr>
      <w:rFonts w:ascii="Arial" w:hAnsi="Arial" w:cs="Arial"/>
      <w:lang w:eastAsia="fr-FR"/>
    </w:rPr>
  </w:style>
  <w:style w:type="paragraph" w:styleId="TableofFigures">
    <w:name w:val="table of figures"/>
    <w:basedOn w:val="Normal"/>
    <w:next w:val="Normal"/>
    <w:semiHidden/>
    <w:rsid w:val="001E5A75"/>
    <w:pPr>
      <w:ind w:left="440" w:hanging="440"/>
    </w:pPr>
  </w:style>
  <w:style w:type="paragraph" w:customStyle="1" w:styleId="Aufzhlungszeichen1">
    <w:name w:val="Aufzählungszeichen1"/>
    <w:basedOn w:val="Normal"/>
    <w:uiPriority w:val="1"/>
    <w:qFormat/>
    <w:rsid w:val="001E5A75"/>
    <w:pPr>
      <w:numPr>
        <w:numId w:val="1"/>
      </w:numPr>
      <w:spacing w:line="240" w:lineRule="exact"/>
    </w:pPr>
  </w:style>
  <w:style w:type="paragraph" w:customStyle="1" w:styleId="Aufzhlungszeichen2">
    <w:name w:val="Aufzählungszeichen2"/>
    <w:basedOn w:val="Normal"/>
    <w:uiPriority w:val="1"/>
    <w:qFormat/>
    <w:rsid w:val="001E5A75"/>
    <w:pPr>
      <w:numPr>
        <w:numId w:val="2"/>
      </w:numPr>
      <w:spacing w:line="240" w:lineRule="exact"/>
    </w:pPr>
  </w:style>
  <w:style w:type="paragraph" w:customStyle="1" w:styleId="Aufzhlungszeichen3">
    <w:name w:val="Aufzählungszeichen3"/>
    <w:basedOn w:val="Normal"/>
    <w:uiPriority w:val="1"/>
    <w:qFormat/>
    <w:rsid w:val="001E5A75"/>
    <w:pPr>
      <w:numPr>
        <w:numId w:val="3"/>
      </w:numPr>
      <w:spacing w:line="240" w:lineRule="exact"/>
    </w:pPr>
  </w:style>
  <w:style w:type="paragraph" w:customStyle="1" w:styleId="Aufzhlungszeichen4">
    <w:name w:val="Aufzählungszeichen4"/>
    <w:basedOn w:val="Normal"/>
    <w:uiPriority w:val="1"/>
    <w:qFormat/>
    <w:rsid w:val="001E5A75"/>
    <w:pPr>
      <w:numPr>
        <w:numId w:val="4"/>
      </w:numPr>
      <w:spacing w:line="240" w:lineRule="exact"/>
    </w:pPr>
  </w:style>
  <w:style w:type="paragraph" w:styleId="FootnoteText">
    <w:name w:val="footnote text"/>
    <w:basedOn w:val="Normal"/>
    <w:link w:val="FootnoteTextChar"/>
    <w:rsid w:val="00C2636B"/>
    <w:pPr>
      <w:spacing w:line="180" w:lineRule="exact"/>
      <w:ind w:left="142" w:hanging="142"/>
    </w:pPr>
    <w:rPr>
      <w:rFonts w:ascii="Arial" w:eastAsia="Arial" w:hAnsi="Arial"/>
      <w:sz w:val="16"/>
      <w:szCs w:val="16"/>
    </w:rPr>
  </w:style>
  <w:style w:type="character" w:customStyle="1" w:styleId="FootnoteTextChar">
    <w:name w:val="Footnote Text Char"/>
    <w:link w:val="FootnoteText"/>
    <w:locked/>
    <w:rsid w:val="00C2636B"/>
    <w:rPr>
      <w:rFonts w:ascii="Arial" w:hAnsi="Arial" w:cs="Times New Roman"/>
      <w:sz w:val="16"/>
      <w:szCs w:val="16"/>
      <w:lang w:eastAsia="fr-FR"/>
    </w:rPr>
  </w:style>
  <w:style w:type="character" w:styleId="FootnoteReference">
    <w:name w:val="footnote reference"/>
    <w:rsid w:val="001E5A75"/>
    <w:rPr>
      <w:rFonts w:ascii="Arial" w:hAnsi="Arial" w:cs="Times New Roman"/>
      <w:kern w:val="0"/>
      <w:position w:val="4"/>
      <w:sz w:val="12"/>
      <w:szCs w:val="12"/>
      <w:vertAlign w:val="baseline"/>
    </w:rPr>
  </w:style>
  <w:style w:type="paragraph" w:styleId="Footer">
    <w:name w:val="footer"/>
    <w:basedOn w:val="Normal"/>
    <w:link w:val="FooterChar"/>
    <w:uiPriority w:val="99"/>
    <w:rsid w:val="001E5A75"/>
    <w:pPr>
      <w:tabs>
        <w:tab w:val="center" w:pos="4536"/>
        <w:tab w:val="right" w:pos="9072"/>
      </w:tabs>
    </w:pPr>
    <w:rPr>
      <w:rFonts w:ascii="Arial" w:eastAsia="Arial" w:hAnsi="Arial"/>
      <w:sz w:val="14"/>
      <w:szCs w:val="14"/>
    </w:rPr>
  </w:style>
  <w:style w:type="character" w:customStyle="1" w:styleId="FooterChar">
    <w:name w:val="Footer Char"/>
    <w:link w:val="Footer"/>
    <w:uiPriority w:val="99"/>
    <w:locked/>
    <w:rsid w:val="001E5A75"/>
    <w:rPr>
      <w:rFonts w:ascii="Arial" w:hAnsi="Arial" w:cs="Times New Roman"/>
      <w:sz w:val="14"/>
      <w:szCs w:val="14"/>
      <w:lang w:eastAsia="fr-FR"/>
    </w:rPr>
  </w:style>
  <w:style w:type="paragraph" w:customStyle="1" w:styleId="GliederungmitAufzhlung">
    <w:name w:val="Gliederung mit Aufzählung"/>
    <w:basedOn w:val="Normal"/>
    <w:uiPriority w:val="1"/>
    <w:qFormat/>
    <w:rsid w:val="001E5A75"/>
    <w:pPr>
      <w:numPr>
        <w:numId w:val="7"/>
      </w:numPr>
      <w:spacing w:line="312" w:lineRule="auto"/>
    </w:pPr>
  </w:style>
  <w:style w:type="paragraph" w:customStyle="1" w:styleId="GliederungmitNummerierung">
    <w:name w:val="Gliederung mit Nummerierung"/>
    <w:basedOn w:val="Normal"/>
    <w:uiPriority w:val="1"/>
    <w:qFormat/>
    <w:rsid w:val="001E5A75"/>
    <w:pPr>
      <w:numPr>
        <w:numId w:val="8"/>
      </w:numPr>
      <w:spacing w:line="312" w:lineRule="auto"/>
    </w:pPr>
  </w:style>
  <w:style w:type="paragraph" w:customStyle="1" w:styleId="HngEinrckung1">
    <w:name w:val="Häng. Einrückung1"/>
    <w:basedOn w:val="Normal"/>
    <w:uiPriority w:val="1"/>
    <w:qFormat/>
    <w:rsid w:val="001E5A75"/>
    <w:pPr>
      <w:spacing w:line="312" w:lineRule="auto"/>
      <w:ind w:left="567" w:hanging="567"/>
    </w:pPr>
  </w:style>
  <w:style w:type="paragraph" w:customStyle="1" w:styleId="HngEinrckung2">
    <w:name w:val="Häng. Einrückung2"/>
    <w:basedOn w:val="Normal"/>
    <w:uiPriority w:val="1"/>
    <w:qFormat/>
    <w:rsid w:val="001E5A75"/>
    <w:pPr>
      <w:spacing w:line="312" w:lineRule="auto"/>
      <w:ind w:left="1134" w:hanging="567"/>
    </w:pPr>
  </w:style>
  <w:style w:type="paragraph" w:customStyle="1" w:styleId="HngEinrckung3">
    <w:name w:val="Häng. Einrückung3"/>
    <w:basedOn w:val="Normal"/>
    <w:uiPriority w:val="1"/>
    <w:qFormat/>
    <w:rsid w:val="001E5A75"/>
    <w:pPr>
      <w:spacing w:line="312" w:lineRule="auto"/>
      <w:ind w:left="1701" w:hanging="567"/>
    </w:pPr>
  </w:style>
  <w:style w:type="character" w:styleId="Hyperlink">
    <w:name w:val="Hyperlink"/>
    <w:uiPriority w:val="99"/>
    <w:rsid w:val="001E5A75"/>
    <w:rPr>
      <w:rFonts w:cs="Times New Roman"/>
      <w:color w:val="0000FF"/>
      <w:u w:val="single"/>
    </w:rPr>
  </w:style>
  <w:style w:type="paragraph" w:styleId="Header">
    <w:name w:val="header"/>
    <w:basedOn w:val="Normal"/>
    <w:link w:val="HeaderChar"/>
    <w:uiPriority w:val="99"/>
    <w:rsid w:val="001E5A75"/>
    <w:pPr>
      <w:tabs>
        <w:tab w:val="center" w:pos="4536"/>
        <w:tab w:val="right" w:pos="9072"/>
      </w:tabs>
    </w:pPr>
    <w:rPr>
      <w:rFonts w:ascii="Arial" w:eastAsia="Arial" w:hAnsi="Arial"/>
      <w:szCs w:val="20"/>
    </w:rPr>
  </w:style>
  <w:style w:type="character" w:customStyle="1" w:styleId="HeaderChar">
    <w:name w:val="Header Char"/>
    <w:link w:val="Header"/>
    <w:uiPriority w:val="99"/>
    <w:locked/>
    <w:rsid w:val="001E5A75"/>
    <w:rPr>
      <w:rFonts w:ascii="Arial" w:hAnsi="Arial" w:cs="Times New Roman"/>
      <w:sz w:val="20"/>
      <w:szCs w:val="20"/>
      <w:lang w:eastAsia="fr-FR"/>
    </w:rPr>
  </w:style>
  <w:style w:type="paragraph" w:customStyle="1" w:styleId="Marginalspalte">
    <w:name w:val="Marginalspalte"/>
    <w:basedOn w:val="Normal"/>
    <w:uiPriority w:val="1"/>
    <w:qFormat/>
    <w:rsid w:val="001E5A75"/>
    <w:pPr>
      <w:framePr w:w="851" w:h="851" w:hSpace="284" w:wrap="around" w:vAnchor="text" w:hAnchor="page" w:y="1"/>
    </w:pPr>
    <w:rPr>
      <w:i/>
      <w:szCs w:val="22"/>
    </w:rPr>
  </w:style>
  <w:style w:type="paragraph" w:customStyle="1" w:styleId="Nummerierungsart1">
    <w:name w:val="Nummerierungsart1"/>
    <w:basedOn w:val="Normal"/>
    <w:uiPriority w:val="1"/>
    <w:qFormat/>
    <w:rsid w:val="001E5A75"/>
    <w:pPr>
      <w:numPr>
        <w:numId w:val="9"/>
      </w:numPr>
    </w:pPr>
  </w:style>
  <w:style w:type="paragraph" w:customStyle="1" w:styleId="Nummerierungsart2">
    <w:name w:val="Nummerierungsart2"/>
    <w:basedOn w:val="Normal"/>
    <w:uiPriority w:val="1"/>
    <w:qFormat/>
    <w:rsid w:val="001E5A75"/>
    <w:pPr>
      <w:numPr>
        <w:numId w:val="10"/>
      </w:numPr>
    </w:pPr>
  </w:style>
  <w:style w:type="paragraph" w:customStyle="1" w:styleId="Nummerierungsart3">
    <w:name w:val="Nummerierungsart3"/>
    <w:basedOn w:val="Normal"/>
    <w:uiPriority w:val="1"/>
    <w:qFormat/>
    <w:rsid w:val="001E5A75"/>
    <w:pPr>
      <w:numPr>
        <w:numId w:val="11"/>
      </w:numPr>
    </w:pPr>
  </w:style>
  <w:style w:type="paragraph" w:customStyle="1" w:styleId="Nummerierungsart4">
    <w:name w:val="Nummerierungsart4"/>
    <w:basedOn w:val="Normal"/>
    <w:uiPriority w:val="1"/>
    <w:qFormat/>
    <w:rsid w:val="001E5A75"/>
    <w:pPr>
      <w:numPr>
        <w:numId w:val="12"/>
      </w:numPr>
    </w:pPr>
  </w:style>
  <w:style w:type="character" w:styleId="PageNumber">
    <w:name w:val="page number"/>
    <w:uiPriority w:val="99"/>
    <w:rsid w:val="001E5A75"/>
    <w:rPr>
      <w:rFonts w:ascii="Arial" w:hAnsi="Arial" w:cs="Times New Roman"/>
      <w:sz w:val="22"/>
    </w:rPr>
  </w:style>
  <w:style w:type="character" w:customStyle="1" w:styleId="Heading3Char1">
    <w:name w:val="Heading 3 Char1"/>
    <w:link w:val="Heading3"/>
    <w:uiPriority w:val="99"/>
    <w:locked/>
    <w:rsid w:val="001E5A75"/>
    <w:rPr>
      <w:rFonts w:ascii="Arial" w:hAnsi="Arial" w:cs="Times New Roman"/>
      <w:b/>
      <w:sz w:val="20"/>
      <w:szCs w:val="20"/>
      <w:lang w:eastAsia="fr-FR"/>
    </w:rPr>
  </w:style>
  <w:style w:type="paragraph" w:styleId="TOC1">
    <w:name w:val="toc 1"/>
    <w:basedOn w:val="Normal"/>
    <w:next w:val="Normal"/>
    <w:autoRedefine/>
    <w:uiPriority w:val="39"/>
    <w:qFormat/>
    <w:rsid w:val="001E5A75"/>
    <w:pPr>
      <w:tabs>
        <w:tab w:val="left" w:pos="794"/>
        <w:tab w:val="right" w:leader="dot" w:pos="9071"/>
      </w:tabs>
      <w:ind w:left="794" w:hanging="794"/>
    </w:pPr>
    <w:rPr>
      <w:b/>
      <w:smallCaps/>
      <w:noProof/>
      <w:sz w:val="24"/>
    </w:rPr>
  </w:style>
  <w:style w:type="paragraph" w:styleId="TOC2">
    <w:name w:val="toc 2"/>
    <w:basedOn w:val="Normal"/>
    <w:next w:val="Normal"/>
    <w:autoRedefine/>
    <w:uiPriority w:val="39"/>
    <w:qFormat/>
    <w:rsid w:val="001E5A75"/>
    <w:pPr>
      <w:tabs>
        <w:tab w:val="left" w:pos="794"/>
        <w:tab w:val="right" w:leader="dot" w:pos="9071"/>
      </w:tabs>
      <w:spacing w:after="60"/>
      <w:ind w:left="794" w:hanging="794"/>
    </w:pPr>
    <w:rPr>
      <w:b/>
      <w:smallCaps/>
      <w:noProof/>
      <w:szCs w:val="22"/>
    </w:rPr>
  </w:style>
  <w:style w:type="paragraph" w:styleId="TOC3">
    <w:name w:val="toc 3"/>
    <w:basedOn w:val="Normal"/>
    <w:next w:val="Normal"/>
    <w:autoRedefine/>
    <w:uiPriority w:val="39"/>
    <w:qFormat/>
    <w:rsid w:val="001E5A75"/>
    <w:pPr>
      <w:tabs>
        <w:tab w:val="left" w:pos="794"/>
        <w:tab w:val="right" w:leader="dot" w:pos="9072"/>
      </w:tabs>
      <w:spacing w:after="60"/>
      <w:ind w:left="794" w:hanging="794"/>
    </w:pPr>
    <w:rPr>
      <w:smallCaps/>
      <w:noProof/>
    </w:rPr>
  </w:style>
  <w:style w:type="paragraph" w:styleId="TOC4">
    <w:name w:val="toc 4"/>
    <w:basedOn w:val="Normal"/>
    <w:next w:val="Normal"/>
    <w:autoRedefine/>
    <w:uiPriority w:val="39"/>
    <w:rsid w:val="001E5A75"/>
    <w:pPr>
      <w:tabs>
        <w:tab w:val="left" w:pos="794"/>
        <w:tab w:val="right" w:leader="dot" w:pos="9071"/>
      </w:tabs>
      <w:spacing w:after="40"/>
      <w:ind w:left="794" w:hanging="794"/>
    </w:pPr>
    <w:rPr>
      <w:smallCaps/>
      <w:noProof/>
      <w:sz w:val="18"/>
      <w:szCs w:val="18"/>
    </w:rPr>
  </w:style>
  <w:style w:type="paragraph" w:styleId="TOC5">
    <w:name w:val="toc 5"/>
    <w:basedOn w:val="Normal"/>
    <w:next w:val="Normal"/>
    <w:autoRedefine/>
    <w:uiPriority w:val="39"/>
    <w:rsid w:val="001E5A75"/>
    <w:pPr>
      <w:tabs>
        <w:tab w:val="left" w:pos="794"/>
        <w:tab w:val="right" w:leader="dot" w:pos="9071"/>
      </w:tabs>
      <w:spacing w:after="40"/>
      <w:ind w:left="794" w:hanging="794"/>
    </w:pPr>
    <w:rPr>
      <w:smallCaps/>
      <w:noProof/>
      <w:sz w:val="18"/>
      <w:szCs w:val="18"/>
    </w:rPr>
  </w:style>
  <w:style w:type="paragraph" w:styleId="TOC6">
    <w:name w:val="toc 6"/>
    <w:basedOn w:val="Normal"/>
    <w:next w:val="Normal"/>
    <w:autoRedefine/>
    <w:uiPriority w:val="39"/>
    <w:rsid w:val="001E5A75"/>
    <w:pPr>
      <w:tabs>
        <w:tab w:val="left" w:pos="2058"/>
        <w:tab w:val="right" w:leader="dot" w:pos="9071"/>
      </w:tabs>
      <w:ind w:left="1134" w:hanging="1134"/>
    </w:pPr>
    <w:rPr>
      <w:noProof/>
      <w:sz w:val="16"/>
    </w:rPr>
  </w:style>
  <w:style w:type="paragraph" w:styleId="TOC7">
    <w:name w:val="toc 7"/>
    <w:basedOn w:val="Normal"/>
    <w:next w:val="Normal"/>
    <w:autoRedefine/>
    <w:uiPriority w:val="39"/>
    <w:rsid w:val="001E5A75"/>
    <w:pPr>
      <w:tabs>
        <w:tab w:val="right" w:leader="dot" w:pos="9071"/>
      </w:tabs>
      <w:ind w:left="1134" w:hanging="1134"/>
    </w:pPr>
    <w:rPr>
      <w:sz w:val="16"/>
    </w:rPr>
  </w:style>
  <w:style w:type="paragraph" w:styleId="TOC8">
    <w:name w:val="toc 8"/>
    <w:basedOn w:val="Normal"/>
    <w:next w:val="Normal"/>
    <w:autoRedefine/>
    <w:uiPriority w:val="39"/>
    <w:rsid w:val="001E5A75"/>
    <w:pPr>
      <w:tabs>
        <w:tab w:val="left" w:pos="2758"/>
        <w:tab w:val="right" w:leader="dot" w:pos="9071"/>
      </w:tabs>
      <w:ind w:left="1361" w:hanging="1361"/>
    </w:pPr>
    <w:rPr>
      <w:noProof/>
      <w:sz w:val="16"/>
    </w:rPr>
  </w:style>
  <w:style w:type="paragraph" w:styleId="TOC9">
    <w:name w:val="toc 9"/>
    <w:basedOn w:val="Normal"/>
    <w:next w:val="Normal"/>
    <w:autoRedefine/>
    <w:uiPriority w:val="39"/>
    <w:rsid w:val="001E5A75"/>
    <w:pPr>
      <w:tabs>
        <w:tab w:val="right" w:leader="dot" w:pos="9071"/>
      </w:tabs>
      <w:ind w:left="1361" w:hanging="1361"/>
    </w:pPr>
    <w:rPr>
      <w:sz w:val="16"/>
    </w:rPr>
  </w:style>
  <w:style w:type="paragraph" w:styleId="Quote">
    <w:name w:val="Quote"/>
    <w:basedOn w:val="Normal"/>
    <w:next w:val="Normal"/>
    <w:link w:val="QuoteChar"/>
    <w:uiPriority w:val="29"/>
    <w:qFormat/>
    <w:rsid w:val="001E5A75"/>
    <w:rPr>
      <w:rFonts w:ascii="Arial" w:eastAsia="Arial" w:hAnsi="Arial"/>
      <w:i/>
      <w:iCs/>
      <w:color w:val="000000"/>
      <w:szCs w:val="20"/>
    </w:rPr>
  </w:style>
  <w:style w:type="character" w:customStyle="1" w:styleId="QuoteChar">
    <w:name w:val="Quote Char"/>
    <w:link w:val="Quote"/>
    <w:uiPriority w:val="29"/>
    <w:semiHidden/>
    <w:locked/>
    <w:rsid w:val="001E5A75"/>
    <w:rPr>
      <w:rFonts w:ascii="Arial" w:hAnsi="Arial" w:cs="Times New Roman"/>
      <w:i/>
      <w:iCs/>
      <w:color w:val="000000"/>
      <w:sz w:val="20"/>
      <w:szCs w:val="20"/>
      <w:lang w:eastAsia="fr-FR"/>
    </w:rPr>
  </w:style>
  <w:style w:type="paragraph" w:styleId="TOCHeading">
    <w:name w:val="TOC Heading"/>
    <w:basedOn w:val="Heading1"/>
    <w:next w:val="Normal"/>
    <w:uiPriority w:val="39"/>
    <w:qFormat/>
    <w:rsid w:val="001E5A75"/>
    <w:pPr>
      <w:keepLines/>
      <w:spacing w:before="480" w:line="311" w:lineRule="auto"/>
      <w:outlineLvl w:val="9"/>
    </w:pPr>
    <w:rPr>
      <w:rFonts w:ascii="Arial" w:hAnsi="Arial"/>
      <w:bCs/>
      <w:color w:val="4B67A3"/>
      <w:szCs w:val="28"/>
    </w:rPr>
  </w:style>
  <w:style w:type="paragraph" w:styleId="EndnoteText">
    <w:name w:val="endnote text"/>
    <w:basedOn w:val="Normal"/>
    <w:link w:val="EndnoteTextChar"/>
    <w:uiPriority w:val="1"/>
    <w:rsid w:val="001E5A75"/>
    <w:pPr>
      <w:spacing w:line="180" w:lineRule="exact"/>
      <w:ind w:left="142" w:hanging="142"/>
    </w:pPr>
    <w:rPr>
      <w:rFonts w:ascii="Arial" w:eastAsia="Arial" w:hAnsi="Arial"/>
      <w:szCs w:val="20"/>
    </w:rPr>
  </w:style>
  <w:style w:type="character" w:customStyle="1" w:styleId="EndnoteTextChar">
    <w:name w:val="Endnote Text Char"/>
    <w:link w:val="EndnoteText"/>
    <w:uiPriority w:val="1"/>
    <w:locked/>
    <w:rsid w:val="001E5A75"/>
    <w:rPr>
      <w:rFonts w:ascii="Arial" w:hAnsi="Arial" w:cs="Times New Roman"/>
      <w:sz w:val="20"/>
      <w:szCs w:val="20"/>
      <w:lang w:eastAsia="fr-FR"/>
    </w:rPr>
  </w:style>
  <w:style w:type="character" w:styleId="EndnoteReference">
    <w:name w:val="endnote reference"/>
    <w:uiPriority w:val="1"/>
    <w:rsid w:val="001E5A75"/>
    <w:rPr>
      <w:rFonts w:ascii="Arial" w:hAnsi="Arial" w:cs="Times New Roman"/>
      <w:color w:val="auto"/>
      <w:position w:val="4"/>
      <w:sz w:val="12"/>
      <w:vertAlign w:val="baseline"/>
    </w:rPr>
  </w:style>
  <w:style w:type="paragraph" w:customStyle="1" w:styleId="Ballontekst">
    <w:name w:val="Ballontekst"/>
    <w:basedOn w:val="Normal"/>
    <w:uiPriority w:val="99"/>
    <w:semiHidden/>
    <w:rsid w:val="00884FEB"/>
    <w:rPr>
      <w:rFonts w:ascii="Tahoma" w:hAnsi="Tahoma" w:cs="Tahoma"/>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Cs w:val="20"/>
    </w:rPr>
  </w:style>
  <w:style w:type="character" w:customStyle="1" w:styleId="CommentTextChar">
    <w:name w:val="Comment Text Char"/>
    <w:link w:val="CommentText"/>
    <w:uiPriority w:val="99"/>
    <w:locked/>
    <w:rsid w:val="00884FEB"/>
    <w:rPr>
      <w:rFonts w:ascii="Verdana" w:hAnsi="Verdana" w:cs="Times New Roman"/>
      <w:sz w:val="20"/>
      <w:szCs w:val="20"/>
      <w:lang w:val="fr-FR"/>
    </w:rPr>
  </w:style>
  <w:style w:type="paragraph" w:customStyle="1" w:styleId="Onderwerpvanopmerking">
    <w:name w:val="Onderwerp van opmerking"/>
    <w:basedOn w:val="CommentText"/>
    <w:next w:val="CommentText"/>
    <w:uiPriority w:val="99"/>
    <w:semiHidden/>
    <w:rsid w:val="00884FEB"/>
    <w:rPr>
      <w:b/>
      <w:bCs/>
    </w:rPr>
  </w:style>
  <w:style w:type="character" w:styleId="FollowedHyperlink">
    <w:name w:val="FollowedHyperlink"/>
    <w:uiPriority w:val="99"/>
    <w:rsid w:val="00884FEB"/>
    <w:rPr>
      <w:rFonts w:cs="Times New Roman"/>
      <w:color w:val="606420"/>
      <w:u w:val="single"/>
    </w:rPr>
  </w:style>
  <w:style w:type="paragraph" w:styleId="BalloonText">
    <w:name w:val="Balloon Text"/>
    <w:basedOn w:val="Normal"/>
    <w:link w:val="BalloonTextChar"/>
    <w:uiPriority w:val="99"/>
    <w:rsid w:val="00884FEB"/>
    <w:rPr>
      <w:rFonts w:ascii="Tahoma" w:eastAsia="Arial" w:hAnsi="Tahoma"/>
      <w:sz w:val="16"/>
      <w:szCs w:val="16"/>
    </w:rPr>
  </w:style>
  <w:style w:type="character" w:customStyle="1" w:styleId="BalloonTextChar">
    <w:name w:val="Balloon Text Char"/>
    <w:link w:val="BalloonText"/>
    <w:uiPriority w:val="99"/>
    <w:locked/>
    <w:rsid w:val="00884FEB"/>
    <w:rPr>
      <w:rFonts w:ascii="Tahoma" w:hAnsi="Tahoma" w:cs="Tahoma"/>
      <w:sz w:val="16"/>
      <w:szCs w:val="16"/>
      <w:lang w:val="fr-FR"/>
    </w:rPr>
  </w:style>
  <w:style w:type="paragraph" w:styleId="CommentSubject">
    <w:name w:val="annotation subject"/>
    <w:basedOn w:val="CommentText"/>
    <w:next w:val="CommentText"/>
    <w:link w:val="CommentSubjectChar"/>
    <w:uiPriority w:val="99"/>
    <w:rsid w:val="00884FEB"/>
    <w:rPr>
      <w:b/>
      <w:bCs/>
    </w:rPr>
  </w:style>
  <w:style w:type="character" w:customStyle="1" w:styleId="CommentSubjectChar">
    <w:name w:val="Comment Subject Char"/>
    <w:link w:val="CommentSubject"/>
    <w:uiPriority w:val="99"/>
    <w:locked/>
    <w:rsid w:val="00884FEB"/>
    <w:rPr>
      <w:rFonts w:ascii="Verdana" w:hAnsi="Verdana" w:cs="Times New Roman"/>
      <w:b/>
      <w:bCs/>
      <w:sz w:val="20"/>
      <w:szCs w:val="20"/>
      <w:lang w:val="fr-FR"/>
    </w:rPr>
  </w:style>
  <w:style w:type="table" w:styleId="TableGrid">
    <w:name w:val="Table Grid"/>
    <w:aliases w:val="Tabla CUADROS"/>
    <w:basedOn w:val="TableNormal"/>
    <w:uiPriority w:val="59"/>
    <w:rsid w:val="00884FE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vorlageberschrift4">
    <w:name w:val="Formatvorlage Überschrift 4"/>
    <w:basedOn w:val="Heading4"/>
    <w:link w:val="Formatvorlageberschrift4Char"/>
    <w:uiPriority w:val="99"/>
    <w:rsid w:val="00884FEB"/>
    <w:pPr>
      <w:spacing w:before="240" w:after="60"/>
    </w:pPr>
    <w:rPr>
      <w:iCs/>
      <w:szCs w:val="28"/>
    </w:rPr>
  </w:style>
  <w:style w:type="character" w:customStyle="1" w:styleId="Formatvorlageberschrift4Char">
    <w:name w:val="Formatvorlage Überschrift 4 Char"/>
    <w:link w:val="Formatvorlageberschrift4"/>
    <w:uiPriority w:val="99"/>
    <w:locked/>
    <w:rsid w:val="00884FEB"/>
    <w:rPr>
      <w:rFonts w:ascii="Verdana" w:eastAsia="Times New Roman" w:hAnsi="Verdana"/>
      <w:b/>
      <w:iCs/>
      <w:szCs w:val="28"/>
      <w:u w:val="single"/>
      <w:lang w:eastAsia="fr-FR"/>
    </w:rPr>
  </w:style>
  <w:style w:type="paragraph" w:customStyle="1" w:styleId="Instructionsberschrift1">
    <w:name w:val="Instructions Überschrift 1"/>
    <w:basedOn w:val="Heading1"/>
    <w:rsid w:val="00884FEB"/>
    <w:pPr>
      <w:tabs>
        <w:tab w:val="num" w:pos="540"/>
      </w:tabs>
      <w:spacing w:before="240"/>
      <w:ind w:left="540" w:hanging="540"/>
    </w:pPr>
    <w:rPr>
      <w:b w:val="0"/>
      <w:kern w:val="32"/>
    </w:rPr>
  </w:style>
  <w:style w:type="paragraph" w:customStyle="1" w:styleId="Instructionsberschrift2">
    <w:name w:val="Instructions Überschrift 2"/>
    <w:basedOn w:val="Heading2"/>
    <w:rsid w:val="008C122C"/>
    <w:pPr>
      <w:numPr>
        <w:numId w:val="14"/>
      </w:numPr>
      <w:spacing w:after="240"/>
    </w:pPr>
    <w:rPr>
      <w:rFonts w:cs="Arial"/>
      <w:b w:val="0"/>
      <w:sz w:val="20"/>
    </w:rPr>
  </w:style>
  <w:style w:type="paragraph" w:customStyle="1" w:styleId="Instructionsberschrift3">
    <w:name w:val="Instructions Überschrift 3"/>
    <w:basedOn w:val="Heading3"/>
    <w:link w:val="Instructionsberschrift3Zchn"/>
    <w:rsid w:val="006746DB"/>
    <w:pPr>
      <w:numPr>
        <w:numId w:val="15"/>
      </w:numPr>
      <w:spacing w:before="240" w:after="60" w:line="360" w:lineRule="auto"/>
    </w:pPr>
    <w:rPr>
      <w:rFonts w:ascii="Verdana" w:eastAsia="Times New Roman" w:hAnsi="Verdana"/>
      <w:szCs w:val="26"/>
      <w:u w:val="single"/>
    </w:rPr>
  </w:style>
  <w:style w:type="character" w:customStyle="1" w:styleId="Instructionsberschrift3Zchn">
    <w:name w:val="Instructions Überschrift 3 Zchn"/>
    <w:link w:val="Instructionsberschrift3"/>
    <w:locked/>
    <w:rsid w:val="006746DB"/>
    <w:rPr>
      <w:rFonts w:ascii="Verdana" w:eastAsia="Times New Roman" w:hAnsi="Verdana"/>
      <w:b/>
      <w:szCs w:val="26"/>
      <w:u w:val="single"/>
      <w:lang w:eastAsia="fr-FR"/>
    </w:rPr>
  </w:style>
  <w:style w:type="paragraph" w:customStyle="1" w:styleId="Instructionsberschrift4">
    <w:name w:val="Instructions Überschrift 4"/>
    <w:basedOn w:val="Heading4"/>
    <w:next w:val="InstructionsText"/>
    <w:link w:val="Instructionsberschrift4Char"/>
    <w:uiPriority w:val="99"/>
    <w:rsid w:val="00884FEB"/>
    <w:pPr>
      <w:tabs>
        <w:tab w:val="left" w:pos="1520"/>
      </w:tabs>
      <w:autoSpaceDE w:val="0"/>
      <w:autoSpaceDN w:val="0"/>
      <w:adjustRightInd w:val="0"/>
      <w:spacing w:before="240" w:after="240"/>
      <w:ind w:left="970" w:hanging="970"/>
    </w:pPr>
    <w:rPr>
      <w:bCs/>
    </w:rPr>
  </w:style>
  <w:style w:type="paragraph" w:customStyle="1" w:styleId="InstructionsText">
    <w:name w:val="Instructions Text"/>
    <w:basedOn w:val="Normal"/>
    <w:link w:val="InstructionsTextChar"/>
    <w:autoRedefine/>
    <w:rsid w:val="00622B37"/>
    <w:pPr>
      <w:spacing w:before="0"/>
    </w:pPr>
    <w:rPr>
      <w:rFonts w:ascii="Times New Roman" w:hAnsi="Times New Roman"/>
      <w:sz w:val="24"/>
    </w:rPr>
  </w:style>
  <w:style w:type="character" w:customStyle="1" w:styleId="Instructionsberschrift4Char">
    <w:name w:val="Instructions Überschrift 4 Char"/>
    <w:link w:val="Instructionsberschrift4"/>
    <w:uiPriority w:val="99"/>
    <w:locked/>
    <w:rsid w:val="00884FEB"/>
    <w:rPr>
      <w:rFonts w:ascii="Verdana" w:eastAsia="Times New Roman" w:hAnsi="Verdana"/>
      <w:b/>
      <w:bCs/>
      <w:szCs w:val="24"/>
      <w:u w:val="single"/>
      <w:lang w:eastAsia="fr-FR"/>
    </w:rPr>
  </w:style>
  <w:style w:type="character" w:customStyle="1" w:styleId="InstructionsTabelleberschrift">
    <w:name w:val="Instructions Tabelle Überschrift"/>
    <w:qFormat/>
    <w:rsid w:val="00884FEB"/>
    <w:rPr>
      <w:rFonts w:ascii="Verdana" w:hAnsi="Verdana" w:cs="Times New Roman"/>
      <w:b/>
      <w:bCs/>
      <w:sz w:val="20"/>
      <w:u w:val="single"/>
    </w:rPr>
  </w:style>
  <w:style w:type="character" w:customStyle="1" w:styleId="InstructionsTabelleText">
    <w:name w:val="Instructions Tabelle Text"/>
    <w:rsid w:val="00884FEB"/>
    <w:rPr>
      <w:rFonts w:ascii="Verdana" w:hAnsi="Verdana" w:cs="Times New Roman"/>
      <w:sz w:val="20"/>
    </w:rPr>
  </w:style>
  <w:style w:type="character" w:customStyle="1" w:styleId="FormatvorlageInstructionsTabelleText">
    <w:name w:val="Formatvorlage Instructions Tabelle Text"/>
    <w:uiPriority w:val="99"/>
    <w:qFormat/>
    <w:rsid w:val="00412D44"/>
    <w:rPr>
      <w:rFonts w:ascii="Verdana" w:hAnsi="Verdana" w:cs="Times New Roman"/>
      <w:bCs/>
      <w:sz w:val="20"/>
      <w:u w:val="none"/>
    </w:rPr>
  </w:style>
  <w:style w:type="paragraph" w:customStyle="1" w:styleId="FormatvorlageInstructionsberschrift3Links0cmErsteZeile0cm">
    <w:name w:val="Formatvorlage Instructions Überschrift 3 + Links:  0 cm Erste Zeile:  0 cm"/>
    <w:basedOn w:val="Instructionsberschrift3"/>
    <w:next w:val="Instructionsberschrift3"/>
    <w:uiPriority w:val="99"/>
    <w:rsid w:val="00884FEB"/>
    <w:pPr>
      <w:ind w:left="0" w:firstLine="0"/>
    </w:pPr>
    <w:rPr>
      <w:szCs w:val="20"/>
    </w:rPr>
  </w:style>
  <w:style w:type="paragraph" w:customStyle="1" w:styleId="Texte2">
    <w:name w:val="Texte 2"/>
    <w:basedOn w:val="Normal"/>
    <w:uiPriority w:val="99"/>
    <w:rsid w:val="00884FEB"/>
    <w:pPr>
      <w:spacing w:after="0"/>
      <w:ind w:left="567"/>
    </w:pPr>
    <w:rPr>
      <w:sz w:val="22"/>
      <w:szCs w:val="20"/>
    </w:rPr>
  </w:style>
  <w:style w:type="paragraph" w:customStyle="1" w:styleId="Prrafodelista1">
    <w:name w:val="Párrafo de lista1"/>
    <w:basedOn w:val="Normal"/>
    <w:uiPriority w:val="99"/>
    <w:rsid w:val="00884FEB"/>
    <w:pPr>
      <w:ind w:left="720"/>
    </w:pPr>
  </w:style>
  <w:style w:type="paragraph" w:customStyle="1" w:styleId="Prrafodelista2">
    <w:name w:val="Párrafo de lista2"/>
    <w:basedOn w:val="Normal"/>
    <w:uiPriority w:val="99"/>
    <w:rsid w:val="00884FEB"/>
    <w:pPr>
      <w:ind w:left="708"/>
    </w:pPr>
  </w:style>
  <w:style w:type="paragraph" w:styleId="PlainText">
    <w:name w:val="Plain Text"/>
    <w:basedOn w:val="Normal"/>
    <w:link w:val="PlainTextChar"/>
    <w:uiPriority w:val="99"/>
    <w:rsid w:val="00884FEB"/>
    <w:pPr>
      <w:spacing w:before="0" w:after="0"/>
      <w:jc w:val="left"/>
    </w:pPr>
    <w:rPr>
      <w:rFonts w:eastAsia="Arial"/>
      <w:szCs w:val="20"/>
    </w:rPr>
  </w:style>
  <w:style w:type="character" w:customStyle="1" w:styleId="PlainTextChar">
    <w:name w:val="Plain Text Char"/>
    <w:link w:val="PlainText"/>
    <w:uiPriority w:val="99"/>
    <w:locked/>
    <w:rsid w:val="00884FEB"/>
    <w:rPr>
      <w:rFonts w:ascii="Verdana" w:hAnsi="Verdana" w:cs="Times New Roman"/>
      <w:sz w:val="20"/>
      <w:szCs w:val="20"/>
      <w:lang w:val="fr-FR" w:eastAsia="fr-FR"/>
    </w:rPr>
  </w:style>
  <w:style w:type="paragraph" w:customStyle="1" w:styleId="Listenabsatz1">
    <w:name w:val="Listenabsatz1"/>
    <w:basedOn w:val="Normal"/>
    <w:uiPriority w:val="99"/>
    <w:rsid w:val="00884FEB"/>
    <w:pPr>
      <w:ind w:left="708"/>
    </w:pPr>
  </w:style>
  <w:style w:type="character" w:customStyle="1" w:styleId="InstructionsTextChar">
    <w:name w:val="Instructions Text Char"/>
    <w:link w:val="InstructionsText"/>
    <w:locked/>
    <w:rsid w:val="00622B37"/>
    <w:rPr>
      <w:rFonts w:ascii="Times New Roman" w:eastAsia="Times New Roman" w:hAnsi="Times New Roman"/>
      <w:sz w:val="24"/>
      <w:szCs w:val="24"/>
      <w:lang w:eastAsia="fr-FR" w:bidi="fr-FR"/>
    </w:rPr>
  </w:style>
  <w:style w:type="paragraph" w:styleId="Revision">
    <w:name w:val="Revision"/>
    <w:hidden/>
    <w:uiPriority w:val="99"/>
    <w:semiHidden/>
    <w:rsid w:val="00884FEB"/>
    <w:rPr>
      <w:rFonts w:ascii="Verdana" w:eastAsia="Times New Roman" w:hAnsi="Verdana"/>
      <w:szCs w:val="24"/>
    </w:rPr>
  </w:style>
  <w:style w:type="paragraph" w:styleId="ListParagraph">
    <w:name w:val="List Paragraph"/>
    <w:basedOn w:val="Normal"/>
    <w:uiPriority w:val="34"/>
    <w:qFormat/>
    <w:rsid w:val="00884FEB"/>
    <w:pPr>
      <w:ind w:left="708"/>
    </w:pPr>
  </w:style>
  <w:style w:type="character" w:styleId="PlaceholderText">
    <w:name w:val="Placeholder Text"/>
    <w:uiPriority w:val="99"/>
    <w:semiHidden/>
    <w:rsid w:val="00D946DB"/>
    <w:rPr>
      <w:rFonts w:cs="Times New Roman"/>
      <w:color w:val="808080"/>
    </w:rPr>
  </w:style>
  <w:style w:type="paragraph" w:customStyle="1" w:styleId="InstructionsText2">
    <w:name w:val="Instructions Text 2"/>
    <w:basedOn w:val="InstructionsText"/>
    <w:qFormat/>
    <w:rsid w:val="008F50DF"/>
    <w:pPr>
      <w:numPr>
        <w:numId w:val="16"/>
      </w:numPr>
      <w:spacing w:after="240"/>
    </w:pPr>
  </w:style>
  <w:style w:type="character" w:customStyle="1" w:styleId="Instructionsberschrift3Char">
    <w:name w:val="Instructions Überschrift 3 Char"/>
    <w:locked/>
    <w:rsid w:val="003B3DBB"/>
    <w:rPr>
      <w:rFonts w:ascii="Verdana" w:hAnsi="Verdana" w:cs="Arial"/>
      <w:b/>
      <w:bCs/>
      <w:sz w:val="26"/>
      <w:szCs w:val="26"/>
      <w:u w:val="single"/>
      <w:lang w:val="fr-FR" w:eastAsia="fr-FR" w:bidi="fr-FR"/>
    </w:rPr>
  </w:style>
  <w:style w:type="paragraph" w:customStyle="1" w:styleId="CM4">
    <w:name w:val="CM4"/>
    <w:basedOn w:val="Normal"/>
    <w:next w:val="Normal"/>
    <w:uiPriority w:val="99"/>
    <w:rsid w:val="008815DE"/>
    <w:pPr>
      <w:autoSpaceDE w:val="0"/>
      <w:autoSpaceDN w:val="0"/>
      <w:adjustRightInd w:val="0"/>
      <w:spacing w:before="0" w:after="0"/>
      <w:jc w:val="left"/>
    </w:pPr>
    <w:rPr>
      <w:rFonts w:ascii="Times New Roman" w:eastAsia="Arial" w:hAnsi="Times New Roman"/>
      <w:sz w:val="24"/>
    </w:rPr>
  </w:style>
  <w:style w:type="paragraph" w:styleId="DocumentMap">
    <w:name w:val="Document Map"/>
    <w:basedOn w:val="Normal"/>
    <w:link w:val="DocumentMapChar"/>
    <w:uiPriority w:val="99"/>
    <w:semiHidden/>
    <w:rsid w:val="0088630E"/>
    <w:pPr>
      <w:spacing w:before="0" w:after="0"/>
    </w:pPr>
    <w:rPr>
      <w:rFonts w:ascii="Tahoma" w:eastAsia="Arial" w:hAnsi="Tahoma"/>
      <w:sz w:val="16"/>
      <w:szCs w:val="16"/>
    </w:rPr>
  </w:style>
  <w:style w:type="character" w:customStyle="1" w:styleId="DocumentMapChar">
    <w:name w:val="Document Map Char"/>
    <w:link w:val="DocumentMap"/>
    <w:uiPriority w:val="99"/>
    <w:semiHidden/>
    <w:locked/>
    <w:rsid w:val="0088630E"/>
    <w:rPr>
      <w:rFonts w:ascii="Tahoma" w:hAnsi="Tahoma" w:cs="Tahoma"/>
      <w:sz w:val="16"/>
      <w:szCs w:val="16"/>
      <w:lang w:val="fr-FR"/>
    </w:rPr>
  </w:style>
  <w:style w:type="paragraph" w:customStyle="1" w:styleId="Titrearticle">
    <w:name w:val="Titre article"/>
    <w:basedOn w:val="Normal"/>
    <w:next w:val="Normal"/>
    <w:rsid w:val="00C87CEE"/>
    <w:pPr>
      <w:keepNext/>
      <w:spacing w:before="360"/>
      <w:jc w:val="center"/>
    </w:pPr>
    <w:rPr>
      <w:rFonts w:ascii="Times New Roman" w:hAnsi="Times New Roman"/>
      <w:i/>
      <w:sz w:val="24"/>
    </w:rPr>
  </w:style>
  <w:style w:type="paragraph" w:customStyle="1" w:styleId="Baseparagraphnumbered">
    <w:name w:val="Base paragraph numbered"/>
    <w:basedOn w:val="Normal"/>
    <w:link w:val="BaseparagraphnumberedChar"/>
    <w:qFormat/>
    <w:rsid w:val="00C87CEE"/>
    <w:pPr>
      <w:numPr>
        <w:numId w:val="21"/>
      </w:numPr>
      <w:spacing w:before="0" w:after="240"/>
    </w:pPr>
    <w:rPr>
      <w:rFonts w:ascii="Times New Roman" w:eastAsia="Arial" w:hAnsi="Times New Roman"/>
      <w:sz w:val="24"/>
      <w:szCs w:val="20"/>
    </w:rPr>
  </w:style>
  <w:style w:type="character" w:customStyle="1" w:styleId="BaseparagraphnumberedChar">
    <w:name w:val="Base paragraph numbered Char"/>
    <w:link w:val="Baseparagraphnumbered"/>
    <w:locked/>
    <w:rsid w:val="00C87CEE"/>
    <w:rPr>
      <w:rFonts w:ascii="Times New Roman" w:hAnsi="Times New Roman"/>
      <w:sz w:val="24"/>
    </w:rPr>
  </w:style>
  <w:style w:type="character" w:customStyle="1" w:styleId="NumPar1Char">
    <w:name w:val="NumPar 1 Char"/>
    <w:link w:val="NumPar1"/>
    <w:uiPriority w:val="99"/>
    <w:locked/>
    <w:rsid w:val="00D34F75"/>
    <w:rPr>
      <w:rFonts w:cs="Times New Roman"/>
      <w:sz w:val="24"/>
      <w:szCs w:val="24"/>
      <w:lang w:val="fr-FR" w:eastAsia="fr-FR"/>
    </w:rPr>
  </w:style>
  <w:style w:type="paragraph" w:customStyle="1" w:styleId="NumPar1">
    <w:name w:val="NumPar 1"/>
    <w:basedOn w:val="Normal"/>
    <w:next w:val="Normal"/>
    <w:link w:val="NumPar1Char"/>
    <w:uiPriority w:val="99"/>
    <w:rsid w:val="00D34F75"/>
    <w:pPr>
      <w:tabs>
        <w:tab w:val="num" w:pos="850"/>
      </w:tabs>
      <w:ind w:left="850" w:hanging="850"/>
    </w:pPr>
    <w:rPr>
      <w:rFonts w:ascii="Arial" w:eastAsia="Arial" w:hAnsi="Arial"/>
      <w:sz w:val="24"/>
    </w:rPr>
  </w:style>
  <w:style w:type="character" w:customStyle="1" w:styleId="Point1letterChar">
    <w:name w:val="Point 1 (letter) Char"/>
    <w:link w:val="Point1letter"/>
    <w:uiPriority w:val="99"/>
    <w:locked/>
    <w:rsid w:val="00D34F75"/>
    <w:rPr>
      <w:rFonts w:cs="Times New Roman"/>
      <w:sz w:val="24"/>
      <w:szCs w:val="24"/>
      <w:lang w:val="fr-FR" w:eastAsia="fr-FR"/>
    </w:rPr>
  </w:style>
  <w:style w:type="paragraph" w:customStyle="1" w:styleId="Point1letter">
    <w:name w:val="Point 1 (letter)"/>
    <w:basedOn w:val="Normal"/>
    <w:link w:val="Point1letterChar"/>
    <w:uiPriority w:val="99"/>
    <w:rsid w:val="00D34F75"/>
    <w:pPr>
      <w:tabs>
        <w:tab w:val="num" w:pos="360"/>
      </w:tabs>
      <w:ind w:left="1417" w:hanging="567"/>
    </w:pPr>
    <w:rPr>
      <w:rFonts w:ascii="Arial" w:eastAsia="Arial" w:hAnsi="Arial"/>
      <w:sz w:val="24"/>
    </w:rPr>
  </w:style>
  <w:style w:type="numbering" w:customStyle="1" w:styleId="Formatvorlage2">
    <w:name w:val="Formatvorlage2"/>
    <w:uiPriority w:val="99"/>
    <w:rsid w:val="00BF60F7"/>
    <w:pPr>
      <w:numPr>
        <w:numId w:val="6"/>
      </w:numPr>
    </w:pPr>
  </w:style>
  <w:style w:type="numbering" w:customStyle="1" w:styleId="Formatvorlage3">
    <w:name w:val="Formatvorlage3"/>
    <w:uiPriority w:val="99"/>
    <w:rsid w:val="00BF60F7"/>
    <w:pPr>
      <w:numPr>
        <w:numId w:val="17"/>
      </w:numPr>
    </w:pPr>
  </w:style>
  <w:style w:type="numbering" w:customStyle="1" w:styleId="Formatvorlage1">
    <w:name w:val="Formatvorlage1"/>
    <w:uiPriority w:val="99"/>
    <w:rsid w:val="00BF60F7"/>
    <w:pPr>
      <w:numPr>
        <w:numId w:val="5"/>
      </w:numPr>
    </w:pPr>
  </w:style>
  <w:style w:type="numbering" w:customStyle="1" w:styleId="Formatvorlage4">
    <w:name w:val="Formatvorlage4"/>
    <w:uiPriority w:val="99"/>
    <w:rsid w:val="00BF60F7"/>
    <w:pPr>
      <w:numPr>
        <w:numId w:val="19"/>
      </w:numPr>
    </w:pPr>
  </w:style>
  <w:style w:type="paragraph" w:customStyle="1" w:styleId="ListParagraph1">
    <w:name w:val="List Paragraph1"/>
    <w:basedOn w:val="Normal"/>
    <w:uiPriority w:val="99"/>
    <w:qFormat/>
    <w:rsid w:val="001C7AB7"/>
    <w:pPr>
      <w:ind w:left="708"/>
    </w:pPr>
  </w:style>
  <w:style w:type="paragraph" w:customStyle="1" w:styleId="Anfhrungszeichen1">
    <w:name w:val="Anführungszeichen1"/>
    <w:basedOn w:val="Normal"/>
    <w:next w:val="Normal"/>
    <w:link w:val="AnfhrungszeichenZchn"/>
    <w:uiPriority w:val="29"/>
    <w:semiHidden/>
    <w:rsid w:val="000B0B09"/>
    <w:rPr>
      <w:i/>
      <w:iCs/>
      <w:color w:val="000000"/>
    </w:rPr>
  </w:style>
  <w:style w:type="character" w:customStyle="1" w:styleId="AnfhrungszeichenZchn">
    <w:name w:val="Anführungszeichen Zchn"/>
    <w:link w:val="Anfhrungszeichen1"/>
    <w:uiPriority w:val="29"/>
    <w:semiHidden/>
    <w:rsid w:val="000B0B09"/>
    <w:rPr>
      <w:rFonts w:ascii="Verdana" w:eastAsia="Times New Roman" w:hAnsi="Verdana"/>
      <w:i/>
      <w:iCs/>
      <w:color w:val="000000"/>
      <w:sz w:val="20"/>
      <w:szCs w:val="24"/>
      <w:lang w:val="fr-FR" w:eastAsia="fr-FR"/>
    </w:rPr>
  </w:style>
  <w:style w:type="paragraph" w:customStyle="1" w:styleId="Inhaltsverzeichnisberschrift1">
    <w:name w:val="Inhaltsverzeichnisüberschrift1"/>
    <w:basedOn w:val="Heading1"/>
    <w:next w:val="Normal"/>
    <w:uiPriority w:val="39"/>
    <w:semiHidden/>
    <w:unhideWhenUsed/>
    <w:qFormat/>
    <w:rsid w:val="000B0B09"/>
    <w:pPr>
      <w:keepLines/>
      <w:spacing w:before="480" w:line="311" w:lineRule="auto"/>
      <w:outlineLvl w:val="9"/>
    </w:pPr>
    <w:rPr>
      <w:rFonts w:ascii="Arial" w:hAnsi="Arial"/>
      <w:bCs/>
      <w:color w:val="4B67A3"/>
      <w:szCs w:val="28"/>
    </w:rPr>
  </w:style>
  <w:style w:type="paragraph" w:customStyle="1" w:styleId="berarbeitung1">
    <w:name w:val="Überarbeitung1"/>
    <w:hidden/>
    <w:uiPriority w:val="99"/>
    <w:semiHidden/>
    <w:rsid w:val="000B0B09"/>
    <w:rPr>
      <w:rFonts w:ascii="Verdana" w:eastAsia="Times New Roman" w:hAnsi="Verdana"/>
      <w:szCs w:val="24"/>
    </w:rPr>
  </w:style>
  <w:style w:type="paragraph" w:customStyle="1" w:styleId="Listenabsatz2">
    <w:name w:val="Listenabsatz2"/>
    <w:basedOn w:val="Normal"/>
    <w:uiPriority w:val="99"/>
    <w:qFormat/>
    <w:rsid w:val="000B0B09"/>
    <w:pPr>
      <w:ind w:left="708"/>
    </w:pPr>
  </w:style>
  <w:style w:type="character" w:customStyle="1" w:styleId="Platzhaltertext1">
    <w:name w:val="Platzhaltertext1"/>
    <w:uiPriority w:val="99"/>
    <w:semiHidden/>
    <w:rsid w:val="000B0B09"/>
    <w:rPr>
      <w:color w:val="808080"/>
    </w:rPr>
  </w:style>
  <w:style w:type="paragraph" w:customStyle="1" w:styleId="Default">
    <w:name w:val="Default"/>
    <w:rsid w:val="00283B5F"/>
    <w:pPr>
      <w:autoSpaceDE w:val="0"/>
      <w:autoSpaceDN w:val="0"/>
      <w:adjustRightInd w:val="0"/>
    </w:pPr>
    <w:rPr>
      <w:rFonts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lang w:val="fr-FR" w:eastAsia="fr-FR" w:bidi="fr-FR"/>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iPriority="1"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able of figures" w:uiPriority="0"/>
    <w:lsdException w:name="footnote reference" w:uiPriority="0"/>
    <w:lsdException w:name="endnote reference" w:uiPriority="1"/>
    <w:lsdException w:name="endnote text" w:uiPriority="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semiHidden="0" w:uiPriority="39" w:unhideWhenUsed="0" w:qFormat="1"/>
  </w:latentStyles>
  <w:style w:type="paragraph" w:default="1" w:styleId="Normal">
    <w:name w:val="Normal"/>
    <w:qFormat/>
    <w:rsid w:val="00884FEB"/>
    <w:pPr>
      <w:spacing w:before="120" w:after="120"/>
      <w:jc w:val="both"/>
    </w:pPr>
    <w:rPr>
      <w:rFonts w:ascii="Verdana" w:eastAsia="Times New Roman" w:hAnsi="Verdana"/>
      <w:szCs w:val="24"/>
    </w:rPr>
  </w:style>
  <w:style w:type="paragraph" w:styleId="Heading1">
    <w:name w:val="heading 1"/>
    <w:basedOn w:val="Normal"/>
    <w:next w:val="Normal"/>
    <w:link w:val="Heading1Char"/>
    <w:autoRedefine/>
    <w:qFormat/>
    <w:rsid w:val="005A6305"/>
    <w:pPr>
      <w:keepNext/>
      <w:autoSpaceDE w:val="0"/>
      <w:autoSpaceDN w:val="0"/>
      <w:adjustRightInd w:val="0"/>
      <w:spacing w:before="0" w:after="0"/>
      <w:jc w:val="left"/>
      <w:outlineLvl w:val="0"/>
    </w:pPr>
    <w:rPr>
      <w:rFonts w:eastAsia="Arial"/>
      <w:b/>
      <w:szCs w:val="20"/>
      <w:u w:val="single"/>
    </w:rPr>
  </w:style>
  <w:style w:type="paragraph" w:styleId="Heading2">
    <w:name w:val="heading 2"/>
    <w:basedOn w:val="Normal"/>
    <w:next w:val="Normal"/>
    <w:link w:val="Heading2Char"/>
    <w:autoRedefine/>
    <w:uiPriority w:val="99"/>
    <w:qFormat/>
    <w:rsid w:val="001E5A75"/>
    <w:pPr>
      <w:keepNext/>
      <w:spacing w:before="240"/>
      <w:outlineLvl w:val="1"/>
    </w:pPr>
    <w:rPr>
      <w:rFonts w:eastAsia="Arial"/>
      <w:b/>
      <w:sz w:val="24"/>
      <w:u w:val="single"/>
    </w:rPr>
  </w:style>
  <w:style w:type="paragraph" w:styleId="Heading3">
    <w:name w:val="heading 3"/>
    <w:basedOn w:val="Normal"/>
    <w:next w:val="Normal"/>
    <w:link w:val="Heading3Char1"/>
    <w:autoRedefine/>
    <w:uiPriority w:val="99"/>
    <w:qFormat/>
    <w:rsid w:val="001E5A75"/>
    <w:pPr>
      <w:keepNext/>
      <w:spacing w:before="180"/>
      <w:outlineLvl w:val="2"/>
    </w:pPr>
    <w:rPr>
      <w:rFonts w:ascii="Arial" w:eastAsia="Arial" w:hAnsi="Arial"/>
      <w:b/>
      <w:szCs w:val="20"/>
    </w:rPr>
  </w:style>
  <w:style w:type="paragraph" w:styleId="Heading4">
    <w:name w:val="heading 4"/>
    <w:basedOn w:val="Normal"/>
    <w:next w:val="Normal"/>
    <w:link w:val="Heading4Char"/>
    <w:autoRedefine/>
    <w:uiPriority w:val="99"/>
    <w:qFormat/>
    <w:rsid w:val="00DE0962"/>
    <w:pPr>
      <w:keepNext/>
      <w:numPr>
        <w:numId w:val="18"/>
      </w:numPr>
      <w:spacing w:before="160"/>
      <w:outlineLvl w:val="3"/>
    </w:pPr>
    <w:rPr>
      <w:b/>
      <w:u w:val="single"/>
    </w:rPr>
  </w:style>
  <w:style w:type="paragraph" w:styleId="Heading5">
    <w:name w:val="heading 5"/>
    <w:basedOn w:val="Normal"/>
    <w:next w:val="Normal"/>
    <w:link w:val="Heading5Char"/>
    <w:autoRedefine/>
    <w:uiPriority w:val="1"/>
    <w:qFormat/>
    <w:rsid w:val="001E5A75"/>
    <w:pPr>
      <w:keepNext/>
      <w:spacing w:before="140"/>
      <w:outlineLvl w:val="4"/>
    </w:pPr>
    <w:rPr>
      <w:rFonts w:ascii="Arial" w:eastAsia="Arial" w:hAnsi="Arial"/>
      <w:b/>
      <w:i/>
      <w:szCs w:val="20"/>
    </w:rPr>
  </w:style>
  <w:style w:type="paragraph" w:styleId="Heading6">
    <w:name w:val="heading 6"/>
    <w:basedOn w:val="Normal"/>
    <w:next w:val="Normal"/>
    <w:link w:val="Heading6Char"/>
    <w:qFormat/>
    <w:rsid w:val="001E5A75"/>
    <w:pPr>
      <w:spacing w:before="240" w:after="60"/>
      <w:outlineLvl w:val="5"/>
    </w:pPr>
    <w:rPr>
      <w:rFonts w:ascii="Times New Roman" w:eastAsia="Arial" w:hAnsi="Times New Roman"/>
      <w:b/>
      <w:bCs/>
      <w:szCs w:val="20"/>
    </w:rPr>
  </w:style>
  <w:style w:type="paragraph" w:styleId="Heading7">
    <w:name w:val="heading 7"/>
    <w:basedOn w:val="Normal"/>
    <w:next w:val="Normal"/>
    <w:link w:val="Heading7Char"/>
    <w:qFormat/>
    <w:rsid w:val="001E5A75"/>
    <w:pPr>
      <w:spacing w:before="240" w:after="60"/>
      <w:outlineLvl w:val="6"/>
    </w:pPr>
    <w:rPr>
      <w:rFonts w:ascii="Times New Roman" w:eastAsia="Arial" w:hAnsi="Times New Roman"/>
      <w:szCs w:val="20"/>
    </w:rPr>
  </w:style>
  <w:style w:type="paragraph" w:styleId="Heading8">
    <w:name w:val="heading 8"/>
    <w:basedOn w:val="Normal"/>
    <w:next w:val="Normal"/>
    <w:link w:val="Heading8Char"/>
    <w:qFormat/>
    <w:rsid w:val="001E5A75"/>
    <w:pPr>
      <w:spacing w:before="240" w:after="60"/>
      <w:outlineLvl w:val="7"/>
    </w:pPr>
    <w:rPr>
      <w:rFonts w:ascii="Times New Roman" w:eastAsia="Arial" w:hAnsi="Times New Roman"/>
      <w:i/>
      <w:iCs/>
      <w:szCs w:val="20"/>
    </w:rPr>
  </w:style>
  <w:style w:type="paragraph" w:styleId="Heading9">
    <w:name w:val="heading 9"/>
    <w:basedOn w:val="Normal"/>
    <w:next w:val="Normal"/>
    <w:link w:val="Heading9Char"/>
    <w:qFormat/>
    <w:rsid w:val="001E5A75"/>
    <w:pPr>
      <w:spacing w:before="240" w:after="60"/>
      <w:outlineLvl w:val="8"/>
    </w:pPr>
    <w:rPr>
      <w:rFonts w:ascii="Arial" w:eastAsia="Arial"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A6305"/>
    <w:rPr>
      <w:rFonts w:ascii="Verdana" w:hAnsi="Verdana" w:cs="Times New Roman"/>
      <w:b/>
      <w:sz w:val="20"/>
      <w:szCs w:val="20"/>
      <w:u w:val="single"/>
      <w:lang w:val="fr-FR"/>
    </w:rPr>
  </w:style>
  <w:style w:type="character" w:customStyle="1" w:styleId="Heading2Char">
    <w:name w:val="Heading 2 Char"/>
    <w:link w:val="Heading2"/>
    <w:uiPriority w:val="99"/>
    <w:locked/>
    <w:rsid w:val="00EC5046"/>
    <w:rPr>
      <w:rFonts w:ascii="Verdana" w:hAnsi="Verdana" w:cs="Times New Roman"/>
      <w:b/>
      <w:sz w:val="24"/>
      <w:szCs w:val="24"/>
      <w:u w:val="single"/>
      <w:lang w:val="fr-FR"/>
    </w:rPr>
  </w:style>
  <w:style w:type="character" w:customStyle="1" w:styleId="Heading3Char">
    <w:name w:val="Heading 3 Char"/>
    <w:uiPriority w:val="99"/>
    <w:locked/>
    <w:rsid w:val="00884FEB"/>
    <w:rPr>
      <w:rFonts w:cs="Times New Roman"/>
      <w:sz w:val="24"/>
      <w:szCs w:val="24"/>
      <w:lang w:val="fr-FR" w:eastAsia="fr-FR"/>
    </w:rPr>
  </w:style>
  <w:style w:type="character" w:customStyle="1" w:styleId="Heading4Char">
    <w:name w:val="Heading 4 Char"/>
    <w:link w:val="Heading4"/>
    <w:uiPriority w:val="99"/>
    <w:locked/>
    <w:rsid w:val="00DE0962"/>
    <w:rPr>
      <w:rFonts w:ascii="Verdana" w:eastAsia="Times New Roman" w:hAnsi="Verdana"/>
      <w:b/>
      <w:szCs w:val="24"/>
      <w:u w:val="single"/>
      <w:lang w:eastAsia="fr-FR"/>
    </w:rPr>
  </w:style>
  <w:style w:type="character" w:customStyle="1" w:styleId="Heading5Char">
    <w:name w:val="Heading 5 Char"/>
    <w:link w:val="Heading5"/>
    <w:uiPriority w:val="1"/>
    <w:locked/>
    <w:rsid w:val="001E5A75"/>
    <w:rPr>
      <w:rFonts w:ascii="Arial" w:hAnsi="Arial" w:cs="Times New Roman"/>
      <w:b/>
      <w:i/>
      <w:sz w:val="20"/>
      <w:szCs w:val="20"/>
      <w:lang w:eastAsia="fr-FR"/>
    </w:rPr>
  </w:style>
  <w:style w:type="character" w:customStyle="1" w:styleId="Heading6Char">
    <w:name w:val="Heading 6 Char"/>
    <w:link w:val="Heading6"/>
    <w:semiHidden/>
    <w:locked/>
    <w:rsid w:val="001E5A75"/>
    <w:rPr>
      <w:rFonts w:ascii="Times New Roman" w:hAnsi="Times New Roman" w:cs="Times New Roman"/>
      <w:b/>
      <w:bCs/>
      <w:lang w:eastAsia="fr-FR"/>
    </w:rPr>
  </w:style>
  <w:style w:type="character" w:customStyle="1" w:styleId="Heading7Char">
    <w:name w:val="Heading 7 Char"/>
    <w:link w:val="Heading7"/>
    <w:semiHidden/>
    <w:locked/>
    <w:rsid w:val="001E5A75"/>
    <w:rPr>
      <w:rFonts w:ascii="Times New Roman" w:hAnsi="Times New Roman" w:cs="Times New Roman"/>
      <w:sz w:val="20"/>
      <w:szCs w:val="20"/>
      <w:lang w:eastAsia="fr-FR"/>
    </w:rPr>
  </w:style>
  <w:style w:type="character" w:customStyle="1" w:styleId="Heading8Char">
    <w:name w:val="Heading 8 Char"/>
    <w:link w:val="Heading8"/>
    <w:semiHidden/>
    <w:locked/>
    <w:rsid w:val="001E5A75"/>
    <w:rPr>
      <w:rFonts w:ascii="Times New Roman" w:hAnsi="Times New Roman" w:cs="Times New Roman"/>
      <w:i/>
      <w:iCs/>
      <w:sz w:val="20"/>
      <w:szCs w:val="20"/>
      <w:lang w:eastAsia="fr-FR"/>
    </w:rPr>
  </w:style>
  <w:style w:type="character" w:customStyle="1" w:styleId="Heading9Char">
    <w:name w:val="Heading 9 Char"/>
    <w:link w:val="Heading9"/>
    <w:semiHidden/>
    <w:locked/>
    <w:rsid w:val="001E5A75"/>
    <w:rPr>
      <w:rFonts w:ascii="Arial" w:hAnsi="Arial" w:cs="Arial"/>
      <w:lang w:eastAsia="fr-FR"/>
    </w:rPr>
  </w:style>
  <w:style w:type="paragraph" w:styleId="TableofFigures">
    <w:name w:val="table of figures"/>
    <w:basedOn w:val="Normal"/>
    <w:next w:val="Normal"/>
    <w:semiHidden/>
    <w:rsid w:val="001E5A75"/>
    <w:pPr>
      <w:ind w:left="440" w:hanging="440"/>
    </w:pPr>
  </w:style>
  <w:style w:type="paragraph" w:customStyle="1" w:styleId="Aufzhlungszeichen1">
    <w:name w:val="Aufzählungszeichen1"/>
    <w:basedOn w:val="Normal"/>
    <w:uiPriority w:val="1"/>
    <w:qFormat/>
    <w:rsid w:val="001E5A75"/>
    <w:pPr>
      <w:numPr>
        <w:numId w:val="1"/>
      </w:numPr>
      <w:spacing w:line="240" w:lineRule="exact"/>
    </w:pPr>
  </w:style>
  <w:style w:type="paragraph" w:customStyle="1" w:styleId="Aufzhlungszeichen2">
    <w:name w:val="Aufzählungszeichen2"/>
    <w:basedOn w:val="Normal"/>
    <w:uiPriority w:val="1"/>
    <w:qFormat/>
    <w:rsid w:val="001E5A75"/>
    <w:pPr>
      <w:numPr>
        <w:numId w:val="2"/>
      </w:numPr>
      <w:spacing w:line="240" w:lineRule="exact"/>
    </w:pPr>
  </w:style>
  <w:style w:type="paragraph" w:customStyle="1" w:styleId="Aufzhlungszeichen3">
    <w:name w:val="Aufzählungszeichen3"/>
    <w:basedOn w:val="Normal"/>
    <w:uiPriority w:val="1"/>
    <w:qFormat/>
    <w:rsid w:val="001E5A75"/>
    <w:pPr>
      <w:numPr>
        <w:numId w:val="3"/>
      </w:numPr>
      <w:spacing w:line="240" w:lineRule="exact"/>
    </w:pPr>
  </w:style>
  <w:style w:type="paragraph" w:customStyle="1" w:styleId="Aufzhlungszeichen4">
    <w:name w:val="Aufzählungszeichen4"/>
    <w:basedOn w:val="Normal"/>
    <w:uiPriority w:val="1"/>
    <w:qFormat/>
    <w:rsid w:val="001E5A75"/>
    <w:pPr>
      <w:numPr>
        <w:numId w:val="4"/>
      </w:numPr>
      <w:spacing w:line="240" w:lineRule="exact"/>
    </w:pPr>
  </w:style>
  <w:style w:type="paragraph" w:styleId="FootnoteText">
    <w:name w:val="footnote text"/>
    <w:basedOn w:val="Normal"/>
    <w:link w:val="FootnoteTextChar"/>
    <w:rsid w:val="00C2636B"/>
    <w:pPr>
      <w:spacing w:line="180" w:lineRule="exact"/>
      <w:ind w:left="142" w:hanging="142"/>
    </w:pPr>
    <w:rPr>
      <w:rFonts w:ascii="Arial" w:eastAsia="Arial" w:hAnsi="Arial"/>
      <w:sz w:val="16"/>
      <w:szCs w:val="16"/>
    </w:rPr>
  </w:style>
  <w:style w:type="character" w:customStyle="1" w:styleId="FootnoteTextChar">
    <w:name w:val="Footnote Text Char"/>
    <w:link w:val="FootnoteText"/>
    <w:locked/>
    <w:rsid w:val="00C2636B"/>
    <w:rPr>
      <w:rFonts w:ascii="Arial" w:hAnsi="Arial" w:cs="Times New Roman"/>
      <w:sz w:val="16"/>
      <w:szCs w:val="16"/>
      <w:lang w:eastAsia="fr-FR"/>
    </w:rPr>
  </w:style>
  <w:style w:type="character" w:styleId="FootnoteReference">
    <w:name w:val="footnote reference"/>
    <w:rsid w:val="001E5A75"/>
    <w:rPr>
      <w:rFonts w:ascii="Arial" w:hAnsi="Arial" w:cs="Times New Roman"/>
      <w:kern w:val="0"/>
      <w:position w:val="4"/>
      <w:sz w:val="12"/>
      <w:szCs w:val="12"/>
      <w:vertAlign w:val="baseline"/>
    </w:rPr>
  </w:style>
  <w:style w:type="paragraph" w:styleId="Footer">
    <w:name w:val="footer"/>
    <w:basedOn w:val="Normal"/>
    <w:link w:val="FooterChar"/>
    <w:uiPriority w:val="99"/>
    <w:rsid w:val="001E5A75"/>
    <w:pPr>
      <w:tabs>
        <w:tab w:val="center" w:pos="4536"/>
        <w:tab w:val="right" w:pos="9072"/>
      </w:tabs>
    </w:pPr>
    <w:rPr>
      <w:rFonts w:ascii="Arial" w:eastAsia="Arial" w:hAnsi="Arial"/>
      <w:sz w:val="14"/>
      <w:szCs w:val="14"/>
    </w:rPr>
  </w:style>
  <w:style w:type="character" w:customStyle="1" w:styleId="FooterChar">
    <w:name w:val="Footer Char"/>
    <w:link w:val="Footer"/>
    <w:uiPriority w:val="99"/>
    <w:locked/>
    <w:rsid w:val="001E5A75"/>
    <w:rPr>
      <w:rFonts w:ascii="Arial" w:hAnsi="Arial" w:cs="Times New Roman"/>
      <w:sz w:val="14"/>
      <w:szCs w:val="14"/>
      <w:lang w:eastAsia="fr-FR"/>
    </w:rPr>
  </w:style>
  <w:style w:type="paragraph" w:customStyle="1" w:styleId="GliederungmitAufzhlung">
    <w:name w:val="Gliederung mit Aufzählung"/>
    <w:basedOn w:val="Normal"/>
    <w:uiPriority w:val="1"/>
    <w:qFormat/>
    <w:rsid w:val="001E5A75"/>
    <w:pPr>
      <w:numPr>
        <w:numId w:val="7"/>
      </w:numPr>
      <w:spacing w:line="312" w:lineRule="auto"/>
    </w:pPr>
  </w:style>
  <w:style w:type="paragraph" w:customStyle="1" w:styleId="GliederungmitNummerierung">
    <w:name w:val="Gliederung mit Nummerierung"/>
    <w:basedOn w:val="Normal"/>
    <w:uiPriority w:val="1"/>
    <w:qFormat/>
    <w:rsid w:val="001E5A75"/>
    <w:pPr>
      <w:numPr>
        <w:numId w:val="8"/>
      </w:numPr>
      <w:spacing w:line="312" w:lineRule="auto"/>
    </w:pPr>
  </w:style>
  <w:style w:type="paragraph" w:customStyle="1" w:styleId="HngEinrckung1">
    <w:name w:val="Häng. Einrückung1"/>
    <w:basedOn w:val="Normal"/>
    <w:uiPriority w:val="1"/>
    <w:qFormat/>
    <w:rsid w:val="001E5A75"/>
    <w:pPr>
      <w:spacing w:line="312" w:lineRule="auto"/>
      <w:ind w:left="567" w:hanging="567"/>
    </w:pPr>
  </w:style>
  <w:style w:type="paragraph" w:customStyle="1" w:styleId="HngEinrckung2">
    <w:name w:val="Häng. Einrückung2"/>
    <w:basedOn w:val="Normal"/>
    <w:uiPriority w:val="1"/>
    <w:qFormat/>
    <w:rsid w:val="001E5A75"/>
    <w:pPr>
      <w:spacing w:line="312" w:lineRule="auto"/>
      <w:ind w:left="1134" w:hanging="567"/>
    </w:pPr>
  </w:style>
  <w:style w:type="paragraph" w:customStyle="1" w:styleId="HngEinrckung3">
    <w:name w:val="Häng. Einrückung3"/>
    <w:basedOn w:val="Normal"/>
    <w:uiPriority w:val="1"/>
    <w:qFormat/>
    <w:rsid w:val="001E5A75"/>
    <w:pPr>
      <w:spacing w:line="312" w:lineRule="auto"/>
      <w:ind w:left="1701" w:hanging="567"/>
    </w:pPr>
  </w:style>
  <w:style w:type="character" w:styleId="Hyperlink">
    <w:name w:val="Hyperlink"/>
    <w:uiPriority w:val="99"/>
    <w:rsid w:val="001E5A75"/>
    <w:rPr>
      <w:rFonts w:cs="Times New Roman"/>
      <w:color w:val="0000FF"/>
      <w:u w:val="single"/>
    </w:rPr>
  </w:style>
  <w:style w:type="paragraph" w:styleId="Header">
    <w:name w:val="header"/>
    <w:basedOn w:val="Normal"/>
    <w:link w:val="HeaderChar"/>
    <w:uiPriority w:val="99"/>
    <w:rsid w:val="001E5A75"/>
    <w:pPr>
      <w:tabs>
        <w:tab w:val="center" w:pos="4536"/>
        <w:tab w:val="right" w:pos="9072"/>
      </w:tabs>
    </w:pPr>
    <w:rPr>
      <w:rFonts w:ascii="Arial" w:eastAsia="Arial" w:hAnsi="Arial"/>
      <w:szCs w:val="20"/>
    </w:rPr>
  </w:style>
  <w:style w:type="character" w:customStyle="1" w:styleId="HeaderChar">
    <w:name w:val="Header Char"/>
    <w:link w:val="Header"/>
    <w:uiPriority w:val="99"/>
    <w:locked/>
    <w:rsid w:val="001E5A75"/>
    <w:rPr>
      <w:rFonts w:ascii="Arial" w:hAnsi="Arial" w:cs="Times New Roman"/>
      <w:sz w:val="20"/>
      <w:szCs w:val="20"/>
      <w:lang w:eastAsia="fr-FR"/>
    </w:rPr>
  </w:style>
  <w:style w:type="paragraph" w:customStyle="1" w:styleId="Marginalspalte">
    <w:name w:val="Marginalspalte"/>
    <w:basedOn w:val="Normal"/>
    <w:uiPriority w:val="1"/>
    <w:qFormat/>
    <w:rsid w:val="001E5A75"/>
    <w:pPr>
      <w:framePr w:w="851" w:h="851" w:hSpace="284" w:wrap="around" w:vAnchor="text" w:hAnchor="page" w:y="1"/>
    </w:pPr>
    <w:rPr>
      <w:i/>
      <w:szCs w:val="22"/>
    </w:rPr>
  </w:style>
  <w:style w:type="paragraph" w:customStyle="1" w:styleId="Nummerierungsart1">
    <w:name w:val="Nummerierungsart1"/>
    <w:basedOn w:val="Normal"/>
    <w:uiPriority w:val="1"/>
    <w:qFormat/>
    <w:rsid w:val="001E5A75"/>
    <w:pPr>
      <w:numPr>
        <w:numId w:val="9"/>
      </w:numPr>
    </w:pPr>
  </w:style>
  <w:style w:type="paragraph" w:customStyle="1" w:styleId="Nummerierungsart2">
    <w:name w:val="Nummerierungsart2"/>
    <w:basedOn w:val="Normal"/>
    <w:uiPriority w:val="1"/>
    <w:qFormat/>
    <w:rsid w:val="001E5A75"/>
    <w:pPr>
      <w:numPr>
        <w:numId w:val="10"/>
      </w:numPr>
    </w:pPr>
  </w:style>
  <w:style w:type="paragraph" w:customStyle="1" w:styleId="Nummerierungsart3">
    <w:name w:val="Nummerierungsart3"/>
    <w:basedOn w:val="Normal"/>
    <w:uiPriority w:val="1"/>
    <w:qFormat/>
    <w:rsid w:val="001E5A75"/>
    <w:pPr>
      <w:numPr>
        <w:numId w:val="11"/>
      </w:numPr>
    </w:pPr>
  </w:style>
  <w:style w:type="paragraph" w:customStyle="1" w:styleId="Nummerierungsart4">
    <w:name w:val="Nummerierungsart4"/>
    <w:basedOn w:val="Normal"/>
    <w:uiPriority w:val="1"/>
    <w:qFormat/>
    <w:rsid w:val="001E5A75"/>
    <w:pPr>
      <w:numPr>
        <w:numId w:val="12"/>
      </w:numPr>
    </w:pPr>
  </w:style>
  <w:style w:type="character" w:styleId="PageNumber">
    <w:name w:val="page number"/>
    <w:uiPriority w:val="99"/>
    <w:rsid w:val="001E5A75"/>
    <w:rPr>
      <w:rFonts w:ascii="Arial" w:hAnsi="Arial" w:cs="Times New Roman"/>
      <w:sz w:val="22"/>
    </w:rPr>
  </w:style>
  <w:style w:type="character" w:customStyle="1" w:styleId="Heading3Char1">
    <w:name w:val="Heading 3 Char1"/>
    <w:link w:val="Heading3"/>
    <w:uiPriority w:val="99"/>
    <w:locked/>
    <w:rsid w:val="001E5A75"/>
    <w:rPr>
      <w:rFonts w:ascii="Arial" w:hAnsi="Arial" w:cs="Times New Roman"/>
      <w:b/>
      <w:sz w:val="20"/>
      <w:szCs w:val="20"/>
      <w:lang w:eastAsia="fr-FR"/>
    </w:rPr>
  </w:style>
  <w:style w:type="paragraph" w:styleId="TOC1">
    <w:name w:val="toc 1"/>
    <w:basedOn w:val="Normal"/>
    <w:next w:val="Normal"/>
    <w:autoRedefine/>
    <w:uiPriority w:val="39"/>
    <w:qFormat/>
    <w:rsid w:val="001E5A75"/>
    <w:pPr>
      <w:tabs>
        <w:tab w:val="left" w:pos="794"/>
        <w:tab w:val="right" w:leader="dot" w:pos="9071"/>
      </w:tabs>
      <w:ind w:left="794" w:hanging="794"/>
    </w:pPr>
    <w:rPr>
      <w:b/>
      <w:smallCaps/>
      <w:noProof/>
      <w:sz w:val="24"/>
    </w:rPr>
  </w:style>
  <w:style w:type="paragraph" w:styleId="TOC2">
    <w:name w:val="toc 2"/>
    <w:basedOn w:val="Normal"/>
    <w:next w:val="Normal"/>
    <w:autoRedefine/>
    <w:uiPriority w:val="39"/>
    <w:qFormat/>
    <w:rsid w:val="001E5A75"/>
    <w:pPr>
      <w:tabs>
        <w:tab w:val="left" w:pos="794"/>
        <w:tab w:val="right" w:leader="dot" w:pos="9071"/>
      </w:tabs>
      <w:spacing w:after="60"/>
      <w:ind w:left="794" w:hanging="794"/>
    </w:pPr>
    <w:rPr>
      <w:b/>
      <w:smallCaps/>
      <w:noProof/>
      <w:szCs w:val="22"/>
    </w:rPr>
  </w:style>
  <w:style w:type="paragraph" w:styleId="TOC3">
    <w:name w:val="toc 3"/>
    <w:basedOn w:val="Normal"/>
    <w:next w:val="Normal"/>
    <w:autoRedefine/>
    <w:uiPriority w:val="39"/>
    <w:qFormat/>
    <w:rsid w:val="001E5A75"/>
    <w:pPr>
      <w:tabs>
        <w:tab w:val="left" w:pos="794"/>
        <w:tab w:val="right" w:leader="dot" w:pos="9072"/>
      </w:tabs>
      <w:spacing w:after="60"/>
      <w:ind w:left="794" w:hanging="794"/>
    </w:pPr>
    <w:rPr>
      <w:smallCaps/>
      <w:noProof/>
    </w:rPr>
  </w:style>
  <w:style w:type="paragraph" w:styleId="TOC4">
    <w:name w:val="toc 4"/>
    <w:basedOn w:val="Normal"/>
    <w:next w:val="Normal"/>
    <w:autoRedefine/>
    <w:uiPriority w:val="39"/>
    <w:rsid w:val="001E5A75"/>
    <w:pPr>
      <w:tabs>
        <w:tab w:val="left" w:pos="794"/>
        <w:tab w:val="right" w:leader="dot" w:pos="9071"/>
      </w:tabs>
      <w:spacing w:after="40"/>
      <w:ind w:left="794" w:hanging="794"/>
    </w:pPr>
    <w:rPr>
      <w:smallCaps/>
      <w:noProof/>
      <w:sz w:val="18"/>
      <w:szCs w:val="18"/>
    </w:rPr>
  </w:style>
  <w:style w:type="paragraph" w:styleId="TOC5">
    <w:name w:val="toc 5"/>
    <w:basedOn w:val="Normal"/>
    <w:next w:val="Normal"/>
    <w:autoRedefine/>
    <w:uiPriority w:val="39"/>
    <w:rsid w:val="001E5A75"/>
    <w:pPr>
      <w:tabs>
        <w:tab w:val="left" w:pos="794"/>
        <w:tab w:val="right" w:leader="dot" w:pos="9071"/>
      </w:tabs>
      <w:spacing w:after="40"/>
      <w:ind w:left="794" w:hanging="794"/>
    </w:pPr>
    <w:rPr>
      <w:smallCaps/>
      <w:noProof/>
      <w:sz w:val="18"/>
      <w:szCs w:val="18"/>
    </w:rPr>
  </w:style>
  <w:style w:type="paragraph" w:styleId="TOC6">
    <w:name w:val="toc 6"/>
    <w:basedOn w:val="Normal"/>
    <w:next w:val="Normal"/>
    <w:autoRedefine/>
    <w:uiPriority w:val="39"/>
    <w:rsid w:val="001E5A75"/>
    <w:pPr>
      <w:tabs>
        <w:tab w:val="left" w:pos="2058"/>
        <w:tab w:val="right" w:leader="dot" w:pos="9071"/>
      </w:tabs>
      <w:ind w:left="1134" w:hanging="1134"/>
    </w:pPr>
    <w:rPr>
      <w:noProof/>
      <w:sz w:val="16"/>
    </w:rPr>
  </w:style>
  <w:style w:type="paragraph" w:styleId="TOC7">
    <w:name w:val="toc 7"/>
    <w:basedOn w:val="Normal"/>
    <w:next w:val="Normal"/>
    <w:autoRedefine/>
    <w:uiPriority w:val="39"/>
    <w:rsid w:val="001E5A75"/>
    <w:pPr>
      <w:tabs>
        <w:tab w:val="right" w:leader="dot" w:pos="9071"/>
      </w:tabs>
      <w:ind w:left="1134" w:hanging="1134"/>
    </w:pPr>
    <w:rPr>
      <w:sz w:val="16"/>
    </w:rPr>
  </w:style>
  <w:style w:type="paragraph" w:styleId="TOC8">
    <w:name w:val="toc 8"/>
    <w:basedOn w:val="Normal"/>
    <w:next w:val="Normal"/>
    <w:autoRedefine/>
    <w:uiPriority w:val="39"/>
    <w:rsid w:val="001E5A75"/>
    <w:pPr>
      <w:tabs>
        <w:tab w:val="left" w:pos="2758"/>
        <w:tab w:val="right" w:leader="dot" w:pos="9071"/>
      </w:tabs>
      <w:ind w:left="1361" w:hanging="1361"/>
    </w:pPr>
    <w:rPr>
      <w:noProof/>
      <w:sz w:val="16"/>
    </w:rPr>
  </w:style>
  <w:style w:type="paragraph" w:styleId="TOC9">
    <w:name w:val="toc 9"/>
    <w:basedOn w:val="Normal"/>
    <w:next w:val="Normal"/>
    <w:autoRedefine/>
    <w:uiPriority w:val="39"/>
    <w:rsid w:val="001E5A75"/>
    <w:pPr>
      <w:tabs>
        <w:tab w:val="right" w:leader="dot" w:pos="9071"/>
      </w:tabs>
      <w:ind w:left="1361" w:hanging="1361"/>
    </w:pPr>
    <w:rPr>
      <w:sz w:val="16"/>
    </w:rPr>
  </w:style>
  <w:style w:type="paragraph" w:styleId="Quote">
    <w:name w:val="Quote"/>
    <w:basedOn w:val="Normal"/>
    <w:next w:val="Normal"/>
    <w:link w:val="QuoteChar"/>
    <w:uiPriority w:val="29"/>
    <w:qFormat/>
    <w:rsid w:val="001E5A75"/>
    <w:rPr>
      <w:rFonts w:ascii="Arial" w:eastAsia="Arial" w:hAnsi="Arial"/>
      <w:i/>
      <w:iCs/>
      <w:color w:val="000000"/>
      <w:szCs w:val="20"/>
    </w:rPr>
  </w:style>
  <w:style w:type="character" w:customStyle="1" w:styleId="QuoteChar">
    <w:name w:val="Quote Char"/>
    <w:link w:val="Quote"/>
    <w:uiPriority w:val="29"/>
    <w:semiHidden/>
    <w:locked/>
    <w:rsid w:val="001E5A75"/>
    <w:rPr>
      <w:rFonts w:ascii="Arial" w:hAnsi="Arial" w:cs="Times New Roman"/>
      <w:i/>
      <w:iCs/>
      <w:color w:val="000000"/>
      <w:sz w:val="20"/>
      <w:szCs w:val="20"/>
      <w:lang w:eastAsia="fr-FR"/>
    </w:rPr>
  </w:style>
  <w:style w:type="paragraph" w:styleId="TOCHeading">
    <w:name w:val="TOC Heading"/>
    <w:basedOn w:val="Heading1"/>
    <w:next w:val="Normal"/>
    <w:uiPriority w:val="39"/>
    <w:qFormat/>
    <w:rsid w:val="001E5A75"/>
    <w:pPr>
      <w:keepLines/>
      <w:spacing w:before="480" w:line="311" w:lineRule="auto"/>
      <w:outlineLvl w:val="9"/>
    </w:pPr>
    <w:rPr>
      <w:rFonts w:ascii="Arial" w:hAnsi="Arial"/>
      <w:bCs/>
      <w:color w:val="4B67A3"/>
      <w:szCs w:val="28"/>
    </w:rPr>
  </w:style>
  <w:style w:type="paragraph" w:styleId="EndnoteText">
    <w:name w:val="endnote text"/>
    <w:basedOn w:val="Normal"/>
    <w:link w:val="EndnoteTextChar"/>
    <w:uiPriority w:val="1"/>
    <w:rsid w:val="001E5A75"/>
    <w:pPr>
      <w:spacing w:line="180" w:lineRule="exact"/>
      <w:ind w:left="142" w:hanging="142"/>
    </w:pPr>
    <w:rPr>
      <w:rFonts w:ascii="Arial" w:eastAsia="Arial" w:hAnsi="Arial"/>
      <w:szCs w:val="20"/>
    </w:rPr>
  </w:style>
  <w:style w:type="character" w:customStyle="1" w:styleId="EndnoteTextChar">
    <w:name w:val="Endnote Text Char"/>
    <w:link w:val="EndnoteText"/>
    <w:uiPriority w:val="1"/>
    <w:locked/>
    <w:rsid w:val="001E5A75"/>
    <w:rPr>
      <w:rFonts w:ascii="Arial" w:hAnsi="Arial" w:cs="Times New Roman"/>
      <w:sz w:val="20"/>
      <w:szCs w:val="20"/>
      <w:lang w:eastAsia="fr-FR"/>
    </w:rPr>
  </w:style>
  <w:style w:type="character" w:styleId="EndnoteReference">
    <w:name w:val="endnote reference"/>
    <w:uiPriority w:val="1"/>
    <w:rsid w:val="001E5A75"/>
    <w:rPr>
      <w:rFonts w:ascii="Arial" w:hAnsi="Arial" w:cs="Times New Roman"/>
      <w:color w:val="auto"/>
      <w:position w:val="4"/>
      <w:sz w:val="12"/>
      <w:vertAlign w:val="baseline"/>
    </w:rPr>
  </w:style>
  <w:style w:type="paragraph" w:customStyle="1" w:styleId="Ballontekst">
    <w:name w:val="Ballontekst"/>
    <w:basedOn w:val="Normal"/>
    <w:uiPriority w:val="99"/>
    <w:semiHidden/>
    <w:rsid w:val="00884FEB"/>
    <w:rPr>
      <w:rFonts w:ascii="Tahoma" w:hAnsi="Tahoma" w:cs="Tahoma"/>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Cs w:val="20"/>
    </w:rPr>
  </w:style>
  <w:style w:type="character" w:customStyle="1" w:styleId="CommentTextChar">
    <w:name w:val="Comment Text Char"/>
    <w:link w:val="CommentText"/>
    <w:uiPriority w:val="99"/>
    <w:locked/>
    <w:rsid w:val="00884FEB"/>
    <w:rPr>
      <w:rFonts w:ascii="Verdana" w:hAnsi="Verdana" w:cs="Times New Roman"/>
      <w:sz w:val="20"/>
      <w:szCs w:val="20"/>
      <w:lang w:val="fr-FR"/>
    </w:rPr>
  </w:style>
  <w:style w:type="paragraph" w:customStyle="1" w:styleId="Onderwerpvanopmerking">
    <w:name w:val="Onderwerp van opmerking"/>
    <w:basedOn w:val="CommentText"/>
    <w:next w:val="CommentText"/>
    <w:uiPriority w:val="99"/>
    <w:semiHidden/>
    <w:rsid w:val="00884FEB"/>
    <w:rPr>
      <w:b/>
      <w:bCs/>
    </w:rPr>
  </w:style>
  <w:style w:type="character" w:styleId="FollowedHyperlink">
    <w:name w:val="FollowedHyperlink"/>
    <w:uiPriority w:val="99"/>
    <w:rsid w:val="00884FEB"/>
    <w:rPr>
      <w:rFonts w:cs="Times New Roman"/>
      <w:color w:val="606420"/>
      <w:u w:val="single"/>
    </w:rPr>
  </w:style>
  <w:style w:type="paragraph" w:styleId="BalloonText">
    <w:name w:val="Balloon Text"/>
    <w:basedOn w:val="Normal"/>
    <w:link w:val="BalloonTextChar"/>
    <w:uiPriority w:val="99"/>
    <w:rsid w:val="00884FEB"/>
    <w:rPr>
      <w:rFonts w:ascii="Tahoma" w:eastAsia="Arial" w:hAnsi="Tahoma"/>
      <w:sz w:val="16"/>
      <w:szCs w:val="16"/>
    </w:rPr>
  </w:style>
  <w:style w:type="character" w:customStyle="1" w:styleId="BalloonTextChar">
    <w:name w:val="Balloon Text Char"/>
    <w:link w:val="BalloonText"/>
    <w:uiPriority w:val="99"/>
    <w:locked/>
    <w:rsid w:val="00884FEB"/>
    <w:rPr>
      <w:rFonts w:ascii="Tahoma" w:hAnsi="Tahoma" w:cs="Tahoma"/>
      <w:sz w:val="16"/>
      <w:szCs w:val="16"/>
      <w:lang w:val="fr-FR"/>
    </w:rPr>
  </w:style>
  <w:style w:type="paragraph" w:styleId="CommentSubject">
    <w:name w:val="annotation subject"/>
    <w:basedOn w:val="CommentText"/>
    <w:next w:val="CommentText"/>
    <w:link w:val="CommentSubjectChar"/>
    <w:uiPriority w:val="99"/>
    <w:rsid w:val="00884FEB"/>
    <w:rPr>
      <w:b/>
      <w:bCs/>
    </w:rPr>
  </w:style>
  <w:style w:type="character" w:customStyle="1" w:styleId="CommentSubjectChar">
    <w:name w:val="Comment Subject Char"/>
    <w:link w:val="CommentSubject"/>
    <w:uiPriority w:val="99"/>
    <w:locked/>
    <w:rsid w:val="00884FEB"/>
    <w:rPr>
      <w:rFonts w:ascii="Verdana" w:hAnsi="Verdana" w:cs="Times New Roman"/>
      <w:b/>
      <w:bCs/>
      <w:sz w:val="20"/>
      <w:szCs w:val="20"/>
      <w:lang w:val="fr-FR"/>
    </w:rPr>
  </w:style>
  <w:style w:type="table" w:styleId="TableGrid">
    <w:name w:val="Table Grid"/>
    <w:aliases w:val="Tabla CUADROS"/>
    <w:basedOn w:val="TableNormal"/>
    <w:uiPriority w:val="59"/>
    <w:rsid w:val="00884FE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vorlageberschrift4">
    <w:name w:val="Formatvorlage Überschrift 4"/>
    <w:basedOn w:val="Heading4"/>
    <w:link w:val="Formatvorlageberschrift4Char"/>
    <w:uiPriority w:val="99"/>
    <w:rsid w:val="00884FEB"/>
    <w:pPr>
      <w:spacing w:before="240" w:after="60"/>
    </w:pPr>
    <w:rPr>
      <w:iCs/>
      <w:szCs w:val="28"/>
    </w:rPr>
  </w:style>
  <w:style w:type="character" w:customStyle="1" w:styleId="Formatvorlageberschrift4Char">
    <w:name w:val="Formatvorlage Überschrift 4 Char"/>
    <w:link w:val="Formatvorlageberschrift4"/>
    <w:uiPriority w:val="99"/>
    <w:locked/>
    <w:rsid w:val="00884FEB"/>
    <w:rPr>
      <w:rFonts w:ascii="Verdana" w:eastAsia="Times New Roman" w:hAnsi="Verdana"/>
      <w:b/>
      <w:iCs/>
      <w:szCs w:val="28"/>
      <w:u w:val="single"/>
      <w:lang w:eastAsia="fr-FR"/>
    </w:rPr>
  </w:style>
  <w:style w:type="paragraph" w:customStyle="1" w:styleId="Instructionsberschrift1">
    <w:name w:val="Instructions Überschrift 1"/>
    <w:basedOn w:val="Heading1"/>
    <w:rsid w:val="00884FEB"/>
    <w:pPr>
      <w:tabs>
        <w:tab w:val="num" w:pos="540"/>
      </w:tabs>
      <w:spacing w:before="240"/>
      <w:ind w:left="540" w:hanging="540"/>
    </w:pPr>
    <w:rPr>
      <w:b w:val="0"/>
      <w:kern w:val="32"/>
    </w:rPr>
  </w:style>
  <w:style w:type="paragraph" w:customStyle="1" w:styleId="Instructionsberschrift2">
    <w:name w:val="Instructions Überschrift 2"/>
    <w:basedOn w:val="Heading2"/>
    <w:rsid w:val="008C122C"/>
    <w:pPr>
      <w:numPr>
        <w:numId w:val="14"/>
      </w:numPr>
      <w:spacing w:after="240"/>
    </w:pPr>
    <w:rPr>
      <w:rFonts w:cs="Arial"/>
      <w:b w:val="0"/>
      <w:sz w:val="20"/>
    </w:rPr>
  </w:style>
  <w:style w:type="paragraph" w:customStyle="1" w:styleId="Instructionsberschrift3">
    <w:name w:val="Instructions Überschrift 3"/>
    <w:basedOn w:val="Heading3"/>
    <w:link w:val="Instructionsberschrift3Zchn"/>
    <w:rsid w:val="006746DB"/>
    <w:pPr>
      <w:numPr>
        <w:numId w:val="15"/>
      </w:numPr>
      <w:spacing w:before="240" w:after="60" w:line="360" w:lineRule="auto"/>
    </w:pPr>
    <w:rPr>
      <w:rFonts w:ascii="Verdana" w:eastAsia="Times New Roman" w:hAnsi="Verdana"/>
      <w:szCs w:val="26"/>
      <w:u w:val="single"/>
    </w:rPr>
  </w:style>
  <w:style w:type="character" w:customStyle="1" w:styleId="Instructionsberschrift3Zchn">
    <w:name w:val="Instructions Überschrift 3 Zchn"/>
    <w:link w:val="Instructionsberschrift3"/>
    <w:locked/>
    <w:rsid w:val="006746DB"/>
    <w:rPr>
      <w:rFonts w:ascii="Verdana" w:eastAsia="Times New Roman" w:hAnsi="Verdana"/>
      <w:b/>
      <w:szCs w:val="26"/>
      <w:u w:val="single"/>
      <w:lang w:eastAsia="fr-FR"/>
    </w:rPr>
  </w:style>
  <w:style w:type="paragraph" w:customStyle="1" w:styleId="Instructionsberschrift4">
    <w:name w:val="Instructions Überschrift 4"/>
    <w:basedOn w:val="Heading4"/>
    <w:next w:val="InstructionsText"/>
    <w:link w:val="Instructionsberschrift4Char"/>
    <w:uiPriority w:val="99"/>
    <w:rsid w:val="00884FEB"/>
    <w:pPr>
      <w:tabs>
        <w:tab w:val="left" w:pos="1520"/>
      </w:tabs>
      <w:autoSpaceDE w:val="0"/>
      <w:autoSpaceDN w:val="0"/>
      <w:adjustRightInd w:val="0"/>
      <w:spacing w:before="240" w:after="240"/>
      <w:ind w:left="970" w:hanging="970"/>
    </w:pPr>
    <w:rPr>
      <w:bCs/>
    </w:rPr>
  </w:style>
  <w:style w:type="paragraph" w:customStyle="1" w:styleId="InstructionsText">
    <w:name w:val="Instructions Text"/>
    <w:basedOn w:val="Normal"/>
    <w:link w:val="InstructionsTextChar"/>
    <w:autoRedefine/>
    <w:rsid w:val="00622B37"/>
    <w:pPr>
      <w:spacing w:before="0"/>
    </w:pPr>
    <w:rPr>
      <w:rFonts w:ascii="Times New Roman" w:hAnsi="Times New Roman"/>
      <w:sz w:val="24"/>
    </w:rPr>
  </w:style>
  <w:style w:type="character" w:customStyle="1" w:styleId="Instructionsberschrift4Char">
    <w:name w:val="Instructions Überschrift 4 Char"/>
    <w:link w:val="Instructionsberschrift4"/>
    <w:uiPriority w:val="99"/>
    <w:locked/>
    <w:rsid w:val="00884FEB"/>
    <w:rPr>
      <w:rFonts w:ascii="Verdana" w:eastAsia="Times New Roman" w:hAnsi="Verdana"/>
      <w:b/>
      <w:bCs/>
      <w:szCs w:val="24"/>
      <w:u w:val="single"/>
      <w:lang w:eastAsia="fr-FR"/>
    </w:rPr>
  </w:style>
  <w:style w:type="character" w:customStyle="1" w:styleId="InstructionsTabelleberschrift">
    <w:name w:val="Instructions Tabelle Überschrift"/>
    <w:qFormat/>
    <w:rsid w:val="00884FEB"/>
    <w:rPr>
      <w:rFonts w:ascii="Verdana" w:hAnsi="Verdana" w:cs="Times New Roman"/>
      <w:b/>
      <w:bCs/>
      <w:sz w:val="20"/>
      <w:u w:val="single"/>
    </w:rPr>
  </w:style>
  <w:style w:type="character" w:customStyle="1" w:styleId="InstructionsTabelleText">
    <w:name w:val="Instructions Tabelle Text"/>
    <w:rsid w:val="00884FEB"/>
    <w:rPr>
      <w:rFonts w:ascii="Verdana" w:hAnsi="Verdana" w:cs="Times New Roman"/>
      <w:sz w:val="20"/>
    </w:rPr>
  </w:style>
  <w:style w:type="character" w:customStyle="1" w:styleId="FormatvorlageInstructionsTabelleText">
    <w:name w:val="Formatvorlage Instructions Tabelle Text"/>
    <w:uiPriority w:val="99"/>
    <w:qFormat/>
    <w:rsid w:val="00412D44"/>
    <w:rPr>
      <w:rFonts w:ascii="Verdana" w:hAnsi="Verdana" w:cs="Times New Roman"/>
      <w:bCs/>
      <w:sz w:val="20"/>
      <w:u w:val="none"/>
    </w:rPr>
  </w:style>
  <w:style w:type="paragraph" w:customStyle="1" w:styleId="FormatvorlageInstructionsberschrift3Links0cmErsteZeile0cm">
    <w:name w:val="Formatvorlage Instructions Überschrift 3 + Links:  0 cm Erste Zeile:  0 cm"/>
    <w:basedOn w:val="Instructionsberschrift3"/>
    <w:next w:val="Instructionsberschrift3"/>
    <w:uiPriority w:val="99"/>
    <w:rsid w:val="00884FEB"/>
    <w:pPr>
      <w:ind w:left="0" w:firstLine="0"/>
    </w:pPr>
    <w:rPr>
      <w:szCs w:val="20"/>
    </w:rPr>
  </w:style>
  <w:style w:type="paragraph" w:customStyle="1" w:styleId="Texte2">
    <w:name w:val="Texte 2"/>
    <w:basedOn w:val="Normal"/>
    <w:uiPriority w:val="99"/>
    <w:rsid w:val="00884FEB"/>
    <w:pPr>
      <w:spacing w:after="0"/>
      <w:ind w:left="567"/>
    </w:pPr>
    <w:rPr>
      <w:sz w:val="22"/>
      <w:szCs w:val="20"/>
    </w:rPr>
  </w:style>
  <w:style w:type="paragraph" w:customStyle="1" w:styleId="Prrafodelista1">
    <w:name w:val="Párrafo de lista1"/>
    <w:basedOn w:val="Normal"/>
    <w:uiPriority w:val="99"/>
    <w:rsid w:val="00884FEB"/>
    <w:pPr>
      <w:ind w:left="720"/>
    </w:pPr>
  </w:style>
  <w:style w:type="paragraph" w:customStyle="1" w:styleId="Prrafodelista2">
    <w:name w:val="Párrafo de lista2"/>
    <w:basedOn w:val="Normal"/>
    <w:uiPriority w:val="99"/>
    <w:rsid w:val="00884FEB"/>
    <w:pPr>
      <w:ind w:left="708"/>
    </w:pPr>
  </w:style>
  <w:style w:type="paragraph" w:styleId="PlainText">
    <w:name w:val="Plain Text"/>
    <w:basedOn w:val="Normal"/>
    <w:link w:val="PlainTextChar"/>
    <w:uiPriority w:val="99"/>
    <w:rsid w:val="00884FEB"/>
    <w:pPr>
      <w:spacing w:before="0" w:after="0"/>
      <w:jc w:val="left"/>
    </w:pPr>
    <w:rPr>
      <w:rFonts w:eastAsia="Arial"/>
      <w:szCs w:val="20"/>
    </w:rPr>
  </w:style>
  <w:style w:type="character" w:customStyle="1" w:styleId="PlainTextChar">
    <w:name w:val="Plain Text Char"/>
    <w:link w:val="PlainText"/>
    <w:uiPriority w:val="99"/>
    <w:locked/>
    <w:rsid w:val="00884FEB"/>
    <w:rPr>
      <w:rFonts w:ascii="Verdana" w:hAnsi="Verdana" w:cs="Times New Roman"/>
      <w:sz w:val="20"/>
      <w:szCs w:val="20"/>
      <w:lang w:val="fr-FR" w:eastAsia="fr-FR"/>
    </w:rPr>
  </w:style>
  <w:style w:type="paragraph" w:customStyle="1" w:styleId="Listenabsatz1">
    <w:name w:val="Listenabsatz1"/>
    <w:basedOn w:val="Normal"/>
    <w:uiPriority w:val="99"/>
    <w:rsid w:val="00884FEB"/>
    <w:pPr>
      <w:ind w:left="708"/>
    </w:pPr>
  </w:style>
  <w:style w:type="character" w:customStyle="1" w:styleId="InstructionsTextChar">
    <w:name w:val="Instructions Text Char"/>
    <w:link w:val="InstructionsText"/>
    <w:locked/>
    <w:rsid w:val="00622B37"/>
    <w:rPr>
      <w:rFonts w:ascii="Times New Roman" w:eastAsia="Times New Roman" w:hAnsi="Times New Roman"/>
      <w:sz w:val="24"/>
      <w:szCs w:val="24"/>
      <w:lang w:eastAsia="fr-FR" w:bidi="fr-FR"/>
    </w:rPr>
  </w:style>
  <w:style w:type="paragraph" w:styleId="Revision">
    <w:name w:val="Revision"/>
    <w:hidden/>
    <w:uiPriority w:val="99"/>
    <w:semiHidden/>
    <w:rsid w:val="00884FEB"/>
    <w:rPr>
      <w:rFonts w:ascii="Verdana" w:eastAsia="Times New Roman" w:hAnsi="Verdana"/>
      <w:szCs w:val="24"/>
    </w:rPr>
  </w:style>
  <w:style w:type="paragraph" w:styleId="ListParagraph">
    <w:name w:val="List Paragraph"/>
    <w:basedOn w:val="Normal"/>
    <w:uiPriority w:val="34"/>
    <w:qFormat/>
    <w:rsid w:val="00884FEB"/>
    <w:pPr>
      <w:ind w:left="708"/>
    </w:pPr>
  </w:style>
  <w:style w:type="character" w:styleId="PlaceholderText">
    <w:name w:val="Placeholder Text"/>
    <w:uiPriority w:val="99"/>
    <w:semiHidden/>
    <w:rsid w:val="00D946DB"/>
    <w:rPr>
      <w:rFonts w:cs="Times New Roman"/>
      <w:color w:val="808080"/>
    </w:rPr>
  </w:style>
  <w:style w:type="paragraph" w:customStyle="1" w:styleId="InstructionsText2">
    <w:name w:val="Instructions Text 2"/>
    <w:basedOn w:val="InstructionsText"/>
    <w:qFormat/>
    <w:rsid w:val="008F50DF"/>
    <w:pPr>
      <w:numPr>
        <w:numId w:val="16"/>
      </w:numPr>
      <w:spacing w:after="240"/>
    </w:pPr>
  </w:style>
  <w:style w:type="character" w:customStyle="1" w:styleId="Instructionsberschrift3Char">
    <w:name w:val="Instructions Überschrift 3 Char"/>
    <w:locked/>
    <w:rsid w:val="003B3DBB"/>
    <w:rPr>
      <w:rFonts w:ascii="Verdana" w:hAnsi="Verdana" w:cs="Arial"/>
      <w:b/>
      <w:bCs/>
      <w:sz w:val="26"/>
      <w:szCs w:val="26"/>
      <w:u w:val="single"/>
      <w:lang w:val="fr-FR" w:eastAsia="fr-FR" w:bidi="fr-FR"/>
    </w:rPr>
  </w:style>
  <w:style w:type="paragraph" w:customStyle="1" w:styleId="CM4">
    <w:name w:val="CM4"/>
    <w:basedOn w:val="Normal"/>
    <w:next w:val="Normal"/>
    <w:uiPriority w:val="99"/>
    <w:rsid w:val="008815DE"/>
    <w:pPr>
      <w:autoSpaceDE w:val="0"/>
      <w:autoSpaceDN w:val="0"/>
      <w:adjustRightInd w:val="0"/>
      <w:spacing w:before="0" w:after="0"/>
      <w:jc w:val="left"/>
    </w:pPr>
    <w:rPr>
      <w:rFonts w:ascii="Times New Roman" w:eastAsia="Arial" w:hAnsi="Times New Roman"/>
      <w:sz w:val="24"/>
    </w:rPr>
  </w:style>
  <w:style w:type="paragraph" w:styleId="DocumentMap">
    <w:name w:val="Document Map"/>
    <w:basedOn w:val="Normal"/>
    <w:link w:val="DocumentMapChar"/>
    <w:uiPriority w:val="99"/>
    <w:semiHidden/>
    <w:rsid w:val="0088630E"/>
    <w:pPr>
      <w:spacing w:before="0" w:after="0"/>
    </w:pPr>
    <w:rPr>
      <w:rFonts w:ascii="Tahoma" w:eastAsia="Arial" w:hAnsi="Tahoma"/>
      <w:sz w:val="16"/>
      <w:szCs w:val="16"/>
    </w:rPr>
  </w:style>
  <w:style w:type="character" w:customStyle="1" w:styleId="DocumentMapChar">
    <w:name w:val="Document Map Char"/>
    <w:link w:val="DocumentMap"/>
    <w:uiPriority w:val="99"/>
    <w:semiHidden/>
    <w:locked/>
    <w:rsid w:val="0088630E"/>
    <w:rPr>
      <w:rFonts w:ascii="Tahoma" w:hAnsi="Tahoma" w:cs="Tahoma"/>
      <w:sz w:val="16"/>
      <w:szCs w:val="16"/>
      <w:lang w:val="fr-FR"/>
    </w:rPr>
  </w:style>
  <w:style w:type="paragraph" w:customStyle="1" w:styleId="Titrearticle">
    <w:name w:val="Titre article"/>
    <w:basedOn w:val="Normal"/>
    <w:next w:val="Normal"/>
    <w:rsid w:val="00C87CEE"/>
    <w:pPr>
      <w:keepNext/>
      <w:spacing w:before="360"/>
      <w:jc w:val="center"/>
    </w:pPr>
    <w:rPr>
      <w:rFonts w:ascii="Times New Roman" w:hAnsi="Times New Roman"/>
      <w:i/>
      <w:sz w:val="24"/>
    </w:rPr>
  </w:style>
  <w:style w:type="paragraph" w:customStyle="1" w:styleId="Baseparagraphnumbered">
    <w:name w:val="Base paragraph numbered"/>
    <w:basedOn w:val="Normal"/>
    <w:link w:val="BaseparagraphnumberedChar"/>
    <w:qFormat/>
    <w:rsid w:val="00C87CEE"/>
    <w:pPr>
      <w:numPr>
        <w:numId w:val="21"/>
      </w:numPr>
      <w:spacing w:before="0" w:after="240"/>
    </w:pPr>
    <w:rPr>
      <w:rFonts w:ascii="Times New Roman" w:eastAsia="Arial" w:hAnsi="Times New Roman"/>
      <w:sz w:val="24"/>
      <w:szCs w:val="20"/>
    </w:rPr>
  </w:style>
  <w:style w:type="character" w:customStyle="1" w:styleId="BaseparagraphnumberedChar">
    <w:name w:val="Base paragraph numbered Char"/>
    <w:link w:val="Baseparagraphnumbered"/>
    <w:locked/>
    <w:rsid w:val="00C87CEE"/>
    <w:rPr>
      <w:rFonts w:ascii="Times New Roman" w:hAnsi="Times New Roman"/>
      <w:sz w:val="24"/>
    </w:rPr>
  </w:style>
  <w:style w:type="character" w:customStyle="1" w:styleId="NumPar1Char">
    <w:name w:val="NumPar 1 Char"/>
    <w:link w:val="NumPar1"/>
    <w:uiPriority w:val="99"/>
    <w:locked/>
    <w:rsid w:val="00D34F75"/>
    <w:rPr>
      <w:rFonts w:cs="Times New Roman"/>
      <w:sz w:val="24"/>
      <w:szCs w:val="24"/>
      <w:lang w:val="fr-FR" w:eastAsia="fr-FR"/>
    </w:rPr>
  </w:style>
  <w:style w:type="paragraph" w:customStyle="1" w:styleId="NumPar1">
    <w:name w:val="NumPar 1"/>
    <w:basedOn w:val="Normal"/>
    <w:next w:val="Normal"/>
    <w:link w:val="NumPar1Char"/>
    <w:uiPriority w:val="99"/>
    <w:rsid w:val="00D34F75"/>
    <w:pPr>
      <w:tabs>
        <w:tab w:val="num" w:pos="850"/>
      </w:tabs>
      <w:ind w:left="850" w:hanging="850"/>
    </w:pPr>
    <w:rPr>
      <w:rFonts w:ascii="Arial" w:eastAsia="Arial" w:hAnsi="Arial"/>
      <w:sz w:val="24"/>
    </w:rPr>
  </w:style>
  <w:style w:type="character" w:customStyle="1" w:styleId="Point1letterChar">
    <w:name w:val="Point 1 (letter) Char"/>
    <w:link w:val="Point1letter"/>
    <w:uiPriority w:val="99"/>
    <w:locked/>
    <w:rsid w:val="00D34F75"/>
    <w:rPr>
      <w:rFonts w:cs="Times New Roman"/>
      <w:sz w:val="24"/>
      <w:szCs w:val="24"/>
      <w:lang w:val="fr-FR" w:eastAsia="fr-FR"/>
    </w:rPr>
  </w:style>
  <w:style w:type="paragraph" w:customStyle="1" w:styleId="Point1letter">
    <w:name w:val="Point 1 (letter)"/>
    <w:basedOn w:val="Normal"/>
    <w:link w:val="Point1letterChar"/>
    <w:uiPriority w:val="99"/>
    <w:rsid w:val="00D34F75"/>
    <w:pPr>
      <w:tabs>
        <w:tab w:val="num" w:pos="360"/>
      </w:tabs>
      <w:ind w:left="1417" w:hanging="567"/>
    </w:pPr>
    <w:rPr>
      <w:rFonts w:ascii="Arial" w:eastAsia="Arial" w:hAnsi="Arial"/>
      <w:sz w:val="24"/>
    </w:rPr>
  </w:style>
  <w:style w:type="numbering" w:customStyle="1" w:styleId="Formatvorlage2">
    <w:name w:val="Formatvorlage2"/>
    <w:uiPriority w:val="99"/>
    <w:rsid w:val="00BF60F7"/>
    <w:pPr>
      <w:numPr>
        <w:numId w:val="6"/>
      </w:numPr>
    </w:pPr>
  </w:style>
  <w:style w:type="numbering" w:customStyle="1" w:styleId="Formatvorlage3">
    <w:name w:val="Formatvorlage3"/>
    <w:uiPriority w:val="99"/>
    <w:rsid w:val="00BF60F7"/>
    <w:pPr>
      <w:numPr>
        <w:numId w:val="17"/>
      </w:numPr>
    </w:pPr>
  </w:style>
  <w:style w:type="numbering" w:customStyle="1" w:styleId="Formatvorlage1">
    <w:name w:val="Formatvorlage1"/>
    <w:uiPriority w:val="99"/>
    <w:rsid w:val="00BF60F7"/>
    <w:pPr>
      <w:numPr>
        <w:numId w:val="5"/>
      </w:numPr>
    </w:pPr>
  </w:style>
  <w:style w:type="numbering" w:customStyle="1" w:styleId="Formatvorlage4">
    <w:name w:val="Formatvorlage4"/>
    <w:uiPriority w:val="99"/>
    <w:rsid w:val="00BF60F7"/>
    <w:pPr>
      <w:numPr>
        <w:numId w:val="19"/>
      </w:numPr>
    </w:pPr>
  </w:style>
  <w:style w:type="paragraph" w:customStyle="1" w:styleId="ListParagraph1">
    <w:name w:val="List Paragraph1"/>
    <w:basedOn w:val="Normal"/>
    <w:uiPriority w:val="99"/>
    <w:qFormat/>
    <w:rsid w:val="001C7AB7"/>
    <w:pPr>
      <w:ind w:left="708"/>
    </w:pPr>
  </w:style>
  <w:style w:type="paragraph" w:customStyle="1" w:styleId="Anfhrungszeichen1">
    <w:name w:val="Anführungszeichen1"/>
    <w:basedOn w:val="Normal"/>
    <w:next w:val="Normal"/>
    <w:link w:val="AnfhrungszeichenZchn"/>
    <w:uiPriority w:val="29"/>
    <w:semiHidden/>
    <w:rsid w:val="000B0B09"/>
    <w:rPr>
      <w:i/>
      <w:iCs/>
      <w:color w:val="000000"/>
    </w:rPr>
  </w:style>
  <w:style w:type="character" w:customStyle="1" w:styleId="AnfhrungszeichenZchn">
    <w:name w:val="Anführungszeichen Zchn"/>
    <w:link w:val="Anfhrungszeichen1"/>
    <w:uiPriority w:val="29"/>
    <w:semiHidden/>
    <w:rsid w:val="000B0B09"/>
    <w:rPr>
      <w:rFonts w:ascii="Verdana" w:eastAsia="Times New Roman" w:hAnsi="Verdana"/>
      <w:i/>
      <w:iCs/>
      <w:color w:val="000000"/>
      <w:sz w:val="20"/>
      <w:szCs w:val="24"/>
      <w:lang w:val="fr-FR" w:eastAsia="fr-FR"/>
    </w:rPr>
  </w:style>
  <w:style w:type="paragraph" w:customStyle="1" w:styleId="Inhaltsverzeichnisberschrift1">
    <w:name w:val="Inhaltsverzeichnisüberschrift1"/>
    <w:basedOn w:val="Heading1"/>
    <w:next w:val="Normal"/>
    <w:uiPriority w:val="39"/>
    <w:semiHidden/>
    <w:unhideWhenUsed/>
    <w:qFormat/>
    <w:rsid w:val="000B0B09"/>
    <w:pPr>
      <w:keepLines/>
      <w:spacing w:before="480" w:line="311" w:lineRule="auto"/>
      <w:outlineLvl w:val="9"/>
    </w:pPr>
    <w:rPr>
      <w:rFonts w:ascii="Arial" w:hAnsi="Arial"/>
      <w:bCs/>
      <w:color w:val="4B67A3"/>
      <w:szCs w:val="28"/>
    </w:rPr>
  </w:style>
  <w:style w:type="paragraph" w:customStyle="1" w:styleId="berarbeitung1">
    <w:name w:val="Überarbeitung1"/>
    <w:hidden/>
    <w:uiPriority w:val="99"/>
    <w:semiHidden/>
    <w:rsid w:val="000B0B09"/>
    <w:rPr>
      <w:rFonts w:ascii="Verdana" w:eastAsia="Times New Roman" w:hAnsi="Verdana"/>
      <w:szCs w:val="24"/>
    </w:rPr>
  </w:style>
  <w:style w:type="paragraph" w:customStyle="1" w:styleId="Listenabsatz2">
    <w:name w:val="Listenabsatz2"/>
    <w:basedOn w:val="Normal"/>
    <w:uiPriority w:val="99"/>
    <w:qFormat/>
    <w:rsid w:val="000B0B09"/>
    <w:pPr>
      <w:ind w:left="708"/>
    </w:pPr>
  </w:style>
  <w:style w:type="character" w:customStyle="1" w:styleId="Platzhaltertext1">
    <w:name w:val="Platzhaltertext1"/>
    <w:uiPriority w:val="99"/>
    <w:semiHidden/>
    <w:rsid w:val="000B0B09"/>
    <w:rPr>
      <w:color w:val="808080"/>
    </w:rPr>
  </w:style>
  <w:style w:type="paragraph" w:customStyle="1" w:styleId="Default">
    <w:name w:val="Default"/>
    <w:rsid w:val="00283B5F"/>
    <w:pPr>
      <w:autoSpaceDE w:val="0"/>
      <w:autoSpaceDN w:val="0"/>
      <w:adjustRightInd w:val="0"/>
    </w:pPr>
    <w:rPr>
      <w:rFonts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2601634">
      <w:marLeft w:val="0"/>
      <w:marRight w:val="0"/>
      <w:marTop w:val="0"/>
      <w:marBottom w:val="0"/>
      <w:divBdr>
        <w:top w:val="none" w:sz="0" w:space="0" w:color="auto"/>
        <w:left w:val="none" w:sz="0" w:space="0" w:color="auto"/>
        <w:bottom w:val="none" w:sz="0" w:space="0" w:color="auto"/>
        <w:right w:val="none" w:sz="0" w:space="0" w:color="auto"/>
      </w:divBdr>
    </w:div>
    <w:div w:id="792601635">
      <w:marLeft w:val="0"/>
      <w:marRight w:val="0"/>
      <w:marTop w:val="0"/>
      <w:marBottom w:val="0"/>
      <w:divBdr>
        <w:top w:val="none" w:sz="0" w:space="0" w:color="auto"/>
        <w:left w:val="none" w:sz="0" w:space="0" w:color="auto"/>
        <w:bottom w:val="none" w:sz="0" w:space="0" w:color="auto"/>
        <w:right w:val="none" w:sz="0" w:space="0" w:color="auto"/>
      </w:divBdr>
    </w:div>
    <w:div w:id="792601636">
      <w:marLeft w:val="0"/>
      <w:marRight w:val="0"/>
      <w:marTop w:val="0"/>
      <w:marBottom w:val="0"/>
      <w:divBdr>
        <w:top w:val="none" w:sz="0" w:space="0" w:color="auto"/>
        <w:left w:val="none" w:sz="0" w:space="0" w:color="auto"/>
        <w:bottom w:val="none" w:sz="0" w:space="0" w:color="auto"/>
        <w:right w:val="none" w:sz="0" w:space="0" w:color="auto"/>
      </w:divBdr>
    </w:div>
    <w:div w:id="792601637">
      <w:marLeft w:val="0"/>
      <w:marRight w:val="0"/>
      <w:marTop w:val="0"/>
      <w:marBottom w:val="0"/>
      <w:divBdr>
        <w:top w:val="none" w:sz="0" w:space="0" w:color="auto"/>
        <w:left w:val="none" w:sz="0" w:space="0" w:color="auto"/>
        <w:bottom w:val="none" w:sz="0" w:space="0" w:color="auto"/>
        <w:right w:val="none" w:sz="0" w:space="0" w:color="auto"/>
      </w:divBdr>
    </w:div>
    <w:div w:id="79260163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C35AD59-FE09-4EA5-A175-BB3230C3E5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208</Pages>
  <Words>73553</Words>
  <Characters>402635</Characters>
  <Application>Microsoft Office Word</Application>
  <DocSecurity>0</DocSecurity>
  <Lines>10040</Lines>
  <Paragraphs>4588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Deutsche Bundesbank</Company>
  <LinksUpToDate>false</LinksUpToDate>
  <CharactersWithSpaces>472177</CharactersWithSpaces>
  <SharedDoc>false</SharedDoc>
  <HLinks>
    <vt:vector size="606" baseType="variant">
      <vt:variant>
        <vt:i4>1441854</vt:i4>
      </vt:variant>
      <vt:variant>
        <vt:i4>602</vt:i4>
      </vt:variant>
      <vt:variant>
        <vt:i4>0</vt:i4>
      </vt:variant>
      <vt:variant>
        <vt:i4>5</vt:i4>
      </vt:variant>
      <vt:variant>
        <vt:lpwstr/>
      </vt:variant>
      <vt:variant>
        <vt:lpwstr>_Toc429746721</vt:lpwstr>
      </vt:variant>
      <vt:variant>
        <vt:i4>1441854</vt:i4>
      </vt:variant>
      <vt:variant>
        <vt:i4>596</vt:i4>
      </vt:variant>
      <vt:variant>
        <vt:i4>0</vt:i4>
      </vt:variant>
      <vt:variant>
        <vt:i4>5</vt:i4>
      </vt:variant>
      <vt:variant>
        <vt:lpwstr/>
      </vt:variant>
      <vt:variant>
        <vt:lpwstr>_Toc429746720</vt:lpwstr>
      </vt:variant>
      <vt:variant>
        <vt:i4>1376318</vt:i4>
      </vt:variant>
      <vt:variant>
        <vt:i4>590</vt:i4>
      </vt:variant>
      <vt:variant>
        <vt:i4>0</vt:i4>
      </vt:variant>
      <vt:variant>
        <vt:i4>5</vt:i4>
      </vt:variant>
      <vt:variant>
        <vt:lpwstr/>
      </vt:variant>
      <vt:variant>
        <vt:lpwstr>_Toc429746719</vt:lpwstr>
      </vt:variant>
      <vt:variant>
        <vt:i4>1376318</vt:i4>
      </vt:variant>
      <vt:variant>
        <vt:i4>584</vt:i4>
      </vt:variant>
      <vt:variant>
        <vt:i4>0</vt:i4>
      </vt:variant>
      <vt:variant>
        <vt:i4>5</vt:i4>
      </vt:variant>
      <vt:variant>
        <vt:lpwstr/>
      </vt:variant>
      <vt:variant>
        <vt:lpwstr>_Toc429746718</vt:lpwstr>
      </vt:variant>
      <vt:variant>
        <vt:i4>1376318</vt:i4>
      </vt:variant>
      <vt:variant>
        <vt:i4>578</vt:i4>
      </vt:variant>
      <vt:variant>
        <vt:i4>0</vt:i4>
      </vt:variant>
      <vt:variant>
        <vt:i4>5</vt:i4>
      </vt:variant>
      <vt:variant>
        <vt:lpwstr/>
      </vt:variant>
      <vt:variant>
        <vt:lpwstr>_Toc429746717</vt:lpwstr>
      </vt:variant>
      <vt:variant>
        <vt:i4>1376318</vt:i4>
      </vt:variant>
      <vt:variant>
        <vt:i4>572</vt:i4>
      </vt:variant>
      <vt:variant>
        <vt:i4>0</vt:i4>
      </vt:variant>
      <vt:variant>
        <vt:i4>5</vt:i4>
      </vt:variant>
      <vt:variant>
        <vt:lpwstr/>
      </vt:variant>
      <vt:variant>
        <vt:lpwstr>_Toc429746716</vt:lpwstr>
      </vt:variant>
      <vt:variant>
        <vt:i4>1376318</vt:i4>
      </vt:variant>
      <vt:variant>
        <vt:i4>566</vt:i4>
      </vt:variant>
      <vt:variant>
        <vt:i4>0</vt:i4>
      </vt:variant>
      <vt:variant>
        <vt:i4>5</vt:i4>
      </vt:variant>
      <vt:variant>
        <vt:lpwstr/>
      </vt:variant>
      <vt:variant>
        <vt:lpwstr>_Toc429746715</vt:lpwstr>
      </vt:variant>
      <vt:variant>
        <vt:i4>1376318</vt:i4>
      </vt:variant>
      <vt:variant>
        <vt:i4>560</vt:i4>
      </vt:variant>
      <vt:variant>
        <vt:i4>0</vt:i4>
      </vt:variant>
      <vt:variant>
        <vt:i4>5</vt:i4>
      </vt:variant>
      <vt:variant>
        <vt:lpwstr/>
      </vt:variant>
      <vt:variant>
        <vt:lpwstr>_Toc429746714</vt:lpwstr>
      </vt:variant>
      <vt:variant>
        <vt:i4>1376318</vt:i4>
      </vt:variant>
      <vt:variant>
        <vt:i4>554</vt:i4>
      </vt:variant>
      <vt:variant>
        <vt:i4>0</vt:i4>
      </vt:variant>
      <vt:variant>
        <vt:i4>5</vt:i4>
      </vt:variant>
      <vt:variant>
        <vt:lpwstr/>
      </vt:variant>
      <vt:variant>
        <vt:lpwstr>_Toc429746713</vt:lpwstr>
      </vt:variant>
      <vt:variant>
        <vt:i4>1376318</vt:i4>
      </vt:variant>
      <vt:variant>
        <vt:i4>548</vt:i4>
      </vt:variant>
      <vt:variant>
        <vt:i4>0</vt:i4>
      </vt:variant>
      <vt:variant>
        <vt:i4>5</vt:i4>
      </vt:variant>
      <vt:variant>
        <vt:lpwstr/>
      </vt:variant>
      <vt:variant>
        <vt:lpwstr>_Toc429746712</vt:lpwstr>
      </vt:variant>
      <vt:variant>
        <vt:i4>1376318</vt:i4>
      </vt:variant>
      <vt:variant>
        <vt:i4>542</vt:i4>
      </vt:variant>
      <vt:variant>
        <vt:i4>0</vt:i4>
      </vt:variant>
      <vt:variant>
        <vt:i4>5</vt:i4>
      </vt:variant>
      <vt:variant>
        <vt:lpwstr/>
      </vt:variant>
      <vt:variant>
        <vt:lpwstr>_Toc429746711</vt:lpwstr>
      </vt:variant>
      <vt:variant>
        <vt:i4>1376318</vt:i4>
      </vt:variant>
      <vt:variant>
        <vt:i4>536</vt:i4>
      </vt:variant>
      <vt:variant>
        <vt:i4>0</vt:i4>
      </vt:variant>
      <vt:variant>
        <vt:i4>5</vt:i4>
      </vt:variant>
      <vt:variant>
        <vt:lpwstr/>
      </vt:variant>
      <vt:variant>
        <vt:lpwstr>_Toc429746710</vt:lpwstr>
      </vt:variant>
      <vt:variant>
        <vt:i4>1310782</vt:i4>
      </vt:variant>
      <vt:variant>
        <vt:i4>530</vt:i4>
      </vt:variant>
      <vt:variant>
        <vt:i4>0</vt:i4>
      </vt:variant>
      <vt:variant>
        <vt:i4>5</vt:i4>
      </vt:variant>
      <vt:variant>
        <vt:lpwstr/>
      </vt:variant>
      <vt:variant>
        <vt:lpwstr>_Toc429746709</vt:lpwstr>
      </vt:variant>
      <vt:variant>
        <vt:i4>1310782</vt:i4>
      </vt:variant>
      <vt:variant>
        <vt:i4>524</vt:i4>
      </vt:variant>
      <vt:variant>
        <vt:i4>0</vt:i4>
      </vt:variant>
      <vt:variant>
        <vt:i4>5</vt:i4>
      </vt:variant>
      <vt:variant>
        <vt:lpwstr/>
      </vt:variant>
      <vt:variant>
        <vt:lpwstr>_Toc429746708</vt:lpwstr>
      </vt:variant>
      <vt:variant>
        <vt:i4>1310782</vt:i4>
      </vt:variant>
      <vt:variant>
        <vt:i4>518</vt:i4>
      </vt:variant>
      <vt:variant>
        <vt:i4>0</vt:i4>
      </vt:variant>
      <vt:variant>
        <vt:i4>5</vt:i4>
      </vt:variant>
      <vt:variant>
        <vt:lpwstr/>
      </vt:variant>
      <vt:variant>
        <vt:lpwstr>_Toc429746707</vt:lpwstr>
      </vt:variant>
      <vt:variant>
        <vt:i4>1310782</vt:i4>
      </vt:variant>
      <vt:variant>
        <vt:i4>512</vt:i4>
      </vt:variant>
      <vt:variant>
        <vt:i4>0</vt:i4>
      </vt:variant>
      <vt:variant>
        <vt:i4>5</vt:i4>
      </vt:variant>
      <vt:variant>
        <vt:lpwstr/>
      </vt:variant>
      <vt:variant>
        <vt:lpwstr>_Toc429746706</vt:lpwstr>
      </vt:variant>
      <vt:variant>
        <vt:i4>1310782</vt:i4>
      </vt:variant>
      <vt:variant>
        <vt:i4>506</vt:i4>
      </vt:variant>
      <vt:variant>
        <vt:i4>0</vt:i4>
      </vt:variant>
      <vt:variant>
        <vt:i4>5</vt:i4>
      </vt:variant>
      <vt:variant>
        <vt:lpwstr/>
      </vt:variant>
      <vt:variant>
        <vt:lpwstr>_Toc429746705</vt:lpwstr>
      </vt:variant>
      <vt:variant>
        <vt:i4>1310782</vt:i4>
      </vt:variant>
      <vt:variant>
        <vt:i4>500</vt:i4>
      </vt:variant>
      <vt:variant>
        <vt:i4>0</vt:i4>
      </vt:variant>
      <vt:variant>
        <vt:i4>5</vt:i4>
      </vt:variant>
      <vt:variant>
        <vt:lpwstr/>
      </vt:variant>
      <vt:variant>
        <vt:lpwstr>_Toc429746704</vt:lpwstr>
      </vt:variant>
      <vt:variant>
        <vt:i4>1310782</vt:i4>
      </vt:variant>
      <vt:variant>
        <vt:i4>494</vt:i4>
      </vt:variant>
      <vt:variant>
        <vt:i4>0</vt:i4>
      </vt:variant>
      <vt:variant>
        <vt:i4>5</vt:i4>
      </vt:variant>
      <vt:variant>
        <vt:lpwstr/>
      </vt:variant>
      <vt:variant>
        <vt:lpwstr>_Toc429746703</vt:lpwstr>
      </vt:variant>
      <vt:variant>
        <vt:i4>1310782</vt:i4>
      </vt:variant>
      <vt:variant>
        <vt:i4>488</vt:i4>
      </vt:variant>
      <vt:variant>
        <vt:i4>0</vt:i4>
      </vt:variant>
      <vt:variant>
        <vt:i4>5</vt:i4>
      </vt:variant>
      <vt:variant>
        <vt:lpwstr/>
      </vt:variant>
      <vt:variant>
        <vt:lpwstr>_Toc429746702</vt:lpwstr>
      </vt:variant>
      <vt:variant>
        <vt:i4>1310782</vt:i4>
      </vt:variant>
      <vt:variant>
        <vt:i4>482</vt:i4>
      </vt:variant>
      <vt:variant>
        <vt:i4>0</vt:i4>
      </vt:variant>
      <vt:variant>
        <vt:i4>5</vt:i4>
      </vt:variant>
      <vt:variant>
        <vt:lpwstr/>
      </vt:variant>
      <vt:variant>
        <vt:lpwstr>_Toc429746701</vt:lpwstr>
      </vt:variant>
      <vt:variant>
        <vt:i4>1310782</vt:i4>
      </vt:variant>
      <vt:variant>
        <vt:i4>476</vt:i4>
      </vt:variant>
      <vt:variant>
        <vt:i4>0</vt:i4>
      </vt:variant>
      <vt:variant>
        <vt:i4>5</vt:i4>
      </vt:variant>
      <vt:variant>
        <vt:lpwstr/>
      </vt:variant>
      <vt:variant>
        <vt:lpwstr>_Toc429746700</vt:lpwstr>
      </vt:variant>
      <vt:variant>
        <vt:i4>1900607</vt:i4>
      </vt:variant>
      <vt:variant>
        <vt:i4>470</vt:i4>
      </vt:variant>
      <vt:variant>
        <vt:i4>0</vt:i4>
      </vt:variant>
      <vt:variant>
        <vt:i4>5</vt:i4>
      </vt:variant>
      <vt:variant>
        <vt:lpwstr/>
      </vt:variant>
      <vt:variant>
        <vt:lpwstr>_Toc429746699</vt:lpwstr>
      </vt:variant>
      <vt:variant>
        <vt:i4>1900607</vt:i4>
      </vt:variant>
      <vt:variant>
        <vt:i4>464</vt:i4>
      </vt:variant>
      <vt:variant>
        <vt:i4>0</vt:i4>
      </vt:variant>
      <vt:variant>
        <vt:i4>5</vt:i4>
      </vt:variant>
      <vt:variant>
        <vt:lpwstr/>
      </vt:variant>
      <vt:variant>
        <vt:lpwstr>_Toc429746698</vt:lpwstr>
      </vt:variant>
      <vt:variant>
        <vt:i4>1900607</vt:i4>
      </vt:variant>
      <vt:variant>
        <vt:i4>458</vt:i4>
      </vt:variant>
      <vt:variant>
        <vt:i4>0</vt:i4>
      </vt:variant>
      <vt:variant>
        <vt:i4>5</vt:i4>
      </vt:variant>
      <vt:variant>
        <vt:lpwstr/>
      </vt:variant>
      <vt:variant>
        <vt:lpwstr>_Toc429746697</vt:lpwstr>
      </vt:variant>
      <vt:variant>
        <vt:i4>1900607</vt:i4>
      </vt:variant>
      <vt:variant>
        <vt:i4>452</vt:i4>
      </vt:variant>
      <vt:variant>
        <vt:i4>0</vt:i4>
      </vt:variant>
      <vt:variant>
        <vt:i4>5</vt:i4>
      </vt:variant>
      <vt:variant>
        <vt:lpwstr/>
      </vt:variant>
      <vt:variant>
        <vt:lpwstr>_Toc429746696</vt:lpwstr>
      </vt:variant>
      <vt:variant>
        <vt:i4>1900607</vt:i4>
      </vt:variant>
      <vt:variant>
        <vt:i4>446</vt:i4>
      </vt:variant>
      <vt:variant>
        <vt:i4>0</vt:i4>
      </vt:variant>
      <vt:variant>
        <vt:i4>5</vt:i4>
      </vt:variant>
      <vt:variant>
        <vt:lpwstr/>
      </vt:variant>
      <vt:variant>
        <vt:lpwstr>_Toc429746695</vt:lpwstr>
      </vt:variant>
      <vt:variant>
        <vt:i4>1900607</vt:i4>
      </vt:variant>
      <vt:variant>
        <vt:i4>440</vt:i4>
      </vt:variant>
      <vt:variant>
        <vt:i4>0</vt:i4>
      </vt:variant>
      <vt:variant>
        <vt:i4>5</vt:i4>
      </vt:variant>
      <vt:variant>
        <vt:lpwstr/>
      </vt:variant>
      <vt:variant>
        <vt:lpwstr>_Toc429746694</vt:lpwstr>
      </vt:variant>
      <vt:variant>
        <vt:i4>1900607</vt:i4>
      </vt:variant>
      <vt:variant>
        <vt:i4>434</vt:i4>
      </vt:variant>
      <vt:variant>
        <vt:i4>0</vt:i4>
      </vt:variant>
      <vt:variant>
        <vt:i4>5</vt:i4>
      </vt:variant>
      <vt:variant>
        <vt:lpwstr/>
      </vt:variant>
      <vt:variant>
        <vt:lpwstr>_Toc429746693</vt:lpwstr>
      </vt:variant>
      <vt:variant>
        <vt:i4>1900607</vt:i4>
      </vt:variant>
      <vt:variant>
        <vt:i4>428</vt:i4>
      </vt:variant>
      <vt:variant>
        <vt:i4>0</vt:i4>
      </vt:variant>
      <vt:variant>
        <vt:i4>5</vt:i4>
      </vt:variant>
      <vt:variant>
        <vt:lpwstr/>
      </vt:variant>
      <vt:variant>
        <vt:lpwstr>_Toc429746692</vt:lpwstr>
      </vt:variant>
      <vt:variant>
        <vt:i4>1900607</vt:i4>
      </vt:variant>
      <vt:variant>
        <vt:i4>422</vt:i4>
      </vt:variant>
      <vt:variant>
        <vt:i4>0</vt:i4>
      </vt:variant>
      <vt:variant>
        <vt:i4>5</vt:i4>
      </vt:variant>
      <vt:variant>
        <vt:lpwstr/>
      </vt:variant>
      <vt:variant>
        <vt:lpwstr>_Toc429746691</vt:lpwstr>
      </vt:variant>
      <vt:variant>
        <vt:i4>1900607</vt:i4>
      </vt:variant>
      <vt:variant>
        <vt:i4>416</vt:i4>
      </vt:variant>
      <vt:variant>
        <vt:i4>0</vt:i4>
      </vt:variant>
      <vt:variant>
        <vt:i4>5</vt:i4>
      </vt:variant>
      <vt:variant>
        <vt:lpwstr/>
      </vt:variant>
      <vt:variant>
        <vt:lpwstr>_Toc429746690</vt:lpwstr>
      </vt:variant>
      <vt:variant>
        <vt:i4>1835071</vt:i4>
      </vt:variant>
      <vt:variant>
        <vt:i4>410</vt:i4>
      </vt:variant>
      <vt:variant>
        <vt:i4>0</vt:i4>
      </vt:variant>
      <vt:variant>
        <vt:i4>5</vt:i4>
      </vt:variant>
      <vt:variant>
        <vt:lpwstr/>
      </vt:variant>
      <vt:variant>
        <vt:lpwstr>_Toc429746689</vt:lpwstr>
      </vt:variant>
      <vt:variant>
        <vt:i4>1835071</vt:i4>
      </vt:variant>
      <vt:variant>
        <vt:i4>404</vt:i4>
      </vt:variant>
      <vt:variant>
        <vt:i4>0</vt:i4>
      </vt:variant>
      <vt:variant>
        <vt:i4>5</vt:i4>
      </vt:variant>
      <vt:variant>
        <vt:lpwstr/>
      </vt:variant>
      <vt:variant>
        <vt:lpwstr>_Toc429746688</vt:lpwstr>
      </vt:variant>
      <vt:variant>
        <vt:i4>1835071</vt:i4>
      </vt:variant>
      <vt:variant>
        <vt:i4>398</vt:i4>
      </vt:variant>
      <vt:variant>
        <vt:i4>0</vt:i4>
      </vt:variant>
      <vt:variant>
        <vt:i4>5</vt:i4>
      </vt:variant>
      <vt:variant>
        <vt:lpwstr/>
      </vt:variant>
      <vt:variant>
        <vt:lpwstr>_Toc429746687</vt:lpwstr>
      </vt:variant>
      <vt:variant>
        <vt:i4>1835071</vt:i4>
      </vt:variant>
      <vt:variant>
        <vt:i4>392</vt:i4>
      </vt:variant>
      <vt:variant>
        <vt:i4>0</vt:i4>
      </vt:variant>
      <vt:variant>
        <vt:i4>5</vt:i4>
      </vt:variant>
      <vt:variant>
        <vt:lpwstr/>
      </vt:variant>
      <vt:variant>
        <vt:lpwstr>_Toc429746686</vt:lpwstr>
      </vt:variant>
      <vt:variant>
        <vt:i4>1835071</vt:i4>
      </vt:variant>
      <vt:variant>
        <vt:i4>386</vt:i4>
      </vt:variant>
      <vt:variant>
        <vt:i4>0</vt:i4>
      </vt:variant>
      <vt:variant>
        <vt:i4>5</vt:i4>
      </vt:variant>
      <vt:variant>
        <vt:lpwstr/>
      </vt:variant>
      <vt:variant>
        <vt:lpwstr>_Toc429746685</vt:lpwstr>
      </vt:variant>
      <vt:variant>
        <vt:i4>1835071</vt:i4>
      </vt:variant>
      <vt:variant>
        <vt:i4>380</vt:i4>
      </vt:variant>
      <vt:variant>
        <vt:i4>0</vt:i4>
      </vt:variant>
      <vt:variant>
        <vt:i4>5</vt:i4>
      </vt:variant>
      <vt:variant>
        <vt:lpwstr/>
      </vt:variant>
      <vt:variant>
        <vt:lpwstr>_Toc429746684</vt:lpwstr>
      </vt:variant>
      <vt:variant>
        <vt:i4>1835071</vt:i4>
      </vt:variant>
      <vt:variant>
        <vt:i4>374</vt:i4>
      </vt:variant>
      <vt:variant>
        <vt:i4>0</vt:i4>
      </vt:variant>
      <vt:variant>
        <vt:i4>5</vt:i4>
      </vt:variant>
      <vt:variant>
        <vt:lpwstr/>
      </vt:variant>
      <vt:variant>
        <vt:lpwstr>_Toc429746683</vt:lpwstr>
      </vt:variant>
      <vt:variant>
        <vt:i4>1835071</vt:i4>
      </vt:variant>
      <vt:variant>
        <vt:i4>368</vt:i4>
      </vt:variant>
      <vt:variant>
        <vt:i4>0</vt:i4>
      </vt:variant>
      <vt:variant>
        <vt:i4>5</vt:i4>
      </vt:variant>
      <vt:variant>
        <vt:lpwstr/>
      </vt:variant>
      <vt:variant>
        <vt:lpwstr>_Toc429746682</vt:lpwstr>
      </vt:variant>
      <vt:variant>
        <vt:i4>1835071</vt:i4>
      </vt:variant>
      <vt:variant>
        <vt:i4>362</vt:i4>
      </vt:variant>
      <vt:variant>
        <vt:i4>0</vt:i4>
      </vt:variant>
      <vt:variant>
        <vt:i4>5</vt:i4>
      </vt:variant>
      <vt:variant>
        <vt:lpwstr/>
      </vt:variant>
      <vt:variant>
        <vt:lpwstr>_Toc429746681</vt:lpwstr>
      </vt:variant>
      <vt:variant>
        <vt:i4>1835071</vt:i4>
      </vt:variant>
      <vt:variant>
        <vt:i4>356</vt:i4>
      </vt:variant>
      <vt:variant>
        <vt:i4>0</vt:i4>
      </vt:variant>
      <vt:variant>
        <vt:i4>5</vt:i4>
      </vt:variant>
      <vt:variant>
        <vt:lpwstr/>
      </vt:variant>
      <vt:variant>
        <vt:lpwstr>_Toc429746680</vt:lpwstr>
      </vt:variant>
      <vt:variant>
        <vt:i4>1245247</vt:i4>
      </vt:variant>
      <vt:variant>
        <vt:i4>350</vt:i4>
      </vt:variant>
      <vt:variant>
        <vt:i4>0</vt:i4>
      </vt:variant>
      <vt:variant>
        <vt:i4>5</vt:i4>
      </vt:variant>
      <vt:variant>
        <vt:lpwstr/>
      </vt:variant>
      <vt:variant>
        <vt:lpwstr>_Toc429746679</vt:lpwstr>
      </vt:variant>
      <vt:variant>
        <vt:i4>1245247</vt:i4>
      </vt:variant>
      <vt:variant>
        <vt:i4>344</vt:i4>
      </vt:variant>
      <vt:variant>
        <vt:i4>0</vt:i4>
      </vt:variant>
      <vt:variant>
        <vt:i4>5</vt:i4>
      </vt:variant>
      <vt:variant>
        <vt:lpwstr/>
      </vt:variant>
      <vt:variant>
        <vt:lpwstr>_Toc429746678</vt:lpwstr>
      </vt:variant>
      <vt:variant>
        <vt:i4>1245247</vt:i4>
      </vt:variant>
      <vt:variant>
        <vt:i4>338</vt:i4>
      </vt:variant>
      <vt:variant>
        <vt:i4>0</vt:i4>
      </vt:variant>
      <vt:variant>
        <vt:i4>5</vt:i4>
      </vt:variant>
      <vt:variant>
        <vt:lpwstr/>
      </vt:variant>
      <vt:variant>
        <vt:lpwstr>_Toc429746677</vt:lpwstr>
      </vt:variant>
      <vt:variant>
        <vt:i4>1245247</vt:i4>
      </vt:variant>
      <vt:variant>
        <vt:i4>332</vt:i4>
      </vt:variant>
      <vt:variant>
        <vt:i4>0</vt:i4>
      </vt:variant>
      <vt:variant>
        <vt:i4>5</vt:i4>
      </vt:variant>
      <vt:variant>
        <vt:lpwstr/>
      </vt:variant>
      <vt:variant>
        <vt:lpwstr>_Toc429746676</vt:lpwstr>
      </vt:variant>
      <vt:variant>
        <vt:i4>1245247</vt:i4>
      </vt:variant>
      <vt:variant>
        <vt:i4>326</vt:i4>
      </vt:variant>
      <vt:variant>
        <vt:i4>0</vt:i4>
      </vt:variant>
      <vt:variant>
        <vt:i4>5</vt:i4>
      </vt:variant>
      <vt:variant>
        <vt:lpwstr/>
      </vt:variant>
      <vt:variant>
        <vt:lpwstr>_Toc429746675</vt:lpwstr>
      </vt:variant>
      <vt:variant>
        <vt:i4>1245247</vt:i4>
      </vt:variant>
      <vt:variant>
        <vt:i4>320</vt:i4>
      </vt:variant>
      <vt:variant>
        <vt:i4>0</vt:i4>
      </vt:variant>
      <vt:variant>
        <vt:i4>5</vt:i4>
      </vt:variant>
      <vt:variant>
        <vt:lpwstr/>
      </vt:variant>
      <vt:variant>
        <vt:lpwstr>_Toc429746674</vt:lpwstr>
      </vt:variant>
      <vt:variant>
        <vt:i4>1245247</vt:i4>
      </vt:variant>
      <vt:variant>
        <vt:i4>314</vt:i4>
      </vt:variant>
      <vt:variant>
        <vt:i4>0</vt:i4>
      </vt:variant>
      <vt:variant>
        <vt:i4>5</vt:i4>
      </vt:variant>
      <vt:variant>
        <vt:lpwstr/>
      </vt:variant>
      <vt:variant>
        <vt:lpwstr>_Toc429746673</vt:lpwstr>
      </vt:variant>
      <vt:variant>
        <vt:i4>1245247</vt:i4>
      </vt:variant>
      <vt:variant>
        <vt:i4>308</vt:i4>
      </vt:variant>
      <vt:variant>
        <vt:i4>0</vt:i4>
      </vt:variant>
      <vt:variant>
        <vt:i4>5</vt:i4>
      </vt:variant>
      <vt:variant>
        <vt:lpwstr/>
      </vt:variant>
      <vt:variant>
        <vt:lpwstr>_Toc429746672</vt:lpwstr>
      </vt:variant>
      <vt:variant>
        <vt:i4>1245247</vt:i4>
      </vt:variant>
      <vt:variant>
        <vt:i4>302</vt:i4>
      </vt:variant>
      <vt:variant>
        <vt:i4>0</vt:i4>
      </vt:variant>
      <vt:variant>
        <vt:i4>5</vt:i4>
      </vt:variant>
      <vt:variant>
        <vt:lpwstr/>
      </vt:variant>
      <vt:variant>
        <vt:lpwstr>_Toc429746671</vt:lpwstr>
      </vt:variant>
      <vt:variant>
        <vt:i4>1245247</vt:i4>
      </vt:variant>
      <vt:variant>
        <vt:i4>296</vt:i4>
      </vt:variant>
      <vt:variant>
        <vt:i4>0</vt:i4>
      </vt:variant>
      <vt:variant>
        <vt:i4>5</vt:i4>
      </vt:variant>
      <vt:variant>
        <vt:lpwstr/>
      </vt:variant>
      <vt:variant>
        <vt:lpwstr>_Toc429746670</vt:lpwstr>
      </vt:variant>
      <vt:variant>
        <vt:i4>1179711</vt:i4>
      </vt:variant>
      <vt:variant>
        <vt:i4>290</vt:i4>
      </vt:variant>
      <vt:variant>
        <vt:i4>0</vt:i4>
      </vt:variant>
      <vt:variant>
        <vt:i4>5</vt:i4>
      </vt:variant>
      <vt:variant>
        <vt:lpwstr/>
      </vt:variant>
      <vt:variant>
        <vt:lpwstr>_Toc429746669</vt:lpwstr>
      </vt:variant>
      <vt:variant>
        <vt:i4>1179711</vt:i4>
      </vt:variant>
      <vt:variant>
        <vt:i4>284</vt:i4>
      </vt:variant>
      <vt:variant>
        <vt:i4>0</vt:i4>
      </vt:variant>
      <vt:variant>
        <vt:i4>5</vt:i4>
      </vt:variant>
      <vt:variant>
        <vt:lpwstr/>
      </vt:variant>
      <vt:variant>
        <vt:lpwstr>_Toc429746668</vt:lpwstr>
      </vt:variant>
      <vt:variant>
        <vt:i4>1179711</vt:i4>
      </vt:variant>
      <vt:variant>
        <vt:i4>278</vt:i4>
      </vt:variant>
      <vt:variant>
        <vt:i4>0</vt:i4>
      </vt:variant>
      <vt:variant>
        <vt:i4>5</vt:i4>
      </vt:variant>
      <vt:variant>
        <vt:lpwstr/>
      </vt:variant>
      <vt:variant>
        <vt:lpwstr>_Toc429746667</vt:lpwstr>
      </vt:variant>
      <vt:variant>
        <vt:i4>1179711</vt:i4>
      </vt:variant>
      <vt:variant>
        <vt:i4>272</vt:i4>
      </vt:variant>
      <vt:variant>
        <vt:i4>0</vt:i4>
      </vt:variant>
      <vt:variant>
        <vt:i4>5</vt:i4>
      </vt:variant>
      <vt:variant>
        <vt:lpwstr/>
      </vt:variant>
      <vt:variant>
        <vt:lpwstr>_Toc429746666</vt:lpwstr>
      </vt:variant>
      <vt:variant>
        <vt:i4>1179711</vt:i4>
      </vt:variant>
      <vt:variant>
        <vt:i4>266</vt:i4>
      </vt:variant>
      <vt:variant>
        <vt:i4>0</vt:i4>
      </vt:variant>
      <vt:variant>
        <vt:i4>5</vt:i4>
      </vt:variant>
      <vt:variant>
        <vt:lpwstr/>
      </vt:variant>
      <vt:variant>
        <vt:lpwstr>_Toc429746665</vt:lpwstr>
      </vt:variant>
      <vt:variant>
        <vt:i4>1179711</vt:i4>
      </vt:variant>
      <vt:variant>
        <vt:i4>260</vt:i4>
      </vt:variant>
      <vt:variant>
        <vt:i4>0</vt:i4>
      </vt:variant>
      <vt:variant>
        <vt:i4>5</vt:i4>
      </vt:variant>
      <vt:variant>
        <vt:lpwstr/>
      </vt:variant>
      <vt:variant>
        <vt:lpwstr>_Toc429746664</vt:lpwstr>
      </vt:variant>
      <vt:variant>
        <vt:i4>1179711</vt:i4>
      </vt:variant>
      <vt:variant>
        <vt:i4>254</vt:i4>
      </vt:variant>
      <vt:variant>
        <vt:i4>0</vt:i4>
      </vt:variant>
      <vt:variant>
        <vt:i4>5</vt:i4>
      </vt:variant>
      <vt:variant>
        <vt:lpwstr/>
      </vt:variant>
      <vt:variant>
        <vt:lpwstr>_Toc429746663</vt:lpwstr>
      </vt:variant>
      <vt:variant>
        <vt:i4>1179711</vt:i4>
      </vt:variant>
      <vt:variant>
        <vt:i4>248</vt:i4>
      </vt:variant>
      <vt:variant>
        <vt:i4>0</vt:i4>
      </vt:variant>
      <vt:variant>
        <vt:i4>5</vt:i4>
      </vt:variant>
      <vt:variant>
        <vt:lpwstr/>
      </vt:variant>
      <vt:variant>
        <vt:lpwstr>_Toc429746662</vt:lpwstr>
      </vt:variant>
      <vt:variant>
        <vt:i4>1179711</vt:i4>
      </vt:variant>
      <vt:variant>
        <vt:i4>242</vt:i4>
      </vt:variant>
      <vt:variant>
        <vt:i4>0</vt:i4>
      </vt:variant>
      <vt:variant>
        <vt:i4>5</vt:i4>
      </vt:variant>
      <vt:variant>
        <vt:lpwstr/>
      </vt:variant>
      <vt:variant>
        <vt:lpwstr>_Toc429746661</vt:lpwstr>
      </vt:variant>
      <vt:variant>
        <vt:i4>1179711</vt:i4>
      </vt:variant>
      <vt:variant>
        <vt:i4>236</vt:i4>
      </vt:variant>
      <vt:variant>
        <vt:i4>0</vt:i4>
      </vt:variant>
      <vt:variant>
        <vt:i4>5</vt:i4>
      </vt:variant>
      <vt:variant>
        <vt:lpwstr/>
      </vt:variant>
      <vt:variant>
        <vt:lpwstr>_Toc429746660</vt:lpwstr>
      </vt:variant>
      <vt:variant>
        <vt:i4>1114175</vt:i4>
      </vt:variant>
      <vt:variant>
        <vt:i4>230</vt:i4>
      </vt:variant>
      <vt:variant>
        <vt:i4>0</vt:i4>
      </vt:variant>
      <vt:variant>
        <vt:i4>5</vt:i4>
      </vt:variant>
      <vt:variant>
        <vt:lpwstr/>
      </vt:variant>
      <vt:variant>
        <vt:lpwstr>_Toc429746659</vt:lpwstr>
      </vt:variant>
      <vt:variant>
        <vt:i4>1114175</vt:i4>
      </vt:variant>
      <vt:variant>
        <vt:i4>224</vt:i4>
      </vt:variant>
      <vt:variant>
        <vt:i4>0</vt:i4>
      </vt:variant>
      <vt:variant>
        <vt:i4>5</vt:i4>
      </vt:variant>
      <vt:variant>
        <vt:lpwstr/>
      </vt:variant>
      <vt:variant>
        <vt:lpwstr>_Toc429746658</vt:lpwstr>
      </vt:variant>
      <vt:variant>
        <vt:i4>1114175</vt:i4>
      </vt:variant>
      <vt:variant>
        <vt:i4>218</vt:i4>
      </vt:variant>
      <vt:variant>
        <vt:i4>0</vt:i4>
      </vt:variant>
      <vt:variant>
        <vt:i4>5</vt:i4>
      </vt:variant>
      <vt:variant>
        <vt:lpwstr/>
      </vt:variant>
      <vt:variant>
        <vt:lpwstr>_Toc429746657</vt:lpwstr>
      </vt:variant>
      <vt:variant>
        <vt:i4>1114175</vt:i4>
      </vt:variant>
      <vt:variant>
        <vt:i4>212</vt:i4>
      </vt:variant>
      <vt:variant>
        <vt:i4>0</vt:i4>
      </vt:variant>
      <vt:variant>
        <vt:i4>5</vt:i4>
      </vt:variant>
      <vt:variant>
        <vt:lpwstr/>
      </vt:variant>
      <vt:variant>
        <vt:lpwstr>_Toc429746656</vt:lpwstr>
      </vt:variant>
      <vt:variant>
        <vt:i4>1114175</vt:i4>
      </vt:variant>
      <vt:variant>
        <vt:i4>206</vt:i4>
      </vt:variant>
      <vt:variant>
        <vt:i4>0</vt:i4>
      </vt:variant>
      <vt:variant>
        <vt:i4>5</vt:i4>
      </vt:variant>
      <vt:variant>
        <vt:lpwstr/>
      </vt:variant>
      <vt:variant>
        <vt:lpwstr>_Toc429746655</vt:lpwstr>
      </vt:variant>
      <vt:variant>
        <vt:i4>1114175</vt:i4>
      </vt:variant>
      <vt:variant>
        <vt:i4>200</vt:i4>
      </vt:variant>
      <vt:variant>
        <vt:i4>0</vt:i4>
      </vt:variant>
      <vt:variant>
        <vt:i4>5</vt:i4>
      </vt:variant>
      <vt:variant>
        <vt:lpwstr/>
      </vt:variant>
      <vt:variant>
        <vt:lpwstr>_Toc429746654</vt:lpwstr>
      </vt:variant>
      <vt:variant>
        <vt:i4>1114175</vt:i4>
      </vt:variant>
      <vt:variant>
        <vt:i4>194</vt:i4>
      </vt:variant>
      <vt:variant>
        <vt:i4>0</vt:i4>
      </vt:variant>
      <vt:variant>
        <vt:i4>5</vt:i4>
      </vt:variant>
      <vt:variant>
        <vt:lpwstr/>
      </vt:variant>
      <vt:variant>
        <vt:lpwstr>_Toc429746653</vt:lpwstr>
      </vt:variant>
      <vt:variant>
        <vt:i4>1114175</vt:i4>
      </vt:variant>
      <vt:variant>
        <vt:i4>188</vt:i4>
      </vt:variant>
      <vt:variant>
        <vt:i4>0</vt:i4>
      </vt:variant>
      <vt:variant>
        <vt:i4>5</vt:i4>
      </vt:variant>
      <vt:variant>
        <vt:lpwstr/>
      </vt:variant>
      <vt:variant>
        <vt:lpwstr>_Toc429746652</vt:lpwstr>
      </vt:variant>
      <vt:variant>
        <vt:i4>1114175</vt:i4>
      </vt:variant>
      <vt:variant>
        <vt:i4>182</vt:i4>
      </vt:variant>
      <vt:variant>
        <vt:i4>0</vt:i4>
      </vt:variant>
      <vt:variant>
        <vt:i4>5</vt:i4>
      </vt:variant>
      <vt:variant>
        <vt:lpwstr/>
      </vt:variant>
      <vt:variant>
        <vt:lpwstr>_Toc429746651</vt:lpwstr>
      </vt:variant>
      <vt:variant>
        <vt:i4>1114175</vt:i4>
      </vt:variant>
      <vt:variant>
        <vt:i4>176</vt:i4>
      </vt:variant>
      <vt:variant>
        <vt:i4>0</vt:i4>
      </vt:variant>
      <vt:variant>
        <vt:i4>5</vt:i4>
      </vt:variant>
      <vt:variant>
        <vt:lpwstr/>
      </vt:variant>
      <vt:variant>
        <vt:lpwstr>_Toc429746650</vt:lpwstr>
      </vt:variant>
      <vt:variant>
        <vt:i4>1048639</vt:i4>
      </vt:variant>
      <vt:variant>
        <vt:i4>170</vt:i4>
      </vt:variant>
      <vt:variant>
        <vt:i4>0</vt:i4>
      </vt:variant>
      <vt:variant>
        <vt:i4>5</vt:i4>
      </vt:variant>
      <vt:variant>
        <vt:lpwstr/>
      </vt:variant>
      <vt:variant>
        <vt:lpwstr>_Toc429746649</vt:lpwstr>
      </vt:variant>
      <vt:variant>
        <vt:i4>1048639</vt:i4>
      </vt:variant>
      <vt:variant>
        <vt:i4>164</vt:i4>
      </vt:variant>
      <vt:variant>
        <vt:i4>0</vt:i4>
      </vt:variant>
      <vt:variant>
        <vt:i4>5</vt:i4>
      </vt:variant>
      <vt:variant>
        <vt:lpwstr/>
      </vt:variant>
      <vt:variant>
        <vt:lpwstr>_Toc429746648</vt:lpwstr>
      </vt:variant>
      <vt:variant>
        <vt:i4>1048639</vt:i4>
      </vt:variant>
      <vt:variant>
        <vt:i4>158</vt:i4>
      </vt:variant>
      <vt:variant>
        <vt:i4>0</vt:i4>
      </vt:variant>
      <vt:variant>
        <vt:i4>5</vt:i4>
      </vt:variant>
      <vt:variant>
        <vt:lpwstr/>
      </vt:variant>
      <vt:variant>
        <vt:lpwstr>_Toc429746647</vt:lpwstr>
      </vt:variant>
      <vt:variant>
        <vt:i4>1048639</vt:i4>
      </vt:variant>
      <vt:variant>
        <vt:i4>152</vt:i4>
      </vt:variant>
      <vt:variant>
        <vt:i4>0</vt:i4>
      </vt:variant>
      <vt:variant>
        <vt:i4>5</vt:i4>
      </vt:variant>
      <vt:variant>
        <vt:lpwstr/>
      </vt:variant>
      <vt:variant>
        <vt:lpwstr>_Toc429746646</vt:lpwstr>
      </vt:variant>
      <vt:variant>
        <vt:i4>1048639</vt:i4>
      </vt:variant>
      <vt:variant>
        <vt:i4>146</vt:i4>
      </vt:variant>
      <vt:variant>
        <vt:i4>0</vt:i4>
      </vt:variant>
      <vt:variant>
        <vt:i4>5</vt:i4>
      </vt:variant>
      <vt:variant>
        <vt:lpwstr/>
      </vt:variant>
      <vt:variant>
        <vt:lpwstr>_Toc429746645</vt:lpwstr>
      </vt:variant>
      <vt:variant>
        <vt:i4>1048639</vt:i4>
      </vt:variant>
      <vt:variant>
        <vt:i4>140</vt:i4>
      </vt:variant>
      <vt:variant>
        <vt:i4>0</vt:i4>
      </vt:variant>
      <vt:variant>
        <vt:i4>5</vt:i4>
      </vt:variant>
      <vt:variant>
        <vt:lpwstr/>
      </vt:variant>
      <vt:variant>
        <vt:lpwstr>_Toc429746644</vt:lpwstr>
      </vt:variant>
      <vt:variant>
        <vt:i4>1048639</vt:i4>
      </vt:variant>
      <vt:variant>
        <vt:i4>134</vt:i4>
      </vt:variant>
      <vt:variant>
        <vt:i4>0</vt:i4>
      </vt:variant>
      <vt:variant>
        <vt:i4>5</vt:i4>
      </vt:variant>
      <vt:variant>
        <vt:lpwstr/>
      </vt:variant>
      <vt:variant>
        <vt:lpwstr>_Toc429746643</vt:lpwstr>
      </vt:variant>
      <vt:variant>
        <vt:i4>1048639</vt:i4>
      </vt:variant>
      <vt:variant>
        <vt:i4>128</vt:i4>
      </vt:variant>
      <vt:variant>
        <vt:i4>0</vt:i4>
      </vt:variant>
      <vt:variant>
        <vt:i4>5</vt:i4>
      </vt:variant>
      <vt:variant>
        <vt:lpwstr/>
      </vt:variant>
      <vt:variant>
        <vt:lpwstr>_Toc429746642</vt:lpwstr>
      </vt:variant>
      <vt:variant>
        <vt:i4>1048639</vt:i4>
      </vt:variant>
      <vt:variant>
        <vt:i4>122</vt:i4>
      </vt:variant>
      <vt:variant>
        <vt:i4>0</vt:i4>
      </vt:variant>
      <vt:variant>
        <vt:i4>5</vt:i4>
      </vt:variant>
      <vt:variant>
        <vt:lpwstr/>
      </vt:variant>
      <vt:variant>
        <vt:lpwstr>_Toc429746641</vt:lpwstr>
      </vt:variant>
      <vt:variant>
        <vt:i4>1048639</vt:i4>
      </vt:variant>
      <vt:variant>
        <vt:i4>116</vt:i4>
      </vt:variant>
      <vt:variant>
        <vt:i4>0</vt:i4>
      </vt:variant>
      <vt:variant>
        <vt:i4>5</vt:i4>
      </vt:variant>
      <vt:variant>
        <vt:lpwstr/>
      </vt:variant>
      <vt:variant>
        <vt:lpwstr>_Toc429746640</vt:lpwstr>
      </vt:variant>
      <vt:variant>
        <vt:i4>1507391</vt:i4>
      </vt:variant>
      <vt:variant>
        <vt:i4>110</vt:i4>
      </vt:variant>
      <vt:variant>
        <vt:i4>0</vt:i4>
      </vt:variant>
      <vt:variant>
        <vt:i4>5</vt:i4>
      </vt:variant>
      <vt:variant>
        <vt:lpwstr/>
      </vt:variant>
      <vt:variant>
        <vt:lpwstr>_Toc429746639</vt:lpwstr>
      </vt:variant>
      <vt:variant>
        <vt:i4>1507391</vt:i4>
      </vt:variant>
      <vt:variant>
        <vt:i4>104</vt:i4>
      </vt:variant>
      <vt:variant>
        <vt:i4>0</vt:i4>
      </vt:variant>
      <vt:variant>
        <vt:i4>5</vt:i4>
      </vt:variant>
      <vt:variant>
        <vt:lpwstr/>
      </vt:variant>
      <vt:variant>
        <vt:lpwstr>_Toc429746638</vt:lpwstr>
      </vt:variant>
      <vt:variant>
        <vt:i4>1507391</vt:i4>
      </vt:variant>
      <vt:variant>
        <vt:i4>98</vt:i4>
      </vt:variant>
      <vt:variant>
        <vt:i4>0</vt:i4>
      </vt:variant>
      <vt:variant>
        <vt:i4>5</vt:i4>
      </vt:variant>
      <vt:variant>
        <vt:lpwstr/>
      </vt:variant>
      <vt:variant>
        <vt:lpwstr>_Toc429746637</vt:lpwstr>
      </vt:variant>
      <vt:variant>
        <vt:i4>1507391</vt:i4>
      </vt:variant>
      <vt:variant>
        <vt:i4>92</vt:i4>
      </vt:variant>
      <vt:variant>
        <vt:i4>0</vt:i4>
      </vt:variant>
      <vt:variant>
        <vt:i4>5</vt:i4>
      </vt:variant>
      <vt:variant>
        <vt:lpwstr/>
      </vt:variant>
      <vt:variant>
        <vt:lpwstr>_Toc429746636</vt:lpwstr>
      </vt:variant>
      <vt:variant>
        <vt:i4>1507391</vt:i4>
      </vt:variant>
      <vt:variant>
        <vt:i4>86</vt:i4>
      </vt:variant>
      <vt:variant>
        <vt:i4>0</vt:i4>
      </vt:variant>
      <vt:variant>
        <vt:i4>5</vt:i4>
      </vt:variant>
      <vt:variant>
        <vt:lpwstr/>
      </vt:variant>
      <vt:variant>
        <vt:lpwstr>_Toc429746635</vt:lpwstr>
      </vt:variant>
      <vt:variant>
        <vt:i4>1507391</vt:i4>
      </vt:variant>
      <vt:variant>
        <vt:i4>80</vt:i4>
      </vt:variant>
      <vt:variant>
        <vt:i4>0</vt:i4>
      </vt:variant>
      <vt:variant>
        <vt:i4>5</vt:i4>
      </vt:variant>
      <vt:variant>
        <vt:lpwstr/>
      </vt:variant>
      <vt:variant>
        <vt:lpwstr>_Toc429746634</vt:lpwstr>
      </vt:variant>
      <vt:variant>
        <vt:i4>1507391</vt:i4>
      </vt:variant>
      <vt:variant>
        <vt:i4>74</vt:i4>
      </vt:variant>
      <vt:variant>
        <vt:i4>0</vt:i4>
      </vt:variant>
      <vt:variant>
        <vt:i4>5</vt:i4>
      </vt:variant>
      <vt:variant>
        <vt:lpwstr/>
      </vt:variant>
      <vt:variant>
        <vt:lpwstr>_Toc429746633</vt:lpwstr>
      </vt:variant>
      <vt:variant>
        <vt:i4>1507391</vt:i4>
      </vt:variant>
      <vt:variant>
        <vt:i4>68</vt:i4>
      </vt:variant>
      <vt:variant>
        <vt:i4>0</vt:i4>
      </vt:variant>
      <vt:variant>
        <vt:i4>5</vt:i4>
      </vt:variant>
      <vt:variant>
        <vt:lpwstr/>
      </vt:variant>
      <vt:variant>
        <vt:lpwstr>_Toc429746632</vt:lpwstr>
      </vt:variant>
      <vt:variant>
        <vt:i4>1507391</vt:i4>
      </vt:variant>
      <vt:variant>
        <vt:i4>62</vt:i4>
      </vt:variant>
      <vt:variant>
        <vt:i4>0</vt:i4>
      </vt:variant>
      <vt:variant>
        <vt:i4>5</vt:i4>
      </vt:variant>
      <vt:variant>
        <vt:lpwstr/>
      </vt:variant>
      <vt:variant>
        <vt:lpwstr>_Toc429746631</vt:lpwstr>
      </vt:variant>
      <vt:variant>
        <vt:i4>1507391</vt:i4>
      </vt:variant>
      <vt:variant>
        <vt:i4>56</vt:i4>
      </vt:variant>
      <vt:variant>
        <vt:i4>0</vt:i4>
      </vt:variant>
      <vt:variant>
        <vt:i4>5</vt:i4>
      </vt:variant>
      <vt:variant>
        <vt:lpwstr/>
      </vt:variant>
      <vt:variant>
        <vt:lpwstr>_Toc429746630</vt:lpwstr>
      </vt:variant>
      <vt:variant>
        <vt:i4>1441855</vt:i4>
      </vt:variant>
      <vt:variant>
        <vt:i4>50</vt:i4>
      </vt:variant>
      <vt:variant>
        <vt:i4>0</vt:i4>
      </vt:variant>
      <vt:variant>
        <vt:i4>5</vt:i4>
      </vt:variant>
      <vt:variant>
        <vt:lpwstr/>
      </vt:variant>
      <vt:variant>
        <vt:lpwstr>_Toc429746629</vt:lpwstr>
      </vt:variant>
      <vt:variant>
        <vt:i4>1441855</vt:i4>
      </vt:variant>
      <vt:variant>
        <vt:i4>44</vt:i4>
      </vt:variant>
      <vt:variant>
        <vt:i4>0</vt:i4>
      </vt:variant>
      <vt:variant>
        <vt:i4>5</vt:i4>
      </vt:variant>
      <vt:variant>
        <vt:lpwstr/>
      </vt:variant>
      <vt:variant>
        <vt:lpwstr>_Toc429746628</vt:lpwstr>
      </vt:variant>
      <vt:variant>
        <vt:i4>1441855</vt:i4>
      </vt:variant>
      <vt:variant>
        <vt:i4>38</vt:i4>
      </vt:variant>
      <vt:variant>
        <vt:i4>0</vt:i4>
      </vt:variant>
      <vt:variant>
        <vt:i4>5</vt:i4>
      </vt:variant>
      <vt:variant>
        <vt:lpwstr/>
      </vt:variant>
      <vt:variant>
        <vt:lpwstr>_Toc429746627</vt:lpwstr>
      </vt:variant>
      <vt:variant>
        <vt:i4>1441855</vt:i4>
      </vt:variant>
      <vt:variant>
        <vt:i4>32</vt:i4>
      </vt:variant>
      <vt:variant>
        <vt:i4>0</vt:i4>
      </vt:variant>
      <vt:variant>
        <vt:i4>5</vt:i4>
      </vt:variant>
      <vt:variant>
        <vt:lpwstr/>
      </vt:variant>
      <vt:variant>
        <vt:lpwstr>_Toc429746626</vt:lpwstr>
      </vt:variant>
      <vt:variant>
        <vt:i4>1441855</vt:i4>
      </vt:variant>
      <vt:variant>
        <vt:i4>26</vt:i4>
      </vt:variant>
      <vt:variant>
        <vt:i4>0</vt:i4>
      </vt:variant>
      <vt:variant>
        <vt:i4>5</vt:i4>
      </vt:variant>
      <vt:variant>
        <vt:lpwstr/>
      </vt:variant>
      <vt:variant>
        <vt:lpwstr>_Toc429746625</vt:lpwstr>
      </vt:variant>
      <vt:variant>
        <vt:i4>1441855</vt:i4>
      </vt:variant>
      <vt:variant>
        <vt:i4>20</vt:i4>
      </vt:variant>
      <vt:variant>
        <vt:i4>0</vt:i4>
      </vt:variant>
      <vt:variant>
        <vt:i4>5</vt:i4>
      </vt:variant>
      <vt:variant>
        <vt:lpwstr/>
      </vt:variant>
      <vt:variant>
        <vt:lpwstr>_Toc429746624</vt:lpwstr>
      </vt:variant>
      <vt:variant>
        <vt:i4>1441855</vt:i4>
      </vt:variant>
      <vt:variant>
        <vt:i4>14</vt:i4>
      </vt:variant>
      <vt:variant>
        <vt:i4>0</vt:i4>
      </vt:variant>
      <vt:variant>
        <vt:i4>5</vt:i4>
      </vt:variant>
      <vt:variant>
        <vt:lpwstr/>
      </vt:variant>
      <vt:variant>
        <vt:lpwstr>_Toc429746623</vt:lpwstr>
      </vt:variant>
      <vt:variant>
        <vt:i4>1441855</vt:i4>
      </vt:variant>
      <vt:variant>
        <vt:i4>8</vt:i4>
      </vt:variant>
      <vt:variant>
        <vt:i4>0</vt:i4>
      </vt:variant>
      <vt:variant>
        <vt:i4>5</vt:i4>
      </vt:variant>
      <vt:variant>
        <vt:lpwstr/>
      </vt:variant>
      <vt:variant>
        <vt:lpwstr>_Toc429746622</vt:lpwstr>
      </vt:variant>
      <vt:variant>
        <vt:i4>1441855</vt:i4>
      </vt:variant>
      <vt:variant>
        <vt:i4>2</vt:i4>
      </vt:variant>
      <vt:variant>
        <vt:i4>0</vt:i4>
      </vt:variant>
      <vt:variant>
        <vt:i4>5</vt:i4>
      </vt:variant>
      <vt:variant>
        <vt:lpwstr/>
      </vt:variant>
      <vt:variant>
        <vt:lpwstr>_Toc429746621</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EBA staff</dc:creator>
  <cp:lastModifiedBy>BENT BOUDJEMAA Atika (DGT)</cp:lastModifiedBy>
  <cp:revision>3</cp:revision>
  <cp:lastPrinted>2015-09-18T12:59:00Z</cp:lastPrinted>
  <dcterms:created xsi:type="dcterms:W3CDTF">2017-10-17T10:14:00Z</dcterms:created>
  <dcterms:modified xsi:type="dcterms:W3CDTF">2017-10-17T15:01:00Z</dcterms:modified>
</cp:coreProperties>
</file>