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0F3D62"/>
          <w:sz w:val="32"/>
          <w:szCs w:val="32"/>
        </w:rPr>
        <w:t xml:space="preserve">MANUAL DE USUARIO OFICIAL</w:t>
      </w:r>
    </w:p>
    <w:p>
      <w:pPr>
        <w:spacing w:after="300" w:before="50"/>
        <w:jc w:val="center"/>
      </w:pPr>
      <w:r>
        <w:rPr>
          <w:rFonts w:ascii="Arial" w:cs="Arial" w:eastAsia="Arial" w:hAnsi="Arial"/>
          <w:b/>
          <w:bCs/>
          <w:color w:val="0284C7"/>
          <w:sz w:val="22"/>
          <w:szCs w:val="22"/>
        </w:rPr>
        <w:t xml:space="preserve">SISTEMA SOFTCOM - GESTIÓN DE CORRESPONDENCIA &amp; TRAZABILIDAD DOCUMENTAL</w:t>
      </w:r>
    </w:p>
    <w:p>
      <w:pPr>
        <w:spacing w:after="300"/>
        <w:jc w:val="center"/>
      </w:pPr>
      <w:r>
        <w:rPr>
          <w:rFonts w:ascii="Arial" w:cs="Arial" w:eastAsia="Arial" w:hAnsi="Arial"/>
          <w:color w:val="64748B"/>
          <w:sz w:val="19"/>
          <w:szCs w:val="19"/>
        </w:rPr>
        <w:t xml:space="preserve">SnowPoint Healthcare — Consultora en Salud &amp; Gestión Hospitalaria
Versión Oficial 2.5 (Edición 2026) | Conforme al MOF MAN-002 Rev 2.0</w:t>
      </w:r>
    </w:p>
    <w:p>
      <w:pPr>
        <w:spacing w:after="250" w:before="100"/>
      </w:pPr>
      <w:r>
        <w:rPr>
          <w:rFonts w:ascii="Arial" w:cs="Arial" w:eastAsia="Arial" w:hAnsi="Arial"/>
          <w:color w:val="CBD5E1"/>
        </w:rPr>
        <w:t xml:space="preserve">───────────────────────────────────────────────────────────────────</w:t>
      </w:r>
    </w:p>
    <w:p>
      <w:pPr>
        <w:pStyle w:val="Heading1"/>
        <w:spacing w:after="150" w:before="400"/>
      </w:pPr>
      <w:r>
        <w:rPr>
          <w:rFonts w:ascii="Arial" w:cs="Arial" w:eastAsia="Arial" w:hAnsi="Arial"/>
          <w:b/>
          <w:bCs/>
          <w:color w:val="0F3D62"/>
          <w:sz w:val="26"/>
          <w:szCs w:val="26"/>
        </w:rPr>
        <w:t xml:space="preserve">1. Introducción &amp; Propósito del Sistema</w:t>
      </w:r>
    </w:p>
    <w:p>
      <w:pPr>
        <w:spacing w:after="80" w:before="80" w:line="280"/>
      </w:pPr>
      <w:r>
        <w:rPr>
          <w:rFonts w:ascii="Arial" w:cs="Arial" w:eastAsia="Arial" w:hAnsi="Arial"/>
          <w:b w:val="false"/>
          <w:bCs w:val="false"/>
          <w:i w:val="false"/>
          <w:iCs w:val="false"/>
          <w:color w:val="1E293B"/>
          <w:sz w:val="20"/>
          <w:szCs w:val="20"/>
        </w:rPr>
        <w:t xml:space="preserve">SoftCom es la plataforma informática centralizada de SnowPoint Healthcare diseñada para administrar el flujo, custodia, derivación y trazabilidad de toda la correspondencia médica, auditorías clínicas y proyectos interinstitucionales.</w:t>
      </w:r>
    </w:p>
    <w:p>
      <w:pPr>
        <w:pStyle w:val="ListParagraph"/>
        <w:numPr>
          <w:ilvl w:val="0"/>
          <w:numId w:val="1"/>
        </w:numPr>
        <w:spacing w:after="60" w:before="60" w:line="260"/>
      </w:pPr>
      <w:r>
        <w:rPr>
          <w:rFonts w:ascii="Arial" w:cs="Arial" w:eastAsia="Arial" w:hAnsi="Arial"/>
          <w:b/>
          <w:bCs/>
          <w:color w:val="0F3D62"/>
          <w:sz w:val="20"/>
          <w:szCs w:val="20"/>
        </w:rPr>
        <w:t xml:space="preserve">Trazabilidad Completa: </w:t>
      </w:r>
      <w:r>
        <w:rPr>
          <w:rFonts w:ascii="Arial" w:cs="Arial" w:eastAsia="Arial" w:hAnsi="Arial"/>
          <w:color w:val="1E293B"/>
          <w:sz w:val="20"/>
          <w:szCs w:val="20"/>
        </w:rPr>
        <w:t xml:space="preserve">Garantizar la trazabilidad total de cada expediente desde su recepción hasta su resolución.</w:t>
      </w:r>
    </w:p>
    <w:p>
      <w:pPr>
        <w:pStyle w:val="ListParagraph"/>
        <w:numPr>
          <w:ilvl w:val="0"/>
          <w:numId w:val="1"/>
        </w:numPr>
        <w:spacing w:after="60" w:before="60" w:line="260"/>
      </w:pPr>
      <w:r>
        <w:rPr>
          <w:rFonts w:ascii="Arial" w:cs="Arial" w:eastAsia="Arial" w:hAnsi="Arial"/>
          <w:b/>
          <w:bCs/>
          <w:color w:val="0F3D62"/>
          <w:sz w:val="20"/>
          <w:szCs w:val="20"/>
        </w:rPr>
        <w:t xml:space="preserve">Seguridad Criptográfica: </w:t>
      </w:r>
      <w:r>
        <w:rPr>
          <w:rFonts w:ascii="Arial" w:cs="Arial" w:eastAsia="Arial" w:hAnsi="Arial"/>
          <w:color w:val="1E293B"/>
          <w:sz w:val="20"/>
          <w:szCs w:val="20"/>
        </w:rPr>
        <w:t xml:space="preserve">Protección de la privacidad médica mediante Cifrado de Extremo a Extremo (E2EE) con algoritmo AES-GCM de 256 bits y Hash SHA-256.</w:t>
      </w:r>
    </w:p>
    <w:p>
      <w:pPr>
        <w:pStyle w:val="ListParagraph"/>
        <w:numPr>
          <w:ilvl w:val="0"/>
          <w:numId w:val="1"/>
        </w:numPr>
        <w:spacing w:after="60" w:before="60" w:line="260"/>
      </w:pPr>
      <w:r>
        <w:rPr>
          <w:rFonts w:ascii="Arial" w:cs="Arial" w:eastAsia="Arial" w:hAnsi="Arial"/>
          <w:b/>
          <w:bCs/>
          <w:color w:val="0F3D62"/>
          <w:sz w:val="20"/>
          <w:szCs w:val="20"/>
        </w:rPr>
        <w:t xml:space="preserve">Estandarización MOF: </w:t>
      </w:r>
      <w:r>
        <w:rPr>
          <w:rFonts w:ascii="Arial" w:cs="Arial" w:eastAsia="Arial" w:hAnsi="Arial"/>
          <w:color w:val="1E293B"/>
          <w:sz w:val="20"/>
          <w:szCs w:val="20"/>
        </w:rPr>
        <w:t xml:space="preserve">Adaptado rigurosamente al Manual de Organización y Funciones (MOF MAN-002 Rev 2.0).</w:t>
      </w:r>
    </w:p>
    <w:p>
      <w:pPr>
        <w:pStyle w:val="ListParagraph"/>
        <w:numPr>
          <w:ilvl w:val="0"/>
          <w:numId w:val="1"/>
        </w:numPr>
        <w:spacing w:after="60" w:before="60" w:line="260"/>
      </w:pPr>
      <w:r>
        <w:rPr>
          <w:rFonts w:ascii="Arial" w:cs="Arial" w:eastAsia="Arial" w:hAnsi="Arial"/>
          <w:b/>
          <w:bCs/>
          <w:color w:val="0F3D62"/>
          <w:sz w:val="20"/>
          <w:szCs w:val="20"/>
        </w:rPr>
        <w:t xml:space="preserve">Cero Papel: </w:t>
      </w:r>
      <w:r>
        <w:rPr>
          <w:rFonts w:ascii="Arial" w:cs="Arial" w:eastAsia="Arial" w:hAnsi="Arial"/>
          <w:color w:val="1E293B"/>
          <w:sz w:val="20"/>
          <w:szCs w:val="20"/>
        </w:rPr>
        <w:t xml:space="preserve">Digitalización integral con soporte de firmas electrónicas y reportes oficiales en formato PDF.</w:t>
      </w:r>
    </w:p>
    <w:p>
      <w:pPr>
        <w:pStyle w:val="Heading1"/>
        <w:spacing w:after="150" w:before="400"/>
      </w:pPr>
      <w:r>
        <w:rPr>
          <w:rFonts w:ascii="Arial" w:cs="Arial" w:eastAsia="Arial" w:hAnsi="Arial"/>
          <w:b/>
          <w:bCs/>
          <w:color w:val="0F3D62"/>
          <w:sz w:val="26"/>
          <w:szCs w:val="26"/>
        </w:rPr>
        <w:t xml:space="preserve">2. Estructura Organizacional &amp; Roles (MOF MAN-002)</w:t>
      </w:r>
    </w:p>
    <w:p>
      <w:pPr>
        <w:spacing w:after="80" w:before="80" w:line="280"/>
      </w:pPr>
      <w:r>
        <w:rPr>
          <w:rFonts w:ascii="Arial" w:cs="Arial" w:eastAsia="Arial" w:hAnsi="Arial"/>
          <w:b w:val="false"/>
          <w:bCs w:val="false"/>
          <w:i w:val="false"/>
          <w:iCs w:val="false"/>
          <w:color w:val="1E293B"/>
          <w:sz w:val="20"/>
          <w:szCs w:val="20"/>
        </w:rPr>
        <w:t xml:space="preserve">El sistema implementa los perfiles y atribuciones estipuladas en el organigrama oficial: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0F3D62" w:val="clear"/>
            <w:tcMar>
              <w:top w:type="dxa" w:w="120"/>
              <w:left w:type="dxa" w:w="120"/>
              <w:bottom w:type="dxa" w:w="120"/>
              <w:right w:type="dxa" w:w="120"/>
            </w:tcMar>
          </w:tcPr>
          <w:p>
            <w:r>
              <w:rPr>
                <w:rFonts w:ascii="Arial" w:cs="Arial" w:eastAsia="Arial" w:hAnsi="Arial"/>
                <w:b/>
                <w:bCs/>
                <w:color w:val="FFFFFF"/>
                <w:sz w:val="19"/>
                <w:szCs w:val="19"/>
              </w:rPr>
              <w:t xml:space="preserve">Rol en SoftCom</w:t>
            </w:r>
          </w:p>
        </w:tc>
        <w:tc>
          <w:tcPr>
            <w:shd w:fill="0F3D62" w:val="clear"/>
            <w:tcMar>
              <w:top w:type="dxa" w:w="120"/>
              <w:left w:type="dxa" w:w="120"/>
              <w:bottom w:type="dxa" w:w="120"/>
              <w:right w:type="dxa" w:w="120"/>
            </w:tcMar>
          </w:tcPr>
          <w:p>
            <w:r>
              <w:rPr>
                <w:rFonts w:ascii="Arial" w:cs="Arial" w:eastAsia="Arial" w:hAnsi="Arial"/>
                <w:b/>
                <w:bCs/>
                <w:color w:val="FFFFFF"/>
                <w:sz w:val="19"/>
                <w:szCs w:val="19"/>
              </w:rPr>
              <w:t xml:space="preserve">Código de Puesto</w:t>
            </w:r>
          </w:p>
        </w:tc>
        <w:tc>
          <w:tcPr>
            <w:shd w:fill="0F3D62" w:val="clear"/>
            <w:tcMar>
              <w:top w:type="dxa" w:w="120"/>
              <w:left w:type="dxa" w:w="120"/>
              <w:bottom w:type="dxa" w:w="120"/>
              <w:right w:type="dxa" w:w="120"/>
            </w:tcMar>
          </w:tcPr>
          <w:p>
            <w:r>
              <w:rPr>
                <w:rFonts w:ascii="Arial" w:cs="Arial" w:eastAsia="Arial" w:hAnsi="Arial"/>
                <w:b/>
                <w:bCs/>
                <w:color w:val="FFFFFF"/>
                <w:sz w:val="19"/>
                <w:szCs w:val="19"/>
              </w:rPr>
              <w:t xml:space="preserve">Unidad / Área</w:t>
            </w:r>
          </w:p>
        </w:tc>
        <w:tc>
          <w:tcPr>
            <w:shd w:fill="0F3D62" w:val="clear"/>
            <w:tcMar>
              <w:top w:type="dxa" w:w="120"/>
              <w:left w:type="dxa" w:w="120"/>
              <w:bottom w:type="dxa" w:w="120"/>
              <w:right w:type="dxa" w:w="120"/>
            </w:tcMar>
          </w:tcPr>
          <w:p>
            <w:r>
              <w:rPr>
                <w:rFonts w:ascii="Arial" w:cs="Arial" w:eastAsia="Arial" w:hAnsi="Arial"/>
                <w:b/>
                <w:bCs/>
                <w:color w:val="FFFFFF"/>
                <w:sz w:val="19"/>
                <w:szCs w:val="19"/>
              </w:rPr>
              <w:t xml:space="preserve">Atribuciones Principales</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bCs/>
                <w:color w:val="0F3D62"/>
                <w:sz w:val="19"/>
                <w:szCs w:val="19"/>
              </w:rPr>
              <w:t xml:space="preserve">Director General Ejecutivo</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DIR-EXE-001</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Dirección General (DIR-EXE)</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Visualización global de proyectos, directrices y aprobación final.</w:t>
            </w:r>
          </w:p>
        </w:tc>
      </w:tr>
      <w:tr>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bCs/>
                <w:color w:val="0F3D62"/>
                <w:sz w:val="19"/>
                <w:szCs w:val="19"/>
              </w:rPr>
              <w:t xml:space="preserve">Jefe de Unidad Operativa</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JEF-DIG / CAL / EPI</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Unidades Operativas</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Asignación de casos, supervisión de área y derivación especializada.</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bCs/>
                <w:color w:val="0F3D62"/>
                <w:sz w:val="19"/>
                <w:szCs w:val="19"/>
              </w:rPr>
              <w:t xml:space="preserve">Consultor Sénior / Auditor</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CON-SR-001</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Auditoría Médica / Consultoría</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Evaluación pericial, auditoría de historias clínicas y dictámenes.</w:t>
            </w:r>
          </w:p>
        </w:tc>
      </w:tr>
      <w:tr>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bCs/>
                <w:color w:val="0F3D62"/>
                <w:sz w:val="19"/>
                <w:szCs w:val="19"/>
              </w:rPr>
              <w:t xml:space="preserve">Consultor Asociado / Analista</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CON-AS-001</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Análisis &amp; Bioestadística</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Procesamiento de datos biomédicos y elaboración de informes.</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bCs/>
                <w:color w:val="0F3D62"/>
                <w:sz w:val="19"/>
                <w:szCs w:val="19"/>
              </w:rPr>
              <w:t xml:space="preserve">Gestión Documental &amp; Archivo</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DOC-REC-001</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Archivo Central</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Arial" w:cs="Arial" w:eastAsia="Arial" w:hAnsi="Arial"/>
                <w:b w:val="false"/>
                <w:bCs w:val="false"/>
                <w:color w:val="1E293B"/>
                <w:sz w:val="19"/>
                <w:szCs w:val="19"/>
              </w:rPr>
              <w:t xml:space="preserve">Recepción externa, digitalización y generación inicial de Hoja de Ruta.</w:t>
            </w:r>
          </w:p>
        </w:tc>
      </w:tr>
      <w:tr>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bCs/>
                <w:color w:val="0F3D62"/>
                <w:sz w:val="19"/>
                <w:szCs w:val="19"/>
              </w:rPr>
              <w:t xml:space="preserve">Administrador General</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ADM-SIS-001</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Sistemas &amp; Seguridad TI</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r>
              <w:rPr>
                <w:rFonts w:ascii="Arial" w:cs="Arial" w:eastAsia="Arial" w:hAnsi="Arial"/>
                <w:b w:val="false"/>
                <w:bCs w:val="false"/>
                <w:color w:val="1E293B"/>
                <w:sz w:val="19"/>
                <w:szCs w:val="19"/>
              </w:rPr>
              <w:t xml:space="preserve">Gestión de personal, seguridad de accesos y mantenimiento del servidor.</w:t>
            </w:r>
          </w:p>
        </w:tc>
      </w:tr>
    </w:tbl>
    <w:p>
      <w:pPr>
        <w:pStyle w:val="Heading1"/>
        <w:spacing w:after="150" w:before="400"/>
      </w:pPr>
      <w:r>
        <w:rPr>
          <w:rFonts w:ascii="Arial" w:cs="Arial" w:eastAsia="Arial" w:hAnsi="Arial"/>
          <w:b/>
          <w:bCs/>
          <w:color w:val="0F3D62"/>
          <w:sz w:val="26"/>
          <w:szCs w:val="26"/>
        </w:rPr>
        <w:t xml:space="preserve">3. Acceso &amp; Autenticación Segura</w:t>
      </w:r>
    </w:p>
    <w:p>
      <w:pPr>
        <w:spacing w:after="80" w:before="80" w:line="280"/>
      </w:pPr>
      <w:r>
        <w:rPr>
          <w:rFonts w:ascii="Arial" w:cs="Arial" w:eastAsia="Arial" w:hAnsi="Arial"/>
          <w:b w:val="false"/>
          <w:bCs w:val="false"/>
          <w:i w:val="false"/>
          <w:iCs w:val="false"/>
          <w:color w:val="1E293B"/>
          <w:sz w:val="20"/>
          <w:szCs w:val="20"/>
        </w:rPr>
        <w:t xml:space="preserve">Para ingresar a la plataforma, cada funcionario debe identificarse mediante sus credenciales institucionales:</w:t>
      </w:r>
    </w:p>
    <w:p>
      <w:pPr>
        <w:pStyle w:val="ListParagraph"/>
        <w:numPr>
          <w:ilvl w:val="0"/>
          <w:numId w:val="1"/>
        </w:numPr>
        <w:spacing w:after="60" w:before="60" w:line="260"/>
      </w:pPr>
      <w:r>
        <w:rPr>
          <w:rFonts w:ascii="Arial" w:cs="Arial" w:eastAsia="Arial" w:hAnsi="Arial"/>
          <w:b/>
          <w:bCs/>
          <w:color w:val="0F3D62"/>
          <w:sz w:val="20"/>
          <w:szCs w:val="20"/>
        </w:rPr>
        <w:t xml:space="preserve">1. Enlace Institucional: </w:t>
      </w:r>
      <w:r>
        <w:rPr>
          <w:rFonts w:ascii="Arial" w:cs="Arial" w:eastAsia="Arial" w:hAnsi="Arial"/>
          <w:color w:val="1E293B"/>
          <w:sz w:val="20"/>
          <w:szCs w:val="20"/>
        </w:rPr>
        <w:t xml:space="preserve">Ingrese a https://softcom-correspondencia.vercel.app desde cualquier navegador moderno (Chrome, Edge, Firefox).</w:t>
      </w:r>
    </w:p>
    <w:p>
      <w:pPr>
        <w:pStyle w:val="ListParagraph"/>
        <w:numPr>
          <w:ilvl w:val="0"/>
          <w:numId w:val="1"/>
        </w:numPr>
        <w:spacing w:after="60" w:before="60" w:line="260"/>
      </w:pPr>
      <w:r>
        <w:rPr>
          <w:rFonts w:ascii="Arial" w:cs="Arial" w:eastAsia="Arial" w:hAnsi="Arial"/>
          <w:b/>
          <w:bCs/>
          <w:color w:val="0F3D62"/>
          <w:sz w:val="20"/>
          <w:szCs w:val="20"/>
        </w:rPr>
        <w:t xml:space="preserve">2. Usuario: </w:t>
      </w:r>
      <w:r>
        <w:rPr>
          <w:rFonts w:ascii="Arial" w:cs="Arial" w:eastAsia="Arial" w:hAnsi="Arial"/>
          <w:color w:val="1E293B"/>
          <w:sz w:val="20"/>
          <w:szCs w:val="20"/>
        </w:rPr>
        <w:t xml:space="preserve">Digite su nombre de usuario asignado (ej. admin, dmedica, consultor.calidad).</w:t>
      </w:r>
    </w:p>
    <w:p>
      <w:pPr>
        <w:pStyle w:val="ListParagraph"/>
        <w:numPr>
          <w:ilvl w:val="0"/>
          <w:numId w:val="1"/>
        </w:numPr>
        <w:spacing w:after="60" w:before="60" w:line="260"/>
      </w:pPr>
      <w:r>
        <w:rPr>
          <w:rFonts w:ascii="Arial" w:cs="Arial" w:eastAsia="Arial" w:hAnsi="Arial"/>
          <w:b/>
          <w:bCs/>
          <w:color w:val="0F3D62"/>
          <w:sz w:val="20"/>
          <w:szCs w:val="20"/>
        </w:rPr>
        <w:t xml:space="preserve">3. Contraseña: </w:t>
      </w:r>
      <w:r>
        <w:rPr>
          <w:rFonts w:ascii="Arial" w:cs="Arial" w:eastAsia="Arial" w:hAnsi="Arial"/>
          <w:color w:val="1E293B"/>
          <w:sz w:val="20"/>
          <w:szCs w:val="20"/>
        </w:rPr>
        <w:t xml:space="preserve">Ingrese su contraseña confidencial. El sistema utiliza hashing criptográfico para máxima protección.</w:t>
      </w:r>
    </w:p>
    <w:p>
      <w:pPr>
        <w:pStyle w:val="ListParagraph"/>
        <w:numPr>
          <w:ilvl w:val="0"/>
          <w:numId w:val="1"/>
        </w:numPr>
        <w:spacing w:after="60" w:before="60" w:line="260"/>
      </w:pPr>
      <w:r>
        <w:rPr>
          <w:rFonts w:ascii="Arial" w:cs="Arial" w:eastAsia="Arial" w:hAnsi="Arial"/>
          <w:b/>
          <w:bCs/>
          <w:color w:val="0F3D62"/>
          <w:sz w:val="20"/>
          <w:szCs w:val="20"/>
        </w:rPr>
        <w:t xml:space="preserve">4. Cierre de Sesión: </w:t>
      </w:r>
      <w:r>
        <w:rPr>
          <w:rFonts w:ascii="Arial" w:cs="Arial" w:eastAsia="Arial" w:hAnsi="Arial"/>
          <w:color w:val="1E293B"/>
          <w:sz w:val="20"/>
          <w:szCs w:val="20"/>
        </w:rPr>
        <w:t xml:space="preserve">Al finalizar sus labores, haga clic en 'Cerrar Sesión' para salvaguardar la privacidad de los expedientes.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D9488" w:sz="24"/>
              <w:bottom w:val="none"/>
              <w:right w:val="none"/>
            </w:tcBorders>
            <w:shd w:fill="F0FDFA" w:val="clear"/>
            <w:tcMar>
              <w:top w:type="dxa" w:w="150"/>
              <w:left w:type="dxa" w:w="200"/>
              <w:bottom w:type="dxa" w:w="150"/>
              <w:right w:type="dxa" w:w="200"/>
            </w:tcMar>
          </w:tcPr>
          <w:p>
            <w:pPr>
              <w:spacing w:after="60"/>
            </w:pPr>
            <w:r>
              <w:rPr>
                <w:rFonts w:ascii="Arial" w:cs="Arial" w:eastAsia="Arial" w:hAnsi="Arial"/>
                <w:b/>
                <w:bCs/>
                <w:color w:val="0D9488"/>
                <w:sz w:val="20"/>
                <w:szCs w:val="20"/>
              </w:rPr>
              <w:t xml:space="preserve">🔒 Política de Seguridad de Accesos</w:t>
            </w:r>
          </w:p>
          <w:p>
            <w:r>
              <w:rPr>
                <w:rFonts w:ascii="Arial" w:cs="Arial" w:eastAsia="Arial" w:hAnsi="Arial"/>
                <w:color w:val="1E293B"/>
                <w:sz w:val="19"/>
                <w:szCs w:val="19"/>
              </w:rPr>
              <w:t xml:space="preserve">Se han removido accesos rápidos directos para asegurar que solo personal acreditado pueda acceder al sistema. Nunca divulgue su contraseña.</w:t>
            </w:r>
          </w:p>
        </w:tc>
      </w:tr>
    </w:tbl>
    <w:p>
      <w:pPr>
        <w:pStyle w:val="Heading1"/>
        <w:spacing w:after="150" w:before="400"/>
      </w:pPr>
      <w:r>
        <w:rPr>
          <w:rFonts w:ascii="Arial" w:cs="Arial" w:eastAsia="Arial" w:hAnsi="Arial"/>
          <w:b/>
          <w:bCs/>
          <w:color w:val="0F3D62"/>
          <w:sz w:val="26"/>
          <w:szCs w:val="26"/>
        </w:rPr>
        <w:t xml:space="preserve">4. Módulo de Bandejas de Correspondencia</w:t>
      </w:r>
    </w:p>
    <w:p>
      <w:pPr>
        <w:spacing w:after="80" w:before="80" w:line="280"/>
      </w:pPr>
      <w:r>
        <w:rPr>
          <w:rFonts w:ascii="Arial" w:cs="Arial" w:eastAsia="Arial" w:hAnsi="Arial"/>
          <w:b w:val="false"/>
          <w:bCs w:val="false"/>
          <w:i w:val="false"/>
          <w:iCs w:val="false"/>
          <w:color w:val="1E293B"/>
          <w:sz w:val="20"/>
          <w:szCs w:val="20"/>
        </w:rPr>
        <w:t xml:space="preserve">El flujo de trabajo se gestiona a través de 4 bandejas operativas principales:</w:t>
      </w:r>
    </w:p>
    <w:p>
      <w:pPr>
        <w:pStyle w:val="ListParagraph"/>
        <w:numPr>
          <w:ilvl w:val="0"/>
          <w:numId w:val="1"/>
        </w:numPr>
        <w:spacing w:after="60" w:before="60" w:line="260"/>
      </w:pPr>
      <w:r>
        <w:rPr>
          <w:rFonts w:ascii="Arial" w:cs="Arial" w:eastAsia="Arial" w:hAnsi="Arial"/>
          <w:b/>
          <w:bCs/>
          <w:color w:val="0F3D62"/>
          <w:sz w:val="20"/>
          <w:szCs w:val="20"/>
        </w:rPr>
        <w:t xml:space="preserve">A. Recibidos (Por Aceptar): </w:t>
      </w:r>
      <w:r>
        <w:rPr>
          <w:rFonts w:ascii="Arial" w:cs="Arial" w:eastAsia="Arial" w:hAnsi="Arial"/>
          <w:color w:val="1E293B"/>
          <w:sz w:val="20"/>
          <w:szCs w:val="20"/>
        </w:rPr>
        <w:t xml:space="preserve">Contiene los expedientes derivados a su persona que aún no han sido aceptados. Debe presionar el botón 'Recepcionar' para asumir la custodia formal.</w:t>
      </w:r>
    </w:p>
    <w:p>
      <w:pPr>
        <w:pStyle w:val="ListParagraph"/>
        <w:numPr>
          <w:ilvl w:val="0"/>
          <w:numId w:val="1"/>
        </w:numPr>
        <w:spacing w:after="60" w:before="60" w:line="260"/>
      </w:pPr>
      <w:r>
        <w:rPr>
          <w:rFonts w:ascii="Arial" w:cs="Arial" w:eastAsia="Arial" w:hAnsi="Arial"/>
          <w:b/>
          <w:bCs/>
          <w:color w:val="0F3D62"/>
          <w:sz w:val="20"/>
          <w:szCs w:val="20"/>
        </w:rPr>
        <w:t xml:space="preserve">B. En Proceso / Trámite: </w:t>
      </w:r>
      <w:r>
        <w:rPr>
          <w:rFonts w:ascii="Arial" w:cs="Arial" w:eastAsia="Arial" w:hAnsi="Arial"/>
          <w:color w:val="1E293B"/>
          <w:sz w:val="20"/>
          <w:szCs w:val="20"/>
        </w:rPr>
        <w:t xml:space="preserve">Trámites bajo su custodia activa en proceso de elaboración, análisis o dictamen pericial.</w:t>
      </w:r>
    </w:p>
    <w:p>
      <w:pPr>
        <w:pStyle w:val="ListParagraph"/>
        <w:numPr>
          <w:ilvl w:val="0"/>
          <w:numId w:val="1"/>
        </w:numPr>
        <w:spacing w:after="60" w:before="60" w:line="260"/>
      </w:pPr>
      <w:r>
        <w:rPr>
          <w:rFonts w:ascii="Arial" w:cs="Arial" w:eastAsia="Arial" w:hAnsi="Arial"/>
          <w:b/>
          <w:bCs/>
          <w:color w:val="0F3D62"/>
          <w:sz w:val="20"/>
          <w:szCs w:val="20"/>
        </w:rPr>
        <w:t xml:space="preserve">C. Derivados (Enviados): </w:t>
      </w:r>
      <w:r>
        <w:rPr>
          <w:rFonts w:ascii="Arial" w:cs="Arial" w:eastAsia="Arial" w:hAnsi="Arial"/>
          <w:color w:val="1E293B"/>
          <w:sz w:val="20"/>
          <w:szCs w:val="20"/>
        </w:rPr>
        <w:t xml:space="preserve">Registro de expedientes que usted ha remitido a otros consultores, con estado de aceptación en tiempo real.</w:t>
      </w:r>
    </w:p>
    <w:p>
      <w:pPr>
        <w:pStyle w:val="ListParagraph"/>
        <w:numPr>
          <w:ilvl w:val="0"/>
          <w:numId w:val="1"/>
        </w:numPr>
        <w:spacing w:after="60" w:before="60" w:line="260"/>
      </w:pPr>
      <w:r>
        <w:rPr>
          <w:rFonts w:ascii="Arial" w:cs="Arial" w:eastAsia="Arial" w:hAnsi="Arial"/>
          <w:b/>
          <w:bCs/>
          <w:color w:val="0F3D62"/>
          <w:sz w:val="20"/>
          <w:szCs w:val="20"/>
        </w:rPr>
        <w:t xml:space="preserve">D. Archivados / Concluidos: </w:t>
      </w:r>
      <w:r>
        <w:rPr>
          <w:rFonts w:ascii="Arial" w:cs="Arial" w:eastAsia="Arial" w:hAnsi="Arial"/>
          <w:color w:val="1E293B"/>
          <w:sz w:val="20"/>
          <w:szCs w:val="20"/>
        </w:rPr>
        <w:t xml:space="preserve">Repositorio de auditorías concluidas o expedientes archivados para consulta histórica.</w:t>
      </w:r>
    </w:p>
    <w:p>
      <w:pPr>
        <w:pStyle w:val="Heading1"/>
        <w:spacing w:after="150" w:before="400"/>
      </w:pPr>
      <w:r>
        <w:rPr>
          <w:rFonts w:ascii="Arial" w:cs="Arial" w:eastAsia="Arial" w:hAnsi="Arial"/>
          <w:b/>
          <w:bCs/>
          <w:color w:val="0F3D62"/>
          <w:sz w:val="26"/>
          <w:szCs w:val="26"/>
        </w:rPr>
        <w:t xml:space="preserve">5. Registro de Nuevos Trámites / Expedientes</w:t>
      </w:r>
    </w:p>
    <w:p>
      <w:pPr>
        <w:spacing w:after="80" w:before="80" w:line="280"/>
      </w:pPr>
      <w:r>
        <w:rPr>
          <w:rFonts w:ascii="Arial" w:cs="Arial" w:eastAsia="Arial" w:hAnsi="Arial"/>
          <w:b w:val="false"/>
          <w:bCs w:val="false"/>
          <w:i w:val="false"/>
          <w:iCs w:val="false"/>
          <w:color w:val="1E293B"/>
          <w:sz w:val="20"/>
          <w:szCs w:val="20"/>
        </w:rPr>
        <w:t xml:space="preserve">Para generar un nuevo expediente en SoftCom:</w:t>
      </w:r>
    </w:p>
    <w:p>
      <w:pPr>
        <w:pStyle w:val="ListParagraph"/>
        <w:numPr>
          <w:ilvl w:val="0"/>
          <w:numId w:val="1"/>
        </w:numPr>
        <w:spacing w:after="60" w:before="60" w:line="260"/>
      </w:pPr>
      <w:r>
        <w:rPr>
          <w:rFonts w:ascii="Arial" w:cs="Arial" w:eastAsia="Arial" w:hAnsi="Arial"/>
          <w:b/>
          <w:bCs/>
          <w:color w:val="0F3D62"/>
          <w:sz w:val="20"/>
          <w:szCs w:val="20"/>
        </w:rPr>
        <w:t xml:space="preserve">Paso 1: </w:t>
      </w:r>
      <w:r>
        <w:rPr>
          <w:rFonts w:ascii="Arial" w:cs="Arial" w:eastAsia="Arial" w:hAnsi="Arial"/>
          <w:color w:val="1E293B"/>
          <w:sz w:val="20"/>
          <w:szCs w:val="20"/>
        </w:rPr>
        <w:t xml:space="preserve">Presione el botón 'Nuevo Trámite' en la barra de navegación.</w:t>
      </w:r>
    </w:p>
    <w:p>
      <w:pPr>
        <w:pStyle w:val="ListParagraph"/>
        <w:numPr>
          <w:ilvl w:val="0"/>
          <w:numId w:val="1"/>
        </w:numPr>
        <w:spacing w:after="60" w:before="60" w:line="260"/>
      </w:pPr>
      <w:r>
        <w:rPr>
          <w:rFonts w:ascii="Arial" w:cs="Arial" w:eastAsia="Arial" w:hAnsi="Arial"/>
          <w:b/>
          <w:bCs/>
          <w:color w:val="0F3D62"/>
          <w:sz w:val="20"/>
          <w:szCs w:val="20"/>
        </w:rPr>
        <w:t xml:space="preserve">Paso 2: Tipo de Trámite: </w:t>
      </w:r>
      <w:r>
        <w:rPr>
          <w:rFonts w:ascii="Arial" w:cs="Arial" w:eastAsia="Arial" w:hAnsi="Arial"/>
          <w:color w:val="1E293B"/>
          <w:sz w:val="20"/>
          <w:szCs w:val="20"/>
        </w:rPr>
        <w:t xml:space="preserve">Seleccione 'INTERNA' (origen dentro de SnowPoint) o 'EXTERNA' (hospitales, seguros, clientes).</w:t>
      </w:r>
    </w:p>
    <w:p>
      <w:pPr>
        <w:pStyle w:val="ListParagraph"/>
        <w:numPr>
          <w:ilvl w:val="0"/>
          <w:numId w:val="1"/>
        </w:numPr>
        <w:spacing w:after="60" w:before="60" w:line="260"/>
      </w:pPr>
      <w:r>
        <w:rPr>
          <w:rFonts w:ascii="Arial" w:cs="Arial" w:eastAsia="Arial" w:hAnsi="Arial"/>
          <w:b/>
          <w:bCs/>
          <w:color w:val="0F3D62"/>
          <w:sz w:val="20"/>
          <w:szCs w:val="20"/>
        </w:rPr>
        <w:t xml:space="preserve">Paso 3: Datos Generales: </w:t>
      </w:r>
      <w:r>
        <w:rPr>
          <w:rFonts w:ascii="Arial" w:cs="Arial" w:eastAsia="Arial" w:hAnsi="Arial"/>
          <w:color w:val="1E293B"/>
          <w:sz w:val="20"/>
          <w:szCs w:val="20"/>
        </w:rPr>
        <w:t xml:space="preserve">Complete el Asunto, Prioridad (Baja, Media o Urgencia Médica) y datos del Remitente.</w:t>
      </w:r>
    </w:p>
    <w:p>
      <w:pPr>
        <w:pStyle w:val="ListParagraph"/>
        <w:numPr>
          <w:ilvl w:val="0"/>
          <w:numId w:val="1"/>
        </w:numPr>
        <w:spacing w:after="60" w:before="60" w:line="260"/>
      </w:pPr>
      <w:r>
        <w:rPr>
          <w:rFonts w:ascii="Arial" w:cs="Arial" w:eastAsia="Arial" w:hAnsi="Arial"/>
          <w:b/>
          <w:bCs/>
          <w:color w:val="0F3D62"/>
          <w:sz w:val="20"/>
          <w:szCs w:val="20"/>
        </w:rPr>
        <w:t xml:space="preserve">Paso 4: Derivación Inicial: </w:t>
      </w:r>
      <w:r>
        <w:rPr>
          <w:rFonts w:ascii="Arial" w:cs="Arial" w:eastAsia="Arial" w:hAnsi="Arial"/>
          <w:color w:val="1E293B"/>
          <w:sz w:val="20"/>
          <w:szCs w:val="20"/>
        </w:rPr>
        <w:t xml:space="preserve">Seleccione el destinatario y redacte la instrucción médica o proveído de inicio.</w:t>
      </w:r>
    </w:p>
    <w:p>
      <w:pPr>
        <w:pStyle w:val="ListParagraph"/>
        <w:numPr>
          <w:ilvl w:val="0"/>
          <w:numId w:val="1"/>
        </w:numPr>
        <w:spacing w:after="60" w:before="60" w:line="260"/>
      </w:pPr>
      <w:r>
        <w:rPr>
          <w:rFonts w:ascii="Arial" w:cs="Arial" w:eastAsia="Arial" w:hAnsi="Arial"/>
          <w:b/>
          <w:bCs/>
          <w:color w:val="0F3D62"/>
          <w:sz w:val="20"/>
          <w:szCs w:val="20"/>
        </w:rPr>
        <w:t xml:space="preserve">Paso 5: Adjuntos: </w:t>
      </w:r>
      <w:r>
        <w:rPr>
          <w:rFonts w:ascii="Arial" w:cs="Arial" w:eastAsia="Arial" w:hAnsi="Arial"/>
          <w:color w:val="1E293B"/>
          <w:sz w:val="20"/>
          <w:szCs w:val="20"/>
        </w:rPr>
        <w:t xml:space="preserve">Suba hasta 5 archivos digitales (PDF, Word, Excel, Imágenes).</w:t>
      </w:r>
    </w:p>
    <w:p>
      <w:pPr>
        <w:pStyle w:val="ListParagraph"/>
        <w:numPr>
          <w:ilvl w:val="0"/>
          <w:numId w:val="1"/>
        </w:numPr>
        <w:spacing w:after="60" w:before="60" w:line="260"/>
      </w:pPr>
      <w:r>
        <w:rPr>
          <w:rFonts w:ascii="Arial" w:cs="Arial" w:eastAsia="Arial" w:hAnsi="Arial"/>
          <w:b/>
          <w:bCs/>
          <w:color w:val="0F3D62"/>
          <w:sz w:val="20"/>
          <w:szCs w:val="20"/>
        </w:rPr>
        <w:t xml:space="preserve">Paso 6: Emisión de Hoja de Ruta: </w:t>
      </w:r>
      <w:r>
        <w:rPr>
          <w:rFonts w:ascii="Arial" w:cs="Arial" w:eastAsia="Arial" w:hAnsi="Arial"/>
          <w:color w:val="1E293B"/>
          <w:sz w:val="20"/>
          <w:szCs w:val="20"/>
        </w:rPr>
        <w:t xml:space="preserve">Al guardar, el sistema asigna automáticamente el correlativo oficial (ej. HR-INT-2026-00001).</w:t>
      </w:r>
    </w:p>
    <w:p>
      <w:pPr>
        <w:pStyle w:val="Heading1"/>
        <w:spacing w:after="150" w:before="400"/>
      </w:pPr>
      <w:r>
        <w:rPr>
          <w:rFonts w:ascii="Arial" w:cs="Arial" w:eastAsia="Arial" w:hAnsi="Arial"/>
          <w:b/>
          <w:bCs/>
          <w:color w:val="0F3D62"/>
          <w:sz w:val="26"/>
          <w:szCs w:val="26"/>
        </w:rPr>
        <w:t xml:space="preserve">6. Cifrado de Extremo a Extremo (E2EE) &amp; Integridad</w:t>
      </w:r>
    </w:p>
    <w:p>
      <w:pPr>
        <w:spacing w:after="80" w:before="80" w:line="280"/>
      </w:pPr>
      <w:r>
        <w:rPr>
          <w:rFonts w:ascii="Arial" w:cs="Arial" w:eastAsia="Arial" w:hAnsi="Arial"/>
          <w:b w:val="false"/>
          <w:bCs w:val="false"/>
          <w:i w:val="false"/>
          <w:iCs w:val="false"/>
          <w:color w:val="1E293B"/>
          <w:sz w:val="20"/>
          <w:szCs w:val="20"/>
        </w:rPr>
        <w:t xml:space="preserve">SoftCom incorpora un protocolo de Cifrado de Extremo a Extremo de última generación para proteger datos médicos sensibles:</w:t>
      </w:r>
    </w:p>
    <w:p>
      <w:pPr>
        <w:pStyle w:val="ListParagraph"/>
        <w:numPr>
          <w:ilvl w:val="0"/>
          <w:numId w:val="1"/>
        </w:numPr>
        <w:spacing w:after="60" w:before="60" w:line="260"/>
      </w:pPr>
      <w:r>
        <w:rPr>
          <w:rFonts w:ascii="Arial" w:cs="Arial" w:eastAsia="Arial" w:hAnsi="Arial"/>
          <w:b/>
          <w:bCs/>
          <w:color w:val="0F3D62"/>
          <w:sz w:val="20"/>
          <w:szCs w:val="20"/>
        </w:rPr>
        <w:t xml:space="preserve">Cifrado Local AES-256: </w:t>
      </w:r>
      <w:r>
        <w:rPr>
          <w:rFonts w:ascii="Arial" w:cs="Arial" w:eastAsia="Arial" w:hAnsi="Arial"/>
          <w:color w:val="1E293B"/>
          <w:sz w:val="20"/>
          <w:szCs w:val="20"/>
        </w:rPr>
        <w:t xml:space="preserve">Las notas clínicas, asuntos y proveídos se cifran en su propio navegador con AES-GCM (llave de 256 bits) antes de salir de su equipo.</w:t>
      </w:r>
    </w:p>
    <w:p>
      <w:pPr>
        <w:pStyle w:val="ListParagraph"/>
        <w:numPr>
          <w:ilvl w:val="0"/>
          <w:numId w:val="1"/>
        </w:numPr>
        <w:spacing w:after="60" w:before="60" w:line="260"/>
      </w:pPr>
      <w:r>
        <w:rPr>
          <w:rFonts w:ascii="Arial" w:cs="Arial" w:eastAsia="Arial" w:hAnsi="Arial"/>
          <w:b/>
          <w:bCs/>
          <w:color w:val="0F3D62"/>
          <w:sz w:val="20"/>
          <w:szCs w:val="20"/>
        </w:rPr>
        <w:t xml:space="preserve">Integridad SHA-256: </w:t>
      </w:r>
      <w:r>
        <w:rPr>
          <w:rFonts w:ascii="Arial" w:cs="Arial" w:eastAsia="Arial" w:hAnsi="Arial"/>
          <w:color w:val="1E293B"/>
          <w:sz w:val="20"/>
          <w:szCs w:val="20"/>
        </w:rPr>
        <w:t xml:space="preserve">Se genera un Hash Criptográfico SHA-256 que permite certificar en cualquier momento que el expediente no fue alterado.</w:t>
      </w:r>
    </w:p>
    <w:p>
      <w:pPr>
        <w:pStyle w:val="ListParagraph"/>
        <w:numPr>
          <w:ilvl w:val="0"/>
          <w:numId w:val="1"/>
        </w:numPr>
        <w:spacing w:after="60" w:before="60" w:line="260"/>
      </w:pPr>
      <w:r>
        <w:rPr>
          <w:rFonts w:ascii="Arial" w:cs="Arial" w:eastAsia="Arial" w:hAnsi="Arial"/>
          <w:b/>
          <w:bCs/>
          <w:color w:val="0F3D62"/>
          <w:sz w:val="20"/>
          <w:szCs w:val="20"/>
        </w:rPr>
        <w:t xml:space="preserve">Distintivos de Seguridad: </w:t>
      </w:r>
      <w:r>
        <w:rPr>
          <w:rFonts w:ascii="Arial" w:cs="Arial" w:eastAsia="Arial" w:hAnsi="Arial"/>
          <w:color w:val="1E293B"/>
          <w:sz w:val="20"/>
          <w:szCs w:val="20"/>
        </w:rPr>
        <w:t xml:space="preserve">Los expedientes cifrados muestran la insignia [🔒 E2EE] en bandejas y una tarjeta de Certificación de Seguridad en el detalle.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D9488" w:sz="24"/>
              <w:bottom w:val="none"/>
              <w:right w:val="none"/>
            </w:tcBorders>
            <w:shd w:fill="F0FDFA" w:val="clear"/>
            <w:tcMar>
              <w:top w:type="dxa" w:w="150"/>
              <w:left w:type="dxa" w:w="200"/>
              <w:bottom w:type="dxa" w:w="150"/>
              <w:right w:type="dxa" w:w="200"/>
            </w:tcMar>
          </w:tcPr>
          <w:p>
            <w:pPr>
              <w:spacing w:after="60"/>
            </w:pPr>
            <w:r>
              <w:rPr>
                <w:rFonts w:ascii="Arial" w:cs="Arial" w:eastAsia="Arial" w:hAnsi="Arial"/>
                <w:b/>
                <w:bCs/>
                <w:color w:val="0D9488"/>
                <w:sz w:val="20"/>
                <w:szCs w:val="20"/>
              </w:rPr>
              <w:t xml:space="preserve">🔒 Confidencialidad Garantizada</w:t>
            </w:r>
          </w:p>
          <w:p>
            <w:r>
              <w:rPr>
                <w:rFonts w:ascii="Arial" w:cs="Arial" w:eastAsia="Arial" w:hAnsi="Arial"/>
                <w:color w:val="1E293B"/>
                <w:sz w:val="19"/>
                <w:szCs w:val="19"/>
              </w:rPr>
              <w:t xml:space="preserve">Ni los servidores intermedios ni personas no autorizadas pueden leer el contenido de un expediente protegido con E2EE. Solo los destinatarios con acceso al sistema pueden descifrarlo en su estación de trabajo.</w:t>
            </w:r>
          </w:p>
        </w:tc>
      </w:tr>
    </w:tbl>
    <w:p>
      <w:pPr>
        <w:pStyle w:val="Heading1"/>
        <w:spacing w:after="150" w:before="400"/>
      </w:pPr>
      <w:r>
        <w:rPr>
          <w:rFonts w:ascii="Arial" w:cs="Arial" w:eastAsia="Arial" w:hAnsi="Arial"/>
          <w:b/>
          <w:bCs/>
          <w:color w:val="0F3D62"/>
          <w:sz w:val="26"/>
          <w:szCs w:val="26"/>
        </w:rPr>
        <w:t xml:space="preserve">7. Gestión del Flujo: Recepción, Derivación y Cierre</w:t>
      </w:r>
    </w:p>
    <w:p>
      <w:pPr>
        <w:spacing w:after="80" w:before="80" w:line="280"/>
      </w:pPr>
      <w:r>
        <w:rPr>
          <w:rFonts w:ascii="Arial" w:cs="Arial" w:eastAsia="Arial" w:hAnsi="Arial"/>
          <w:b w:val="false"/>
          <w:bCs w:val="false"/>
          <w:i w:val="false"/>
          <w:iCs w:val="false"/>
          <w:color w:val="1E293B"/>
          <w:sz w:val="20"/>
          <w:szCs w:val="20"/>
        </w:rPr>
        <w:t xml:space="preserve">Al abrir un expediente en el Detalle de Correspondencia, el custodio puede ejecutar las siguientes acciones:</w:t>
      </w:r>
    </w:p>
    <w:p>
      <w:pPr>
        <w:pStyle w:val="ListParagraph"/>
        <w:numPr>
          <w:ilvl w:val="0"/>
          <w:numId w:val="1"/>
        </w:numPr>
        <w:spacing w:after="60" w:before="60" w:line="260"/>
      </w:pPr>
      <w:r>
        <w:rPr>
          <w:rFonts w:ascii="Arial" w:cs="Arial" w:eastAsia="Arial" w:hAnsi="Arial"/>
          <w:b/>
          <w:bCs/>
          <w:color w:val="0F3D62"/>
          <w:sz w:val="20"/>
          <w:szCs w:val="20"/>
        </w:rPr>
        <w:t xml:space="preserve">1. Recepcionar Trámite: </w:t>
      </w:r>
      <w:r>
        <w:rPr>
          <w:rFonts w:ascii="Arial" w:cs="Arial" w:eastAsia="Arial" w:hAnsi="Arial"/>
          <w:color w:val="1E293B"/>
          <w:sz w:val="20"/>
          <w:szCs w:val="20"/>
        </w:rPr>
        <w:t xml:space="preserve">Confirma la recepción del trámite en su bandeja personal y habilita las acciones de respuesta.</w:t>
      </w:r>
    </w:p>
    <w:p>
      <w:pPr>
        <w:pStyle w:val="ListParagraph"/>
        <w:numPr>
          <w:ilvl w:val="0"/>
          <w:numId w:val="1"/>
        </w:numPr>
        <w:spacing w:after="60" w:before="60" w:line="260"/>
      </w:pPr>
      <w:r>
        <w:rPr>
          <w:rFonts w:ascii="Arial" w:cs="Arial" w:eastAsia="Arial" w:hAnsi="Arial"/>
          <w:b/>
          <w:bCs/>
          <w:color w:val="0F3D62"/>
          <w:sz w:val="20"/>
          <w:szCs w:val="20"/>
        </w:rPr>
        <w:t xml:space="preserve">2. Derivar: </w:t>
      </w:r>
      <w:r>
        <w:rPr>
          <w:rFonts w:ascii="Arial" w:cs="Arial" w:eastAsia="Arial" w:hAnsi="Arial"/>
          <w:color w:val="1E293B"/>
          <w:sz w:val="20"/>
          <w:szCs w:val="20"/>
        </w:rPr>
        <w:t xml:space="preserve">Permite transferir la custodia del expediente a otro especialista adjuntando un proveído con instrucciones.</w:t>
      </w:r>
    </w:p>
    <w:p>
      <w:pPr>
        <w:pStyle w:val="ListParagraph"/>
        <w:numPr>
          <w:ilvl w:val="0"/>
          <w:numId w:val="1"/>
        </w:numPr>
        <w:spacing w:after="60" w:before="60" w:line="260"/>
      </w:pPr>
      <w:r>
        <w:rPr>
          <w:rFonts w:ascii="Arial" w:cs="Arial" w:eastAsia="Arial" w:hAnsi="Arial"/>
          <w:b/>
          <w:bCs/>
          <w:color w:val="0F3D62"/>
          <w:sz w:val="20"/>
          <w:szCs w:val="20"/>
        </w:rPr>
        <w:t xml:space="preserve">3. Archivar: </w:t>
      </w:r>
      <w:r>
        <w:rPr>
          <w:rFonts w:ascii="Arial" w:cs="Arial" w:eastAsia="Arial" w:hAnsi="Arial"/>
          <w:color w:val="1E293B"/>
          <w:sz w:val="20"/>
          <w:szCs w:val="20"/>
        </w:rPr>
        <w:t xml:space="preserve">Envía el expediente al repositorio pasivo si no requiere más actuaciones inmediatas.</w:t>
      </w:r>
    </w:p>
    <w:p>
      <w:pPr>
        <w:pStyle w:val="ListParagraph"/>
        <w:numPr>
          <w:ilvl w:val="0"/>
          <w:numId w:val="1"/>
        </w:numPr>
        <w:spacing w:after="60" w:before="60" w:line="260"/>
      </w:pPr>
      <w:r>
        <w:rPr>
          <w:rFonts w:ascii="Arial" w:cs="Arial" w:eastAsia="Arial" w:hAnsi="Arial"/>
          <w:b/>
          <w:bCs/>
          <w:color w:val="0F3D62"/>
          <w:sz w:val="20"/>
          <w:szCs w:val="20"/>
        </w:rPr>
        <w:t xml:space="preserve">4. Concluir: </w:t>
      </w:r>
      <w:r>
        <w:rPr>
          <w:rFonts w:ascii="Arial" w:cs="Arial" w:eastAsia="Arial" w:hAnsi="Arial"/>
          <w:color w:val="1E293B"/>
          <w:sz w:val="20"/>
          <w:szCs w:val="20"/>
        </w:rPr>
        <w:t xml:space="preserve">Finaliza satisfactoriamente el requerimiento, emitiendo el dictamen de cierre.</w:t>
      </w:r>
    </w:p>
    <w:p>
      <w:pPr>
        <w:pStyle w:val="Heading1"/>
        <w:spacing w:after="150" w:before="400"/>
      </w:pPr>
      <w:r>
        <w:rPr>
          <w:rFonts w:ascii="Arial" w:cs="Arial" w:eastAsia="Arial" w:hAnsi="Arial"/>
          <w:b/>
          <w:bCs/>
          <w:color w:val="0F3D62"/>
          <w:sz w:val="26"/>
          <w:szCs w:val="26"/>
        </w:rPr>
        <w:t xml:space="preserve">8. Administración de Personal &amp; Consultores (Módulo Admin)</w:t>
      </w:r>
    </w:p>
    <w:p>
      <w:pPr>
        <w:spacing w:after="80" w:before="80" w:line="280"/>
      </w:pPr>
      <w:r>
        <w:rPr>
          <w:rFonts w:ascii="Arial" w:cs="Arial" w:eastAsia="Arial" w:hAnsi="Arial"/>
          <w:b w:val="false"/>
          <w:bCs w:val="false"/>
          <w:i w:val="false"/>
          <w:iCs w:val="false"/>
          <w:color w:val="1E293B"/>
          <w:sz w:val="20"/>
          <w:szCs w:val="20"/>
        </w:rPr>
        <w:t xml:space="preserve">El Administrador General cuenta con herramientas avanzadas para la gestión de usuarios:</w:t>
      </w:r>
    </w:p>
    <w:p>
      <w:pPr>
        <w:pStyle w:val="ListParagraph"/>
        <w:numPr>
          <w:ilvl w:val="0"/>
          <w:numId w:val="1"/>
        </w:numPr>
        <w:spacing w:after="60" w:before="60" w:line="260"/>
      </w:pPr>
      <w:r>
        <w:rPr>
          <w:rFonts w:ascii="Arial" w:cs="Arial" w:eastAsia="Arial" w:hAnsi="Arial"/>
          <w:b/>
          <w:bCs/>
          <w:color w:val="0F3D62"/>
          <w:sz w:val="20"/>
          <w:szCs w:val="20"/>
        </w:rPr>
        <w:t xml:space="preserve">Alta de Consultores: </w:t>
      </w:r>
      <w:r>
        <w:rPr>
          <w:rFonts w:ascii="Arial" w:cs="Arial" w:eastAsia="Arial" w:hAnsi="Arial"/>
          <w:color w:val="1E293B"/>
          <w:sz w:val="20"/>
          <w:szCs w:val="20"/>
        </w:rPr>
        <w:t xml:space="preserve">Registro de nuevos médicos y consultores vinculándolos a su unidad del MOF y asignándoles rol.</w:t>
      </w:r>
    </w:p>
    <w:p>
      <w:pPr>
        <w:pStyle w:val="ListParagraph"/>
        <w:numPr>
          <w:ilvl w:val="0"/>
          <w:numId w:val="1"/>
        </w:numPr>
        <w:spacing w:after="60" w:before="60" w:line="260"/>
      </w:pPr>
      <w:r>
        <w:rPr>
          <w:rFonts w:ascii="Arial" w:cs="Arial" w:eastAsia="Arial" w:hAnsi="Arial"/>
          <w:b/>
          <w:bCs/>
          <w:color w:val="0F3D62"/>
          <w:sz w:val="20"/>
          <w:szCs w:val="20"/>
        </w:rPr>
        <w:t xml:space="preserve">Restablecimiento de Contraseña: </w:t>
      </w:r>
      <w:r>
        <w:rPr>
          <w:rFonts w:ascii="Arial" w:cs="Arial" w:eastAsia="Arial" w:hAnsi="Arial"/>
          <w:color w:val="1E293B"/>
          <w:sz w:val="20"/>
          <w:szCs w:val="20"/>
        </w:rPr>
        <w:t xml:space="preserve">Cambio y restablecimiento seguro de claves de acceso en caso de olvido.</w:t>
      </w:r>
    </w:p>
    <w:p>
      <w:pPr>
        <w:pStyle w:val="ListParagraph"/>
        <w:numPr>
          <w:ilvl w:val="0"/>
          <w:numId w:val="1"/>
        </w:numPr>
        <w:spacing w:after="60" w:before="60" w:line="260"/>
      </w:pPr>
      <w:r>
        <w:rPr>
          <w:rFonts w:ascii="Arial" w:cs="Arial" w:eastAsia="Arial" w:hAnsi="Arial"/>
          <w:b/>
          <w:bCs/>
          <w:color w:val="0F3D62"/>
          <w:sz w:val="20"/>
          <w:szCs w:val="20"/>
        </w:rPr>
        <w:t xml:space="preserve">Suspensión de Accesos: </w:t>
      </w:r>
      <w:r>
        <w:rPr>
          <w:rFonts w:ascii="Arial" w:cs="Arial" w:eastAsia="Arial" w:hAnsi="Arial"/>
          <w:color w:val="1E293B"/>
          <w:sz w:val="20"/>
          <w:szCs w:val="20"/>
        </w:rPr>
        <w:t xml:space="preserve">Desactivación momentánea de cuentas sin pérdida de su historial documental.</w:t>
      </w:r>
    </w:p>
    <w:p>
      <w:pPr>
        <w:pStyle w:val="ListParagraph"/>
        <w:numPr>
          <w:ilvl w:val="0"/>
          <w:numId w:val="1"/>
        </w:numPr>
        <w:spacing w:after="60" w:before="60" w:line="260"/>
      </w:pPr>
      <w:r>
        <w:rPr>
          <w:rFonts w:ascii="Arial" w:cs="Arial" w:eastAsia="Arial" w:hAnsi="Arial"/>
          <w:b/>
          <w:bCs/>
          <w:color w:val="0F3D62"/>
          <w:sz w:val="20"/>
          <w:szCs w:val="20"/>
        </w:rPr>
        <w:t xml:space="preserve">Eliminación de Perfiles: </w:t>
      </w:r>
      <w:r>
        <w:rPr>
          <w:rFonts w:ascii="Arial" w:cs="Arial" w:eastAsia="Arial" w:hAnsi="Arial"/>
          <w:color w:val="1E293B"/>
          <w:sz w:val="20"/>
          <w:szCs w:val="20"/>
        </w:rPr>
        <w:t xml:space="preserve">Eliminación definitiva de perfiles obsoletos mediante transacción segura con confirmación modal. (La cuenta principal 'admin' se encuentra permanentemente blindada contra borrado).</w:t>
      </w:r>
    </w:p>
    <w:p>
      <w:pPr>
        <w:pStyle w:val="Heading1"/>
        <w:spacing w:after="150" w:before="400"/>
      </w:pPr>
      <w:r>
        <w:rPr>
          <w:rFonts w:ascii="Arial" w:cs="Arial" w:eastAsia="Arial" w:hAnsi="Arial"/>
          <w:b/>
          <w:bCs/>
          <w:color w:val="0F3D62"/>
          <w:sz w:val="26"/>
          <w:szCs w:val="26"/>
        </w:rPr>
        <w:t xml:space="preserve">9. Dashboard de Métricas &amp; Reportes Oficiales en PDF</w:t>
      </w:r>
    </w:p>
    <w:p>
      <w:pPr>
        <w:spacing w:after="80" w:before="80" w:line="280"/>
      </w:pPr>
      <w:r>
        <w:rPr>
          <w:rFonts w:ascii="Arial" w:cs="Arial" w:eastAsia="Arial" w:hAnsi="Arial"/>
          <w:b w:val="false"/>
          <w:bCs w:val="false"/>
          <w:i w:val="false"/>
          <w:iCs w:val="false"/>
          <w:color w:val="1E293B"/>
          <w:sz w:val="20"/>
          <w:szCs w:val="20"/>
        </w:rPr>
        <w:t xml:space="preserve">Módulo diseñado para la fiscalización, auditoría y control de gestión:</w:t>
      </w:r>
    </w:p>
    <w:p>
      <w:pPr>
        <w:pStyle w:val="ListParagraph"/>
        <w:numPr>
          <w:ilvl w:val="0"/>
          <w:numId w:val="1"/>
        </w:numPr>
        <w:spacing w:after="60" w:before="60" w:line="260"/>
      </w:pPr>
      <w:r>
        <w:rPr>
          <w:rFonts w:ascii="Arial" w:cs="Arial" w:eastAsia="Arial" w:hAnsi="Arial"/>
          <w:b/>
          <w:bCs/>
          <w:color w:val="0F3D62"/>
          <w:sz w:val="20"/>
          <w:szCs w:val="20"/>
        </w:rPr>
        <w:t xml:space="preserve">Dashboard Estadístico: </w:t>
      </w:r>
      <w:r>
        <w:rPr>
          <w:rFonts w:ascii="Arial" w:cs="Arial" w:eastAsia="Arial" w:hAnsi="Arial"/>
          <w:color w:val="1E293B"/>
          <w:sz w:val="20"/>
          <w:szCs w:val="20"/>
        </w:rPr>
        <w:t xml:space="preserve">Indicadores de expedientes totales, flujo mensual y carga de trabajo por departamento.</w:t>
      </w:r>
    </w:p>
    <w:p>
      <w:pPr>
        <w:pStyle w:val="ListParagraph"/>
        <w:numPr>
          <w:ilvl w:val="0"/>
          <w:numId w:val="1"/>
        </w:numPr>
        <w:spacing w:after="60" w:before="60" w:line="260"/>
      </w:pPr>
      <w:r>
        <w:rPr>
          <w:rFonts w:ascii="Arial" w:cs="Arial" w:eastAsia="Arial" w:hAnsi="Arial"/>
          <w:b/>
          <w:bCs/>
          <w:color w:val="0F3D62"/>
          <w:sz w:val="20"/>
          <w:szCs w:val="20"/>
        </w:rPr>
        <w:t xml:space="preserve">Generación de PDF: </w:t>
      </w:r>
      <w:r>
        <w:rPr>
          <w:rFonts w:ascii="Arial" w:cs="Arial" w:eastAsia="Arial" w:hAnsi="Arial"/>
          <w:color w:val="1E293B"/>
          <w:sz w:val="20"/>
          <w:szCs w:val="20"/>
        </w:rPr>
        <w:t xml:space="preserve">Haga clic en 'Imprimir Hoja de Ruta (PDF)' en cualquier expediente para obtener el documento oficial membretado con formato formal de auditoría legal.</w:t>
      </w:r>
    </w:p>
    <w:p>
      <w:pPr>
        <w:pStyle w:val="Heading1"/>
        <w:spacing w:after="150" w:before="400"/>
      </w:pPr>
      <w:r>
        <w:rPr>
          <w:rFonts w:ascii="Arial" w:cs="Arial" w:eastAsia="Arial" w:hAnsi="Arial"/>
          <w:b/>
          <w:bCs/>
          <w:color w:val="0F3D62"/>
          <w:sz w:val="26"/>
          <w:szCs w:val="26"/>
        </w:rPr>
        <w:t xml:space="preserve">10. Preguntas Frecuentes &amp; Buenas Prácticas</w:t>
      </w:r>
    </w:p>
    <w:p>
      <w:pPr>
        <w:spacing w:after="80" w:before="80" w:line="280"/>
      </w:pPr>
      <w:r>
        <w:rPr>
          <w:rFonts w:ascii="Arial" w:cs="Arial" w:eastAsia="Arial" w:hAnsi="Arial"/>
          <w:b w:val="false"/>
          <w:bCs w:val="false"/>
          <w:i w:val="false"/>
          <w:iCs w:val="false"/>
          <w:color w:val="1E293B"/>
          <w:sz w:val="20"/>
          <w:szCs w:val="20"/>
        </w:rPr>
        <w:t xml:space="preserve">Recomendaciones clave para el personal de SnowPoint Healthcare:</w:t>
      </w:r>
    </w:p>
    <w:p>
      <w:pPr>
        <w:pStyle w:val="ListParagraph"/>
        <w:numPr>
          <w:ilvl w:val="0"/>
          <w:numId w:val="1"/>
        </w:numPr>
        <w:spacing w:after="60" w:before="60" w:line="260"/>
      </w:pPr>
      <w:r>
        <w:rPr>
          <w:rFonts w:ascii="Arial" w:cs="Arial" w:eastAsia="Arial" w:hAnsi="Arial"/>
          <w:b/>
          <w:bCs/>
          <w:color w:val="0F3D62"/>
          <w:sz w:val="20"/>
          <w:szCs w:val="20"/>
        </w:rPr>
        <w:t xml:space="preserve">Recepción Oportuna: </w:t>
      </w:r>
      <w:r>
        <w:rPr>
          <w:rFonts w:ascii="Arial" w:cs="Arial" w:eastAsia="Arial" w:hAnsi="Arial"/>
          <w:color w:val="1E293B"/>
          <w:sz w:val="20"/>
          <w:szCs w:val="20"/>
        </w:rPr>
        <w:t xml:space="preserve">Recepcione sus documentos en cuanto lleguen a su bandeja para evitar cuellos de botella en la atención.</w:t>
      </w:r>
    </w:p>
    <w:p>
      <w:pPr>
        <w:pStyle w:val="ListParagraph"/>
        <w:numPr>
          <w:ilvl w:val="0"/>
          <w:numId w:val="1"/>
        </w:numPr>
        <w:spacing w:after="60" w:before="60" w:line="260"/>
      </w:pPr>
      <w:r>
        <w:rPr>
          <w:rFonts w:ascii="Arial" w:cs="Arial" w:eastAsia="Arial" w:hAnsi="Arial"/>
          <w:b/>
          <w:bCs/>
          <w:color w:val="0F3D62"/>
          <w:sz w:val="20"/>
          <w:szCs w:val="20"/>
        </w:rPr>
        <w:t xml:space="preserve">Atención de Urgencias: </w:t>
      </w:r>
      <w:r>
        <w:rPr>
          <w:rFonts w:ascii="Arial" w:cs="Arial" w:eastAsia="Arial" w:hAnsi="Arial"/>
          <w:color w:val="1E293B"/>
          <w:sz w:val="20"/>
          <w:szCs w:val="20"/>
        </w:rPr>
        <w:t xml:space="preserve">Los expedientes con sello de Urgencia Médica deben ser atendidos con prioridad sobre los trámites regulares.</w:t>
      </w:r>
    </w:p>
    <w:p>
      <w:pPr>
        <w:pStyle w:val="ListParagraph"/>
        <w:numPr>
          <w:ilvl w:val="0"/>
          <w:numId w:val="1"/>
        </w:numPr>
        <w:spacing w:after="60" w:before="60" w:line="260"/>
      </w:pPr>
      <w:r>
        <w:rPr>
          <w:rFonts w:ascii="Arial" w:cs="Arial" w:eastAsia="Arial" w:hAnsi="Arial"/>
          <w:b/>
          <w:bCs/>
          <w:color w:val="0F3D62"/>
          <w:sz w:val="20"/>
          <w:szCs w:val="20"/>
        </w:rPr>
        <w:t xml:space="preserve">Soporte Técnico: </w:t>
      </w:r>
      <w:r>
        <w:rPr>
          <w:rFonts w:ascii="Arial" w:cs="Arial" w:eastAsia="Arial" w:hAnsi="Arial"/>
          <w:color w:val="1E293B"/>
          <w:sz w:val="20"/>
          <w:szCs w:val="20"/>
        </w:rPr>
        <w:t xml:space="preserve">En caso de dudas operativas o requerimientos de nuevas unidades, contacte a la Administración de Sistemas.</w:t>
      </w:r>
    </w:p>
    <w:p>
      <w:pPr>
        <w:spacing w:after="100" w:before="400"/>
        <w:jc w:val="center"/>
      </w:pPr>
      <w:r>
        <w:rPr>
          <w:rFonts w:ascii="Arial" w:cs="Arial" w:eastAsia="Arial" w:hAnsi="Arial"/>
          <w:b/>
          <w:bCs/>
          <w:color w:val="64748B"/>
          <w:sz w:val="18"/>
          <w:szCs w:val="18"/>
        </w:rPr>
        <w:t xml:space="preserve">SnowPoint Healthcare © 2026 — Todos los derechos reservados.
Sistema SoftCom - Excelencia en Gestión Hospitalaria y Consultoría Médica.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Documento Confidencial de Uso Institucional  —  Página </w:t>
    </w:r>
    <w:r>
      <w:rPr>
        <w:rFonts w:ascii="Arial" w:cs="Arial" w:eastAsia="Arial" w:hAnsi="Arial"/>
        <w:b/>
        <w:bCs/>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b/>
        <w:bCs/>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SnowPoint Healthcare | SoftCom v2.5 - Manual de Usuario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2026-09-29T16:54:32.523Z</dcterms:created>
  <dcterms:modified xsi:type="dcterms:W3CDTF">2026-09-29T16:54:32.525Z</dcterms:modified>
</cp:coreProperties>
</file>

<file path=docProps/custom.xml><?xml version="1.0" encoding="utf-8"?>
<Properties xmlns="http://schemas.openxmlformats.org/officeDocument/2006/custom-properties" xmlns:vt="http://schemas.openxmlformats.org/officeDocument/2006/docPropsVTypes"/>
</file>