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같은</w:t>
      </w:r>
      <w:r>
        <w:t xml:space="preserve"> </w:t>
      </w:r>
      <w:r>
        <w:t xml:space="preserve">소재,</w:t>
      </w:r>
      <w:r>
        <w:t xml:space="preserve"> </w:t>
      </w:r>
      <w:r>
        <w:t xml:space="preserve">다른</w:t>
      </w:r>
      <w:r>
        <w:t xml:space="preserve"> </w:t>
      </w:r>
      <w:r>
        <w:t xml:space="preserve">문제틀:</w:t>
      </w:r>
      <w:r>
        <w:t xml:space="preserve"> </w:t>
      </w:r>
      <w:r>
        <w:t xml:space="preserve">국가</w:t>
      </w:r>
      <w:r>
        <w:t xml:space="preserve"> </w:t>
      </w:r>
      <w:r>
        <w:t xml:space="preserve">전략·미중</w:t>
      </w:r>
      <w:r>
        <w:t xml:space="preserve"> </w:t>
      </w:r>
      <w:r>
        <w:t xml:space="preserve">경쟁</w:t>
      </w:r>
      <w:r>
        <w:t xml:space="preserve"> </w:t>
      </w:r>
      <w:r>
        <w:t xml:space="preserve">토픽에</w:t>
      </w:r>
      <w:r>
        <w:t xml:space="preserve"> </w:t>
      </w:r>
      <w:r>
        <w:t xml:space="preserve">대한</w:t>
      </w:r>
      <w:r>
        <w:t xml:space="preserve"> </w:t>
      </w:r>
      <w:r>
        <w:t xml:space="preserve">학문분야별</w:t>
      </w:r>
      <w:r>
        <w:t xml:space="preserve"> </w:t>
      </w:r>
      <w:r>
        <w:t xml:space="preserve">AI</w:t>
      </w:r>
      <w:r>
        <w:t xml:space="preserve"> </w:t>
      </w:r>
      <w:r>
        <w:t xml:space="preserve">거버넌스</w:t>
      </w:r>
      <w:r>
        <w:t xml:space="preserve"> </w:t>
      </w:r>
      <w:r>
        <w:t xml:space="preserve">프레임</w:t>
      </w:r>
      <w:r>
        <w:t xml:space="preserve"> </w:t>
      </w:r>
      <w:r>
        <w:t xml:space="preserve">비교</w:t>
      </w:r>
    </w:p>
    <w:p>
      <w:pPr>
        <w:pStyle w:val="BlockText"/>
      </w:pPr>
      <w:r>
        <w:t xml:space="preserve">『인문사회과학연구』(국제인문사회연구학회, KCI 등재후보) 투고 후보용 편집본. 투고규정은 확인하지 못해 일반 KCI 양식(APA식 인용)을 적용했다. 논문 1(뉴스·학계 비교)과 코퍼스가 겹치므로 투고 시 관계를 명시해야 한다.</w:t>
      </w:r>
      <w:r>
        <w:t xml:space="preserve"> </w:t>
      </w:r>
      <w:r>
        <w:rPr>
          <w:rStyle w:val="VerbatimChar"/>
        </w:rPr>
        <w:t xml:space="preserve">[확인]</w:t>
      </w:r>
      <w:r>
        <w:t xml:space="preserve"> </w:t>
      </w:r>
      <w:r>
        <w:t xml:space="preserve">표시는 저자가 결정하거나 원문을 확인해야 하는 곳이다. 표 번호와 절 번호는 투고본에서 다시 매긴다.</w:t>
      </w:r>
    </w:p>
    <w:bookmarkStart w:id="20" w:name="초록"/>
    <w:p>
      <w:pPr>
        <w:pStyle w:val="Heading1"/>
      </w:pPr>
      <w:r>
        <w:t xml:space="preserve">초록</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토픽으로 분류된 KCI 학술논문 186편을 전수 대상으로, 학문분야에 따라 국제정치이론 프레임(현실주의·자유주의·구성주의)이 어떻게 달라지는지 비교하였다. 프레임 판정에는 사람 코더 대신 대규모 언어모델(LLM)을 분류 도구로 사용하는 자동 내용분석을 적용하고, 반복 분류와 두 가지 프롬프트 변형으로 안정성을 점검하였다. 분석 결과 같은 토픽이라도 분야에 따라 접근이 뚜렷이 달랐다. 정치외교학(73%)·지역학(72%)·군사학(86%)·정책학(91%)은 현실주의 프레임이 우세한 반면, 법학은 제도·규범을 강조하는 자유주의 프레임이 가장 많았고(46%) 현실주의는 29%에 그쳤다. 교육학은 대부분(90%) 어느 프레임에도 해당하지 않았다. 분야와 프레임의 연관 강도는 Cramér’s V=0.39였다. 이러한 큰 방향은 분류 설정과 무관하게 유지되었으나 분야별 세부 비율, 특히 구성주의 비중은 설정에 민감하였다. 반복 분류의 일치도는 κ=0.81, 정의문 변경 시 κ=0.72였고 연구자의 독립 코딩과의 일치는 중등도에서 상당한 수준(κ=0.67)이었다.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AI 거버넌스, 프레임 분석, 학문분야, 국제정치이론, LLM 기반 내용분석</w:t>
      </w:r>
    </w:p>
    <w:bookmarkEnd w:id="20"/>
    <w:bookmarkStart w:id="21" w:name="abstract"/>
    <w:p>
      <w:pPr>
        <w:pStyle w:val="Heading1"/>
      </w:pPr>
      <w:r>
        <w:t xml:space="preserve">Abstract</w:t>
      </w:r>
    </w:p>
    <w:p>
      <w:pPr>
        <w:pStyle w:val="FirstParagraph"/>
      </w:pPr>
      <w:r>
        <w:t xml:space="preserve">Using all 186 Korean journal articles (KCI) assigned to the</w:t>
      </w:r>
      <w:r>
        <w:t xml:space="preserve"> </w:t>
      </w:r>
      <w:r>
        <w:t xml:space="preserve">“</w:t>
      </w:r>
      <w:r>
        <w:t xml:space="preserve">national strategy and US–China competition</w:t>
      </w:r>
      <w:r>
        <w:t xml:space="preserve">”</w:t>
      </w:r>
      <w:r>
        <w:t xml:space="preserve"> </w:t>
      </w:r>
      <w:r>
        <w:t xml:space="preserve">topic of AI governance, this study compares how academic disciplines frame the same issue through realist, liberal, and constructivist perspectives. Frames were coded by a large language model (LLM) as an automated content-analysis tool, and stability was checked by a blind repeat and two prompt variations. Disciplines differed markedly: realism dominated political science/diplomacy (73%), area studies (72%), military studies (86%), and policy studies (91%), while law favored a liberal, rules-and-institutions frame (46%) over realism (29%); most education papers (90%) fit none of the frames. Association between discipline and frame was moderate (Cramér’s V = 0.39). The broad pattern held across all classification settings, but disciplinary percentages, particularly for constructivism, were sensitive to prompt wording (repeat κ = 0.81; reworded definitions κ = 0.72), and agreement with the researcher’s independent coding of 50 papers was substantial (κ = 0.67). The study shows that AI governance discourse is built on different problem frames across disciplines and reports both the promise and limits of LLM-based frame classification.</w:t>
      </w:r>
    </w:p>
    <w:p>
      <w:pPr>
        <w:pStyle w:val="BodyText"/>
      </w:pPr>
      <w:r>
        <w:rPr>
          <w:bCs/>
          <w:b/>
        </w:rPr>
        <w:t xml:space="preserve">Keywords</w:t>
      </w:r>
      <w:r>
        <w:t xml:space="preserve">: AI governance, framing, academic disciplines, international relations theory, LLM-assisted content analysis</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인공지능(AI)의 국제 거버넌스는 한국에서도 여러 학문분야가 함께 다루는 주제가 되었다. 정치외교학과 군사학은 미중 기술 경쟁과 안보를, 법학은 각국의 규제 입법과 국제 규범을, 경영학과 교육학은 산업 경쟁력과 인재 문제를 논의한다. 그러나 이 분야들이 같은 문제를 같은 방식으로 규정하는지는 확인된 바가 많지 않다. 같은 ’국가 전략과 미중 경쟁’이라는 소재를 두고도 어떤 분야는 힘과 안보의 문제로, 어떤 분야는 규칙과 제도의 문제로 풀 수 있다.</w:t>
      </w:r>
    </w:p>
    <w:p>
      <w:pPr>
        <w:pStyle w:val="BodyText"/>
      </w:pPr>
      <w:r>
        <w:t xml:space="preserve">필자의 선행 연구는 2019년 5월부터 2026년 9월까지 한국 언론과 학계의 AI 글로벌 거버넌스 담론을 토픽모형과 국제정치이론 프레임으로 비교하였다. 그 연구에서 국가 전략·미중 경쟁 토픽은 뉴스의 대부분을 차지했고, 학술논문에서도 가장 큰 토픽 가운데 하나였다</w:t>
      </w:r>
      <w:r>
        <w:t xml:space="preserve"> </w:t>
      </w:r>
      <w:r>
        <w:rPr>
          <w:rStyle w:val="VerbatimChar"/>
        </w:rPr>
        <w:t xml:space="preserve">[확인: 선행 연구 서지·수치]</w:t>
      </w:r>
      <w:r>
        <w:t xml:space="preserve">. 본 연구는 이 토픽에 속한 학술논문 186편 전체를 대상으로, 같은 소재 안에서 학문분야에 따라 프레임이 어떻게 달라지는지를 비교한다. 소재를 고정함으로써 분야 간 차이가 주제 선택이 아닌 문제 규정 방식의 차이임을 드러내려는 것이다.</w:t>
      </w:r>
    </w:p>
    <w:p>
      <w:pPr>
        <w:pStyle w:val="BodyText"/>
      </w:pPr>
      <w:r>
        <w:t xml:space="preserve">연구 문제는 다음과 같다. 같은</w:t>
      </w:r>
      <w:r>
        <w:t xml:space="preserve"> </w:t>
      </w:r>
      <w:r>
        <w:t xml:space="preserve">‘</w:t>
      </w:r>
      <w:r>
        <w:t xml:space="preserve">국가 전략·미중 경쟁</w:t>
      </w:r>
      <w:r>
        <w:t xml:space="preserve">’</w:t>
      </w:r>
      <w:r>
        <w:t xml:space="preserve"> </w:t>
      </w:r>
      <w:r>
        <w:t xml:space="preserve">토픽 안에서 학문분야별 국제정치이론 프레임(현실주의, 자유주의, 구성주의)의 분포는 어떻게 다른가. 또한 프레임 분류에 대규모 언어모델(LLM)을 도구로 쓸 때 그 분포 차이는 분류 설정에 얼마나 안정적인가.</w:t>
      </w:r>
    </w:p>
    <w:bookmarkEnd w:id="22"/>
    <w:bookmarkStart w:id="23" w:name="논문의-구성"/>
    <w:p>
      <w:pPr>
        <w:pStyle w:val="Heading2"/>
      </w:pPr>
      <w:r>
        <w:t xml:space="preserve">2. 논문의 구성</w:t>
      </w:r>
    </w:p>
    <w:p>
      <w:pPr>
        <w:pStyle w:val="FirstParagraph"/>
      </w:pPr>
      <w:r>
        <w:t xml:space="preserve">Ⅱ장에서 이론적 배경을, Ⅲ장에서 자료와 LLM 기반 분류 방법을, Ⅳ장에서 결과를, Ⅴ장에서 논의와 결론을 제시한다.</w:t>
      </w:r>
    </w:p>
    <w:bookmarkEnd w:id="23"/>
    <w:bookmarkEnd w:id="24"/>
    <w:bookmarkStart w:id="27" w:name="이론적-배경"/>
    <w:p>
      <w:pPr>
        <w:pStyle w:val="Heading1"/>
      </w:pPr>
      <w:r>
        <w:t xml:space="preserve">Ⅱ. 이론적 배경</w:t>
      </w:r>
    </w:p>
    <w:bookmarkStart w:id="25" w:name="ai-거버넌스와-세-이론-전통"/>
    <w:p>
      <w:pPr>
        <w:pStyle w:val="Heading2"/>
      </w:pPr>
      <w:r>
        <w:t xml:space="preserve">1. AI 거버넌스와 세 이론 전통</w:t>
      </w:r>
    </w:p>
    <w:p>
      <w:pPr>
        <w:pStyle w:val="FirstParagraph"/>
      </w:pPr>
      <w:r>
        <w:t xml:space="preserve">AI를 규율하는 국제 규범은 하나의 조약이나 기구가 아니라 여러 기구와 문서가 겹친 분절된 형태로 발전해 왔다(Cihon et al., 2020; Schmitt, 2022). 이 지형은 협력만으로 구성되지 않고 여러 행위자가 서로 다른 제도를 통해 규칙의 주도권을 다투는 경합적 다자주의의 성격도 지닌다(Morse &amp; Keohane, 2014). 따라서 같은 사건이 어떤 행위자에게는 제도 설계의 문제로, 다른 행위자에게는 경쟁과 안보의 문제로 해석될 수 있다. 국제정치학의 세 이론 전통은 이 해석의 차이를 구분하는 틀이 된다. 본 연구는 세 전통을 담론이 문제를 규정하고 처방을 정당화하는 논거의 유형으로 조작화한다(Entman, 1993의 프레임 개념을 따른다).</w:t>
      </w:r>
    </w:p>
    <w:p>
      <w:pPr>
        <w:pStyle w:val="BodyText"/>
      </w:pPr>
      <w:r>
        <w:t xml:space="preserve">현실주의는 국가 간 힘의 분포, 안보, 경쟁에 주목한다. AI를 군사력과 국제정치에 영향을 주는 촉진 기술로 보는 연구(Horowitz, 2018)와, AI 반도체 공급망과 수출통제(유인태, 2025), 미중 AI 패권경쟁(김상배, 2025), AI 군사력 경쟁(차정미, 2022), 자율무기와 세력 전이(이재준, 2022)에 관한 국내 연구가 이 계열이다. 자유주의는 규칙과 제도의 설계, 조화, 협력에 주목하며, 국제기구와 다자 협의체를 AI 정책의 조율 장치로 본다(Schmitt, 2022; Cihon et al., 2020). 구성주의는 규범과 가치, 정체성이 무엇을 정당한 행동으로 만드는지에 주목한다(Finnemore &amp; Sikkink, 1998). AI 윤리 지침이 투명성, 공정성, 책임 등으로 수렴하되 이행은 갈린다는 연구(Jobin et al., 2019; Hagendorff, 2020)와 중국의 AI 규범 분석(Roberts et al., 2021)이 여기에 해당한다.</w:t>
      </w:r>
    </w:p>
    <w:bookmarkEnd w:id="25"/>
    <w:bookmarkStart w:id="26" w:name="연구-공백"/>
    <w:p>
      <w:pPr>
        <w:pStyle w:val="Heading2"/>
      </w:pPr>
      <w:r>
        <w:t xml:space="preserve">2. 연구 공백</w:t>
      </w:r>
    </w:p>
    <w:p>
      <w:pPr>
        <w:pStyle w:val="FirstParagraph"/>
      </w:pPr>
      <w:r>
        <w:t xml:space="preserve">선행 연구는 AI 거버넌스를 이론별로 설명하거나, 뉴스 프레이밍을 가치 프레임 중심으로 분석해 왔다. 그러나 한국 학계 안에서 학문분야에 따라 같은 소재가 어떤 이론 프레임으로 다루어지는지를 전수 자료로 비교한 연구는 확인하지 못했다</w:t>
      </w:r>
      <w:r>
        <w:t xml:space="preserve"> </w:t>
      </w:r>
      <w:r>
        <w:rPr>
          <w:rStyle w:val="VerbatimChar"/>
        </w:rPr>
        <w:t xml:space="preserve">[확인: 학술DB 직접 검색 필요]</w:t>
      </w:r>
      <w:r>
        <w:t xml:space="preserve">. 또한 이론 기반 프레임 분류에 LLM을 쓸 때 그 결과가 분류 설정에 얼마나 민감한지를 함께 보고한 연구도 확인하지 못했다</w:t>
      </w:r>
      <w:r>
        <w:t xml:space="preserve"> </w:t>
      </w:r>
      <w:r>
        <w:rPr>
          <w:rStyle w:val="VerbatimChar"/>
        </w:rPr>
        <w:t xml:space="preserve">[확인: LLM 기반 내용분석 선행 연구 검토 보강]</w:t>
      </w:r>
      <w:r>
        <w:t xml:space="preserve">. 본 연구는 이 두 공백을 다룬다. 학문분야는 문제를 보는 훈련과 규범이 다르므로 같은 소재라도 다른 프레임을 택할 것이라는 기대가 있으나, 이를 검증한 근거는 확인되지 않았으므로 본 연구는 탐색적 비교로 수행한다. 따라서 가설 검정 대신 분야별 분포와 그 안정성을 기술한다.</w:t>
      </w:r>
    </w:p>
    <w:bookmarkEnd w:id="26"/>
    <w:bookmarkEnd w:id="27"/>
    <w:bookmarkStart w:id="33" w:name="연구-방법"/>
    <w:p>
      <w:pPr>
        <w:pStyle w:val="Heading1"/>
      </w:pPr>
      <w:r>
        <w:t xml:space="preserve">Ⅲ. 연구 방법</w:t>
      </w:r>
    </w:p>
    <w:bookmarkStart w:id="28" w:name="분석-대상"/>
    <w:p>
      <w:pPr>
        <w:pStyle w:val="Heading2"/>
      </w:pPr>
      <w:r>
        <w:t xml:space="preserve">1. 분석 대상</w:t>
      </w:r>
    </w:p>
    <w:p>
      <w:pPr>
        <w:pStyle w:val="FirstParagraph"/>
      </w:pPr>
      <w:r>
        <w:t xml:space="preserve">분석 대상은 KCI 등재지·등재후보지 논문 669편에 LDA 토픽모형(K=7)을 추정하여</w:t>
      </w:r>
      <w:r>
        <w:t xml:space="preserve"> </w:t>
      </w:r>
      <w:r>
        <w:t xml:space="preserve">‘</w:t>
      </w:r>
      <w:r>
        <w:t xml:space="preserve">국가 전략·미중 경쟁</w:t>
      </w:r>
      <w:r>
        <w:t xml:space="preserve">’</w:t>
      </w:r>
      <w:r>
        <w:t xml:space="preserve">(T1) 토픽에 가장 높은 비중으로 배정된 논문 186편 전체이다. 표집 없이 전수를 분석하므로 보고하는 비율은 표본추정치가 아니라 이 코퍼스의 모수이다. 다만 코퍼스는 검색·수집 범위와 토픽 배정 규칙에 의존하므로 일반화 범위는 이 코퍼스로 한정한다. 코퍼스와 토픽모형은 선행 연구와 같은 것이다</w:t>
      </w:r>
      <w:r>
        <w:t xml:space="preserve"> </w:t>
      </w:r>
      <w:r>
        <w:rPr>
          <w:rStyle w:val="VerbatimChar"/>
        </w:rPr>
        <w:t xml:space="preserve">[확인: 선행 연구와의 관계 명시]</w:t>
      </w:r>
      <w:r>
        <w:t xml:space="preserve">. 학문분야는 KCI 연구분야 중분류를 사용하며, 10편 미만 분야는 ’기타’로 묶었다.</w:t>
      </w:r>
      <w:r>
        <w:t xml:space="preserve"> </w:t>
      </w:r>
      <w:r>
        <w:rPr>
          <w:rStyle w:val="VerbatimChar"/>
        </w:rPr>
        <w:t xml:space="preserve">[확인: 복수 분야 논문의 분야 지정 규칙]</w:t>
      </w:r>
    </w:p>
    <w:bookmarkEnd w:id="28"/>
    <w:bookmarkStart w:id="29" w:name="프레임-분류"/>
    <w:p>
      <w:pPr>
        <w:pStyle w:val="Heading2"/>
      </w:pPr>
      <w:r>
        <w:t xml:space="preserve">2. 프레임 분류</w:t>
      </w:r>
    </w:p>
    <w:p>
      <w:pPr>
        <w:pStyle w:val="FirstParagraph"/>
      </w:pPr>
      <w:r>
        <w:t xml:space="preserve">분류 단위는 논문 1편(제목, 키워드, 초록 앞 450자)이다. 분류 기준은 핵심 논거를 기준으로 현실(권력·경쟁·안보), 자유(규칙·제도 설계·조화), 구성(권리·윤리·책임·가치), 해당없음 중 하나를 배정하는 코드북이며, 판정이 어려우면 판정불가(U)로 둔다. 분류는 사람 코더가 아니라 LLM이 코드북에 따라 논문별로 프레임과 확신도를 출력하는 방식으로 수행하였다. 사용 모델의 식별자와 호출 일자, 프롬프트 전문은 부록에 제시한다</w:t>
      </w:r>
      <w:r>
        <w:t xml:space="preserve"> </w:t>
      </w:r>
      <w:r>
        <w:rPr>
          <w:rStyle w:val="VerbatimChar"/>
        </w:rPr>
        <w:t xml:space="preserve">[확인: 모델 식별자]</w:t>
      </w:r>
      <w:r>
        <w:t xml:space="preserve">. 186편 중 10편은 선행 연구 과정에서 연구자가 직접 확정한 라벨이 있어 1차 분류값에 연구자 라벨을 그대로 사용하였고(나머지 176편은 LLM 분류), 반복·변형 분류는 186편 전체를 LLM이 분류하였다. 이 10편과 LLM 재분류의 일치는 타당화 참고로도 보고한다.</w:t>
      </w:r>
    </w:p>
    <w:bookmarkEnd w:id="29"/>
    <w:bookmarkStart w:id="30" w:name="타당화와-안정성-점검"/>
    <w:p>
      <w:pPr>
        <w:pStyle w:val="Heading2"/>
      </w:pPr>
      <w:r>
        <w:t xml:space="preserve">3. 타당화와 안정성 점검</w:t>
      </w:r>
    </w:p>
    <w:p>
      <w:pPr>
        <w:pStyle w:val="FirstParagraph"/>
      </w:pPr>
      <w:r>
        <w:t xml:space="preserve">사람 코딩을 하지 않으므로 다음 세 가지로 분류의 신뢰성을 점검하였다. 첫째, 이전 라벨을 보지 않은 독립 LLM 인스턴스로 같은 코드북과 입력으로 재분류하였다(독립 반복). 둘째, 초록을 잘라내지 않고 전체를 제공하였다. 셋째, 코드북 없이 새로 작성한 짧은 정의문만 제공하였다. 일치도는 일치율과 Cohen’s κ(Cohen, 1960)로 보고하며 해석은 Landis와 Koch(1977)의 구간을 참고한다. 이 점검은 같은 계열 모델 간의 안정성(신뢰도)을 보여줄 뿐 타당도를 보증하지 않는다. 타당도의 외부 기준으로, 연구자가 LLM 분류를 보지 않은 채 독립적으로 코딩한 50편(LLM 1차 분류별 층화 추출: 현실 20, 자유 10, 구성 10, 해당없음 10)과 비교하였다. 50편은 연구자 확정 10편과 겹치지 않으며 표본이 작다. 층화가 LLM 라벨 기준이므로 전체 일치율은 층 크기(176편 중 현실 98, 자유 27, 구성 27, 해당없음 23)로 가중해 추정하고, 신뢰구간은 부트스트랩(2,000회)으로 구하였다.</w:t>
      </w:r>
    </w:p>
    <w:bookmarkEnd w:id="30"/>
    <w:bookmarkStart w:id="31" w:name="분석"/>
    <w:p>
      <w:pPr>
        <w:pStyle w:val="Heading2"/>
      </w:pPr>
      <w:r>
        <w:t xml:space="preserve">4. 분석</w:t>
      </w:r>
    </w:p>
    <w:p>
      <w:pPr>
        <w:pStyle w:val="FirstParagraph"/>
      </w:pPr>
      <w:r>
        <w:t xml:space="preserve">분야 × 프레임 교차표로 분야별 비율을 제시하고, 연관 강도는 Cramér’s V로 나타낸다. 전수 자료이므로 유의성 검정 대신 분야 라벨을 무작위로 섞은 5,000회 참조분포를 비교 지표로 제시한다. 주 분석은 초록 앞 450자를 입력한 1차 분류 값이며, 초록 전체 제공은 강건성 분석의 한 설정으로 다룬다. 분야별 비율은 1차 분류 값과 1차 분류를 포함한 네 가지 설정(1차, 독립 반복, 초록 전체 제공, 정의문 변경)의 최소–최대 범위를 함께 보고한다. 주 분석 입력을 450자로 둔 것은 분석 설계 단계의 결정이며, 사람 대조 이후에도 바꾸지 않았다.</w:t>
      </w:r>
    </w:p>
    <w:bookmarkEnd w:id="31"/>
    <w:bookmarkStart w:id="32" w:name="인공지능-활용-고지"/>
    <w:p>
      <w:pPr>
        <w:pStyle w:val="Heading2"/>
      </w:pPr>
      <w:r>
        <w:t xml:space="preserve">5. 인공지능 활용 고지</w:t>
      </w:r>
    </w:p>
    <w:p>
      <w:pPr>
        <w:pStyle w:val="FirstParagraph"/>
      </w:pPr>
      <w:r>
        <w:t xml:space="preserve">프레임 분류의 분석 도구로 대규모 언어모델(LLM)을 사용하였다. 1차 분류값 186편 중 176편은 연구자의 재검토를 거치지 않은 자동 분류값이고 10편은 연구자 확정 라벨이다. LLM 분류의 타당화는 연구자가 LLM 라벨을 보지 않고 독립 코딩한 50편으로 수행하였다. 또한 원고 작성에 LLM의 도움을 받았다.</w:t>
      </w:r>
      <w:r>
        <w:t xml:space="preserve"> </w:t>
      </w:r>
      <w:r>
        <w:rPr>
          <w:rStyle w:val="VerbatimChar"/>
        </w:rPr>
        <w:t xml:space="preserve">[확인: 학술지 규정의 AI 활용 고지 문구]</w:t>
      </w:r>
    </w:p>
    <w:bookmarkEnd w:id="32"/>
    <w:bookmarkEnd w:id="33"/>
    <w:bookmarkStart w:id="40" w:name="연구-결과"/>
    <w:p>
      <w:pPr>
        <w:pStyle w:val="Heading1"/>
      </w:pPr>
      <w:r>
        <w:t xml:space="preserve">Ⅳ. 연구 결과</w:t>
      </w:r>
    </w:p>
    <w:bookmarkStart w:id="34" w:name="전체-분포"/>
    <w:p>
      <w:pPr>
        <w:pStyle w:val="Heading2"/>
      </w:pPr>
      <w:r>
        <w:t xml:space="preserve">1. 전체 분포</w:t>
      </w:r>
    </w:p>
    <w:p>
      <w:pPr>
        <w:pStyle w:val="FirstParagraph"/>
      </w:pPr>
      <w:r>
        <w:t xml:space="preserve">1차 분류 기준으로 T1 186편의 프레임은 현실 102편(54.8%), 자유 29편(15.6%), 구성 28편(15.1%), 해당없음 26편(14.0%), 판정불가 1편(0.5%)이다. 같은 토픽 안에서도 현실주의 프레임이 절반을 넘지만, 그 외 프레임이 합쳐 45%에 이른다.</w:t>
      </w:r>
    </w:p>
    <w:bookmarkEnd w:id="34"/>
    <w:bookmarkStart w:id="35" w:name="학문분야별-프레임-분포"/>
    <w:p>
      <w:pPr>
        <w:pStyle w:val="Heading2"/>
      </w:pPr>
      <w:r>
        <w:t xml:space="preserve">2. 학문분야별 프레임 분포</w:t>
      </w:r>
    </w:p>
    <w:p>
      <w:pPr>
        <w:pStyle w:val="FirstParagraph"/>
      </w:pPr>
      <w:r>
        <w:t xml:space="preserve">표 1은 중분류 분야별 프레임 비율(1차 분류, %)과 네 가지 설정에서의 범위이다. 10편 미만 분야는 ’기타’로 묶었다(n=34).</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분야</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정치외교학</w:t>
            </w:r>
          </w:p>
        </w:tc>
        <w:tc>
          <w:tcPr/>
          <w:p>
            <w:pPr>
              <w:pStyle w:val="Compact"/>
              <w:jc w:val="left"/>
            </w:pPr>
            <w:r>
              <w:t xml:space="preserve">30</w:t>
            </w:r>
          </w:p>
        </w:tc>
        <w:tc>
          <w:tcPr/>
          <w:p>
            <w:pPr>
              <w:pStyle w:val="Compact"/>
              <w:jc w:val="left"/>
            </w:pPr>
            <w:r>
              <w:t xml:space="preserve">73 (73–77)</w:t>
            </w:r>
          </w:p>
        </w:tc>
        <w:tc>
          <w:tcPr/>
          <w:p>
            <w:pPr>
              <w:pStyle w:val="Compact"/>
              <w:jc w:val="left"/>
            </w:pPr>
            <w:r>
              <w:t xml:space="preserve">10 (7–10)</w:t>
            </w:r>
          </w:p>
        </w:tc>
        <w:tc>
          <w:tcPr/>
          <w:p>
            <w:pPr>
              <w:pStyle w:val="Compact"/>
              <w:jc w:val="left"/>
            </w:pPr>
            <w:r>
              <w:t xml:space="preserve">17 (17–20)</w:t>
            </w:r>
          </w:p>
        </w:tc>
        <w:tc>
          <w:tcPr/>
          <w:p>
            <w:pPr>
              <w:pStyle w:val="Compact"/>
              <w:jc w:val="left"/>
            </w:pPr>
            <w:r>
              <w:t xml:space="preserve">0 (0–0)</w:t>
            </w:r>
          </w:p>
        </w:tc>
      </w:tr>
      <w:tr>
        <w:tc>
          <w:tcPr/>
          <w:p>
            <w:pPr>
              <w:pStyle w:val="Compact"/>
              <w:jc w:val="left"/>
            </w:pPr>
            <w:r>
              <w:t xml:space="preserve">지역학</w:t>
            </w:r>
          </w:p>
        </w:tc>
        <w:tc>
          <w:tcPr/>
          <w:p>
            <w:pPr>
              <w:pStyle w:val="Compact"/>
              <w:jc w:val="left"/>
            </w:pPr>
            <w:r>
              <w:t xml:space="preserve">25</w:t>
            </w:r>
          </w:p>
        </w:tc>
        <w:tc>
          <w:tcPr/>
          <w:p>
            <w:pPr>
              <w:pStyle w:val="Compact"/>
              <w:jc w:val="left"/>
            </w:pPr>
            <w:r>
              <w:t xml:space="preserve">72 (64–76)</w:t>
            </w:r>
          </w:p>
        </w:tc>
        <w:tc>
          <w:tcPr/>
          <w:p>
            <w:pPr>
              <w:pStyle w:val="Compact"/>
              <w:jc w:val="left"/>
            </w:pPr>
            <w:r>
              <w:t xml:space="preserve">16 (12–16)</w:t>
            </w:r>
          </w:p>
        </w:tc>
        <w:tc>
          <w:tcPr/>
          <w:p>
            <w:pPr>
              <w:pStyle w:val="Compact"/>
              <w:jc w:val="left"/>
            </w:pPr>
            <w:r>
              <w:t xml:space="preserve">12 (8–12)</w:t>
            </w:r>
          </w:p>
        </w:tc>
        <w:tc>
          <w:tcPr/>
          <w:p>
            <w:pPr>
              <w:pStyle w:val="Compact"/>
              <w:jc w:val="left"/>
            </w:pPr>
            <w:r>
              <w:t xml:space="preserve">0 (0–12)</w:t>
            </w:r>
          </w:p>
        </w:tc>
      </w:tr>
      <w:tr>
        <w:tc>
          <w:tcPr/>
          <w:p>
            <w:pPr>
              <w:pStyle w:val="Compact"/>
              <w:jc w:val="left"/>
            </w:pPr>
            <w:r>
              <w:t xml:space="preserve">법학</w:t>
            </w:r>
          </w:p>
        </w:tc>
        <w:tc>
          <w:tcPr/>
          <w:p>
            <w:pPr>
              <w:pStyle w:val="Compact"/>
              <w:jc w:val="left"/>
            </w:pPr>
            <w:r>
              <w:t xml:space="preserve">24</w:t>
            </w:r>
          </w:p>
        </w:tc>
        <w:tc>
          <w:tcPr/>
          <w:p>
            <w:pPr>
              <w:pStyle w:val="Compact"/>
              <w:jc w:val="left"/>
            </w:pPr>
            <w:r>
              <w:t xml:space="preserve">29 (29–33)</w:t>
            </w:r>
          </w:p>
        </w:tc>
        <w:tc>
          <w:tcPr/>
          <w:p>
            <w:pPr>
              <w:pStyle w:val="Compact"/>
              <w:jc w:val="left"/>
            </w:pPr>
            <w:r>
              <w:t xml:space="preserve">46 (33–62)</w:t>
            </w:r>
          </w:p>
        </w:tc>
        <w:tc>
          <w:tcPr/>
          <w:p>
            <w:pPr>
              <w:pStyle w:val="Compact"/>
              <w:jc w:val="left"/>
            </w:pPr>
            <w:r>
              <w:t xml:space="preserve">17 (0–29)</w:t>
            </w:r>
          </w:p>
        </w:tc>
        <w:tc>
          <w:tcPr/>
          <w:p>
            <w:pPr>
              <w:pStyle w:val="Compact"/>
              <w:jc w:val="left"/>
            </w:pPr>
            <w:r>
              <w:t xml:space="preserve">4 (4–4)</w:t>
            </w:r>
          </w:p>
        </w:tc>
      </w:tr>
      <w:tr>
        <w:tc>
          <w:tcPr/>
          <w:p>
            <w:pPr>
              <w:pStyle w:val="Compact"/>
              <w:jc w:val="left"/>
            </w:pPr>
            <w:r>
              <w:t xml:space="preserve">경영학</w:t>
            </w:r>
          </w:p>
        </w:tc>
        <w:tc>
          <w:tcPr/>
          <w:p>
            <w:pPr>
              <w:pStyle w:val="Compact"/>
              <w:jc w:val="left"/>
            </w:pPr>
            <w:r>
              <w:t xml:space="preserve">15</w:t>
            </w:r>
          </w:p>
        </w:tc>
        <w:tc>
          <w:tcPr/>
          <w:p>
            <w:pPr>
              <w:pStyle w:val="Compact"/>
              <w:jc w:val="left"/>
            </w:pPr>
            <w:r>
              <w:t xml:space="preserve">27 (27–47)</w:t>
            </w:r>
          </w:p>
        </w:tc>
        <w:tc>
          <w:tcPr/>
          <w:p>
            <w:pPr>
              <w:pStyle w:val="Compact"/>
              <w:jc w:val="left"/>
            </w:pPr>
            <w:r>
              <w:t xml:space="preserve">27 (20–27)</w:t>
            </w:r>
          </w:p>
        </w:tc>
        <w:tc>
          <w:tcPr/>
          <w:p>
            <w:pPr>
              <w:pStyle w:val="Compact"/>
              <w:jc w:val="left"/>
            </w:pPr>
            <w:r>
              <w:t xml:space="preserve">13 (0–13)</w:t>
            </w:r>
          </w:p>
        </w:tc>
        <w:tc>
          <w:tcPr/>
          <w:p>
            <w:pPr>
              <w:pStyle w:val="Compact"/>
              <w:jc w:val="left"/>
            </w:pPr>
            <w:r>
              <w:t xml:space="preserve">33 (27–47)</w:t>
            </w:r>
          </w:p>
        </w:tc>
      </w:tr>
      <w:tr>
        <w:tc>
          <w:tcPr/>
          <w:p>
            <w:pPr>
              <w:pStyle w:val="Compact"/>
              <w:jc w:val="left"/>
            </w:pPr>
            <w:r>
              <w:t xml:space="preserve">군사학</w:t>
            </w:r>
          </w:p>
        </w:tc>
        <w:tc>
          <w:tcPr/>
          <w:p>
            <w:pPr>
              <w:pStyle w:val="Compact"/>
              <w:jc w:val="left"/>
            </w:pPr>
            <w:r>
              <w:t xml:space="preserve">14</w:t>
            </w:r>
          </w:p>
        </w:tc>
        <w:tc>
          <w:tcPr/>
          <w:p>
            <w:pPr>
              <w:pStyle w:val="Compact"/>
              <w:jc w:val="left"/>
            </w:pPr>
            <w:r>
              <w:t xml:space="preserve">86 (57–86)</w:t>
            </w:r>
          </w:p>
        </w:tc>
        <w:tc>
          <w:tcPr/>
          <w:p>
            <w:pPr>
              <w:pStyle w:val="Compact"/>
              <w:jc w:val="left"/>
            </w:pPr>
            <w:r>
              <w:t xml:space="preserve">0 (0–7)</w:t>
            </w:r>
          </w:p>
        </w:tc>
        <w:tc>
          <w:tcPr/>
          <w:p>
            <w:pPr>
              <w:pStyle w:val="Compact"/>
              <w:jc w:val="left"/>
            </w:pPr>
            <w:r>
              <w:t xml:space="preserve">14 (7–21)</w:t>
            </w:r>
          </w:p>
        </w:tc>
        <w:tc>
          <w:tcPr/>
          <w:p>
            <w:pPr>
              <w:pStyle w:val="Compact"/>
              <w:jc w:val="left"/>
            </w:pPr>
            <w:r>
              <w:t xml:space="preserve">0 (0–29)</w:t>
            </w:r>
          </w:p>
        </w:tc>
      </w:tr>
      <w:tr>
        <w:tc>
          <w:tcPr/>
          <w:p>
            <w:pPr>
              <w:pStyle w:val="Compact"/>
              <w:jc w:val="left"/>
            </w:pPr>
            <w:r>
              <w:t xml:space="preserve">학제간연구</w:t>
            </w:r>
          </w:p>
        </w:tc>
        <w:tc>
          <w:tcPr/>
          <w:p>
            <w:pPr>
              <w:pStyle w:val="Compact"/>
              <w:jc w:val="left"/>
            </w:pPr>
            <w:r>
              <w:t xml:space="preserve">13</w:t>
            </w:r>
          </w:p>
        </w:tc>
        <w:tc>
          <w:tcPr/>
          <w:p>
            <w:pPr>
              <w:pStyle w:val="Compact"/>
              <w:jc w:val="left"/>
            </w:pPr>
            <w:r>
              <w:t xml:space="preserve">54 (54–62)</w:t>
            </w:r>
          </w:p>
        </w:tc>
        <w:tc>
          <w:tcPr/>
          <w:p>
            <w:pPr>
              <w:pStyle w:val="Compact"/>
              <w:jc w:val="left"/>
            </w:pPr>
            <w:r>
              <w:t xml:space="preserve">8 (8–8)</w:t>
            </w:r>
          </w:p>
        </w:tc>
        <w:tc>
          <w:tcPr/>
          <w:p>
            <w:pPr>
              <w:pStyle w:val="Compact"/>
              <w:jc w:val="left"/>
            </w:pPr>
            <w:r>
              <w:t xml:space="preserve">31 (15–31)</w:t>
            </w:r>
          </w:p>
        </w:tc>
        <w:tc>
          <w:tcPr/>
          <w:p>
            <w:pPr>
              <w:pStyle w:val="Compact"/>
              <w:jc w:val="left"/>
            </w:pPr>
            <w:r>
              <w:t xml:space="preserve">8 (8–23)</w:t>
            </w:r>
          </w:p>
        </w:tc>
      </w:tr>
      <w:tr>
        <w:tc>
          <w:tcPr/>
          <w:p>
            <w:pPr>
              <w:pStyle w:val="Compact"/>
              <w:jc w:val="left"/>
            </w:pPr>
            <w:r>
              <w:t xml:space="preserve">정책학</w:t>
            </w:r>
          </w:p>
        </w:tc>
        <w:tc>
          <w:tcPr/>
          <w:p>
            <w:pPr>
              <w:pStyle w:val="Compact"/>
              <w:jc w:val="left"/>
            </w:pPr>
            <w:r>
              <w:t xml:space="preserve">11</w:t>
            </w:r>
          </w:p>
        </w:tc>
        <w:tc>
          <w:tcPr/>
          <w:p>
            <w:pPr>
              <w:pStyle w:val="Compact"/>
              <w:jc w:val="left"/>
            </w:pPr>
            <w:r>
              <w:t xml:space="preserve">91 (64–91)</w:t>
            </w:r>
          </w:p>
        </w:tc>
        <w:tc>
          <w:tcPr/>
          <w:p>
            <w:pPr>
              <w:pStyle w:val="Compact"/>
              <w:jc w:val="left"/>
            </w:pPr>
            <w:r>
              <w:t xml:space="preserve">0 (0–0)</w:t>
            </w:r>
          </w:p>
        </w:tc>
        <w:tc>
          <w:tcPr/>
          <w:p>
            <w:pPr>
              <w:pStyle w:val="Compact"/>
              <w:jc w:val="left"/>
            </w:pPr>
            <w:r>
              <w:t xml:space="preserve">9 (0–9)</w:t>
            </w:r>
          </w:p>
        </w:tc>
        <w:tc>
          <w:tcPr/>
          <w:p>
            <w:pPr>
              <w:pStyle w:val="Compact"/>
              <w:jc w:val="left"/>
            </w:pPr>
            <w:r>
              <w:t xml:space="preserve">0 (0–27)</w:t>
            </w:r>
          </w:p>
        </w:tc>
      </w:tr>
      <w:tr>
        <w:tc>
          <w:tcPr/>
          <w:p>
            <w:pPr>
              <w:pStyle w:val="Compact"/>
              <w:jc w:val="left"/>
            </w:pPr>
            <w:r>
              <w:t xml:space="preserve">사회과학일반</w:t>
            </w:r>
          </w:p>
        </w:tc>
        <w:tc>
          <w:tcPr/>
          <w:p>
            <w:pPr>
              <w:pStyle w:val="Compact"/>
              <w:jc w:val="left"/>
            </w:pPr>
            <w:r>
              <w:t xml:space="preserve">10</w:t>
            </w:r>
          </w:p>
        </w:tc>
        <w:tc>
          <w:tcPr/>
          <w:p>
            <w:pPr>
              <w:pStyle w:val="Compact"/>
              <w:jc w:val="left"/>
            </w:pPr>
            <w:r>
              <w:t xml:space="preserve">60 (40–60)</w:t>
            </w:r>
          </w:p>
        </w:tc>
        <w:tc>
          <w:tcPr/>
          <w:p>
            <w:pPr>
              <w:pStyle w:val="Compact"/>
              <w:jc w:val="left"/>
            </w:pPr>
            <w:r>
              <w:t xml:space="preserve">0 (0–10)</w:t>
            </w:r>
          </w:p>
        </w:tc>
        <w:tc>
          <w:tcPr/>
          <w:p>
            <w:pPr>
              <w:pStyle w:val="Compact"/>
              <w:jc w:val="left"/>
            </w:pPr>
            <w:r>
              <w:t xml:space="preserve">10 (0–20)</w:t>
            </w:r>
          </w:p>
        </w:tc>
        <w:tc>
          <w:tcPr/>
          <w:p>
            <w:pPr>
              <w:pStyle w:val="Compact"/>
              <w:jc w:val="left"/>
            </w:pPr>
            <w:r>
              <w:t xml:space="preserve">30 (30–50)</w:t>
            </w:r>
          </w:p>
        </w:tc>
      </w:tr>
      <w:tr>
        <w:tc>
          <w:tcPr/>
          <w:p>
            <w:pPr>
              <w:pStyle w:val="Compact"/>
              <w:jc w:val="left"/>
            </w:pPr>
            <w:r>
              <w:t xml:space="preserve">교육학</w:t>
            </w:r>
          </w:p>
        </w:tc>
        <w:tc>
          <w:tcPr/>
          <w:p>
            <w:pPr>
              <w:pStyle w:val="Compact"/>
              <w:jc w:val="left"/>
            </w:pPr>
            <w:r>
              <w:t xml:space="preserve">10</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10 (10–30)</w:t>
            </w:r>
          </w:p>
        </w:tc>
        <w:tc>
          <w:tcPr/>
          <w:p>
            <w:pPr>
              <w:pStyle w:val="Compact"/>
              <w:jc w:val="left"/>
            </w:pPr>
            <w:r>
              <w:t xml:space="preserve">90 (70–90)</w:t>
            </w:r>
          </w:p>
        </w:tc>
      </w:tr>
      <w:tr>
        <w:tc>
          <w:tcPr/>
          <w:p>
            <w:pPr>
              <w:pStyle w:val="Compact"/>
              <w:jc w:val="left"/>
            </w:pPr>
            <w:r>
              <w:t xml:space="preserve">기타</w:t>
            </w:r>
          </w:p>
        </w:tc>
        <w:tc>
          <w:tcPr/>
          <w:p>
            <w:pPr>
              <w:pStyle w:val="Compact"/>
              <w:jc w:val="left"/>
            </w:pPr>
            <w:r>
              <w:t xml:space="preserve">34</w:t>
            </w:r>
          </w:p>
        </w:tc>
        <w:tc>
          <w:tcPr/>
          <w:p>
            <w:pPr>
              <w:pStyle w:val="Compact"/>
              <w:jc w:val="left"/>
            </w:pPr>
            <w:r>
              <w:t xml:space="preserve">47 (47–59)</w:t>
            </w:r>
          </w:p>
        </w:tc>
        <w:tc>
          <w:tcPr/>
          <w:p>
            <w:pPr>
              <w:pStyle w:val="Compact"/>
              <w:jc w:val="left"/>
            </w:pPr>
            <w:r>
              <w:t xml:space="preserve">18 (18–18)</w:t>
            </w:r>
          </w:p>
        </w:tc>
        <w:tc>
          <w:tcPr/>
          <w:p>
            <w:pPr>
              <w:pStyle w:val="Compact"/>
              <w:jc w:val="left"/>
            </w:pPr>
            <w:r>
              <w:t xml:space="preserve">15 (12–15)</w:t>
            </w:r>
          </w:p>
        </w:tc>
        <w:tc>
          <w:tcPr/>
          <w:p>
            <w:pPr>
              <w:pStyle w:val="Compact"/>
              <w:jc w:val="left"/>
            </w:pPr>
            <w:r>
              <w:t xml:space="preserve">21 (12–24)</w:t>
            </w:r>
          </w:p>
        </w:tc>
      </w:tr>
    </w:tbl>
    <w:p>
      <w:pPr>
        <w:pStyle w:val="BodyText"/>
      </w:pPr>
      <w:r>
        <w:t xml:space="preserve">분야와 프레임의 연관 강도는 Cramér’s V = 0.39(네 설정에서 0.37–0.40)로 중간 이상이다. 분야 라벨을 무작위로 섞은 5,000회 참조분포에서 관측값 이상이 나온 경우는 없었다(p&lt;0.001). 전수 자료이므로 이 값은 추론적 검정이 아니라 ’분야 구분 없이 프레임이 배정되었다고 가정할 때 이 정도 차이가 나올 가능성’을 보여주는 참조 지표로만 해석한다.</w:t>
      </w:r>
    </w:p>
    <w:bookmarkEnd w:id="35"/>
    <w:bookmarkStart w:id="36" w:name="주요-발견"/>
    <w:p>
      <w:pPr>
        <w:pStyle w:val="Heading2"/>
      </w:pPr>
      <w:r>
        <w:t xml:space="preserve">3. 주요 발견</w:t>
      </w:r>
    </w:p>
    <w:p>
      <w:pPr>
        <w:pStyle w:val="FirstParagraph"/>
      </w:pPr>
      <w:r>
        <w:rPr>
          <w:bCs/>
          <w:b/>
        </w:rPr>
        <w:t xml:space="preserve">(1) 안보·국제정치 계열은 현실 프레임이 지배적이다.</w:t>
      </w:r>
      <w:r>
        <w:t xml:space="preserve"> </w:t>
      </w:r>
      <w:r>
        <w:t xml:space="preserve">정치외교학(73%), 지역학(72%), 군사학(86%), 정책학(91%)에서 현실 프레임이 70% 안팎 이상이다. 이 가운데 정치외교·군사·지역 세 분야를 합친 계열(n=69)에서는 현실 75%(67–78), 자유 10%(7–10), 구성 14%(13–16)이다.</w:t>
      </w:r>
    </w:p>
    <w:p>
      <w:pPr>
        <w:pStyle w:val="BodyText"/>
      </w:pPr>
      <w:r>
        <w:rPr>
          <w:bCs/>
          <w:b/>
        </w:rPr>
        <w:t xml:space="preserve">(2) 법학은 같은 토픽을 자유(제도·규범) 프레임으로 다룬다.</w:t>
      </w:r>
      <w:r>
        <w:t xml:space="preserve"> </w:t>
      </w:r>
      <w:r>
        <w:t xml:space="preserve">법학 24편 중 자유가 46%(33–62)로 가장 많고 현실은 29%(29–33)에 그친다. 같은</w:t>
      </w:r>
      <w:r>
        <w:t xml:space="preserve"> </w:t>
      </w:r>
      <w:r>
        <w:t xml:space="preserve">‘</w:t>
      </w:r>
      <w:r>
        <w:t xml:space="preserve">국가 전략·미중 경쟁</w:t>
      </w:r>
      <w:r>
        <w:t xml:space="preserve">’</w:t>
      </w:r>
      <w:r>
        <w:t xml:space="preserve"> </w:t>
      </w:r>
      <w:r>
        <w:t xml:space="preserve">토픽이라도 법학은 경쟁 자체보다 규제·제도 설계를 논거의 중심에 둔다. 이 분야 차이의 방향(법학의 현실 비중이 정치외교·지역의 절반 이하)은 네 설정 모두에서 유지되었다.</w:t>
      </w:r>
    </w:p>
    <w:p>
      <w:pPr>
        <w:pStyle w:val="BodyText"/>
      </w:pPr>
      <w:r>
        <w:rPr>
          <w:bCs/>
          <w:b/>
        </w:rPr>
        <w:t xml:space="preserve">(3) 경영학과 교육학은 프레임 바깥의 접근이 많다.</w:t>
      </w:r>
      <w:r>
        <w:t xml:space="preserve"> </w:t>
      </w:r>
      <w:r>
        <w:t xml:space="preserve">교육학은 10편 중 9편이 해당없음(90%)이며 현실 프레임은 없다(0%). 경영학은 현실·자유·해당없음이 각각 27–33%로 분산한다. 이는 해당 분야가 이 토픽을 국제정치 프레임이 아닌 산업·인재·기술 응용 문제로 다룬다는 뜻으로 해석할 수 있다.</w:t>
      </w:r>
    </w:p>
    <w:p>
      <w:pPr>
        <w:pStyle w:val="BodyText"/>
      </w:pPr>
      <w:r>
        <w:rPr>
          <w:bCs/>
          <w:b/>
        </w:rPr>
        <w:t xml:space="preserve">(4) 구성주의 프레임은 학제간 연구에서 상대적으로 높다.</w:t>
      </w:r>
      <w:r>
        <w:t xml:space="preserve"> </w:t>
      </w:r>
      <w:r>
        <w:t xml:space="preserve">학제간연구의 구성 비중은 31%(15–31)로 전체 평균(15%)의 두 배이나, n=13이고 정의문 변경 시 절반으로 줄어들므로 잠정적 관찰에 그친다.</w:t>
      </w:r>
    </w:p>
    <w:bookmarkEnd w:id="36"/>
    <w:bookmarkStart w:id="37" w:name="분류-설정에-대한-강건성요약"/>
    <w:p>
      <w:pPr>
        <w:pStyle w:val="Heading2"/>
      </w:pPr>
      <w:r>
        <w:t xml:space="preserve">4. 분류 설정에 대한 강건성(요약)</w:t>
      </w:r>
    </w:p>
    <w:p>
      <w:pPr>
        <w:numPr>
          <w:ilvl w:val="0"/>
          <w:numId w:val="1001"/>
        </w:numPr>
        <w:pStyle w:val="Compact"/>
      </w:pPr>
      <w:r>
        <w:t xml:space="preserve">분야 간 차이의 큰 방향(정치외교·지역·군사·정책은 현실, 법학은 자유 비중이 가장 큼, 교육학은 해당없음)은 네 가지 분류 설정에서 모두 유지되었다.</w:t>
      </w:r>
    </w:p>
    <w:p>
      <w:pPr>
        <w:numPr>
          <w:ilvl w:val="0"/>
          <w:numId w:val="1001"/>
        </w:numPr>
        <w:pStyle w:val="Compact"/>
      </w:pPr>
      <w:r>
        <w:t xml:space="preserve">반면 군사학(현실 86→57), 정책학(91→64), 경영학(현실 27→47), 법학의 자유(33–62), 구성 비율 전반은 설정에 따라 크게 움직인다. 이들의 절대 수치는 점추정이 아니라 범위로 해석해야 한다.</w:t>
      </w:r>
    </w:p>
    <w:p>
      <w:pPr>
        <w:numPr>
          <w:ilvl w:val="0"/>
          <w:numId w:val="1001"/>
        </w:numPr>
        <w:pStyle w:val="Compact"/>
      </w:pPr>
      <w:r>
        <w:t xml:space="preserve">분야별 반복 분류 일치율은 정치외교 0.93, 군사 0.93, 지역 0.88, 법학 0.83, 경영 0.67로, 일치율이 낮은 분야일수록 위 범위가 넓다.</w:t>
      </w:r>
    </w:p>
    <w:bookmarkEnd w:id="37"/>
    <w:bookmarkStart w:id="38" w:name="분류의-안정성"/>
    <w:p>
      <w:pPr>
        <w:pStyle w:val="Heading2"/>
      </w:pPr>
      <w:r>
        <w:t xml:space="preserve">5. 분류의 안정성</w:t>
      </w:r>
    </w:p>
    <w:p>
      <w:pPr>
        <w:pStyle w:val="FirstParagraph"/>
      </w:pPr>
      <w:r>
        <w:t xml:space="preserve">표 2는 1차 분류와 세 가지 재분류(독립 반복, 초록 전체 제공, 정의문 변경)의 일치도이다. 재분류는 모두 이전 라벨을 보지 않은 독립 인스턴스가 수행하였다.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w:t>
            </w:r>
          </w:p>
        </w:tc>
        <w:tc>
          <w:tcPr/>
          <w:p>
            <w:pPr>
              <w:pStyle w:val="Compact"/>
              <w:jc w:val="left"/>
            </w:pPr>
            <w:r>
              <w:t xml:space="preserve">일치율</w:t>
            </w:r>
          </w:p>
        </w:tc>
        <w:tc>
          <w:tcPr/>
          <w:p>
            <w:pPr>
              <w:pStyle w:val="Compact"/>
              <w:jc w:val="left"/>
            </w:pPr>
            <w:r>
              <w:t xml:space="preserve">κ</w:t>
            </w:r>
          </w:p>
        </w:tc>
      </w:tr>
      <w:tr>
        <w:tc>
          <w:tcPr/>
          <w:p>
            <w:pPr>
              <w:pStyle w:val="Compact"/>
              <w:jc w:val="left"/>
            </w:pPr>
            <w:r>
              <w:t xml:space="preserve">1차 분류 vs 독립 반복</w:t>
            </w:r>
          </w:p>
        </w:tc>
        <w:tc>
          <w:tcPr/>
          <w:p>
            <w:pPr>
              <w:pStyle w:val="Compact"/>
              <w:jc w:val="left"/>
            </w:pPr>
            <w:r>
              <w:t xml:space="preserve">0.882</w:t>
            </w:r>
          </w:p>
        </w:tc>
        <w:tc>
          <w:tcPr/>
          <w:p>
            <w:pPr>
              <w:pStyle w:val="Compact"/>
              <w:jc w:val="left"/>
            </w:pPr>
            <w:r>
              <w:t xml:space="preserve">0.811</w:t>
            </w:r>
          </w:p>
        </w:tc>
      </w:tr>
      <w:tr>
        <w:tc>
          <w:tcPr/>
          <w:p>
            <w:pPr>
              <w:pStyle w:val="Compact"/>
              <w:jc w:val="left"/>
            </w:pPr>
            <w:r>
              <w:t xml:space="preserve">1차 분류 vs 초록 전체 제공</w:t>
            </w:r>
          </w:p>
        </w:tc>
        <w:tc>
          <w:tcPr/>
          <w:p>
            <w:pPr>
              <w:pStyle w:val="Compact"/>
              <w:jc w:val="left"/>
            </w:pPr>
            <w:r>
              <w:t xml:space="preserve">0.876</w:t>
            </w:r>
          </w:p>
        </w:tc>
        <w:tc>
          <w:tcPr/>
          <w:p>
            <w:pPr>
              <w:pStyle w:val="Compact"/>
              <w:jc w:val="left"/>
            </w:pPr>
            <w:r>
              <w:t xml:space="preserve">0.799</w:t>
            </w:r>
          </w:p>
        </w:tc>
      </w:tr>
      <w:tr>
        <w:tc>
          <w:tcPr/>
          <w:p>
            <w:pPr>
              <w:pStyle w:val="Compact"/>
              <w:jc w:val="left"/>
            </w:pPr>
            <w:r>
              <w:t xml:space="preserve">1차 분류 vs 정의문 변경</w:t>
            </w:r>
          </w:p>
        </w:tc>
        <w:tc>
          <w:tcPr/>
          <w:p>
            <w:pPr>
              <w:pStyle w:val="Compact"/>
              <w:jc w:val="left"/>
            </w:pPr>
            <w:r>
              <w:t xml:space="preserve">0.817</w:t>
            </w:r>
          </w:p>
        </w:tc>
        <w:tc>
          <w:tcPr/>
          <w:p>
            <w:pPr>
              <w:pStyle w:val="Compact"/>
              <w:jc w:val="left"/>
            </w:pPr>
            <w:r>
              <w:t xml:space="preserve">0.719</w:t>
            </w:r>
          </w:p>
        </w:tc>
      </w:tr>
      <w:tr>
        <w:tc>
          <w:tcPr/>
          <w:p>
            <w:pPr>
              <w:pStyle w:val="Compact"/>
              <w:jc w:val="left"/>
            </w:pPr>
            <w:r>
              <w:t xml:space="preserve">초록 전체 제공 vs 정의문 변경</w:t>
            </w:r>
          </w:p>
        </w:tc>
        <w:tc>
          <w:tcPr/>
          <w:p>
            <w:pPr>
              <w:pStyle w:val="Compact"/>
              <w:jc w:val="left"/>
            </w:pPr>
            <w:r>
              <w:t xml:space="preserve">–</w:t>
            </w:r>
          </w:p>
        </w:tc>
        <w:tc>
          <w:tcPr/>
          <w:p>
            <w:pPr>
              <w:pStyle w:val="Compact"/>
              <w:jc w:val="left"/>
            </w:pPr>
            <w:r>
              <w:t xml:space="preserve">0.696</w:t>
            </w:r>
          </w:p>
        </w:tc>
      </w:tr>
    </w:tbl>
    <w:p>
      <w:pPr>
        <w:pStyle w:val="BodyText"/>
      </w:pPr>
      <w:r>
        <w:t xml:space="preserve">코드북이 같으면 κ가 0.80 안팎으로 안정적이었으나, 정의문을 바꾸면</w:t>
      </w:r>
      <w:r>
        <w:t xml:space="preserve"> </w:t>
      </w:r>
      <w:r>
        <w:t xml:space="preserve">‘</w:t>
      </w:r>
      <w:r>
        <w:t xml:space="preserve">구성</w:t>
      </w:r>
      <w:r>
        <w:t xml:space="preserve">’</w:t>
      </w:r>
      <w:r>
        <w:t xml:space="preserve"> </w:t>
      </w:r>
      <w:r>
        <w:t xml:space="preserve">논문 10편이</w:t>
      </w:r>
      <w:r>
        <w:t xml:space="preserve"> </w:t>
      </w:r>
      <w:r>
        <w:t xml:space="preserve">‘</w:t>
      </w:r>
      <w:r>
        <w:t xml:space="preserve">자유’로, ’현실</w:t>
      </w:r>
      <w:r>
        <w:t xml:space="preserve">’</w:t>
      </w:r>
      <w:r>
        <w:t xml:space="preserve"> </w:t>
      </w:r>
      <w:r>
        <w:t xml:space="preserve">논문 11편이</w:t>
      </w:r>
      <w:r>
        <w:t xml:space="preserve"> </w:t>
      </w:r>
      <w:r>
        <w:t xml:space="preserve">‘</w:t>
      </w:r>
      <w:r>
        <w:t xml:space="preserve">해당없음’으로 옮겨 가 구성 비중이 15%에서 9%로 줄었다. 확신도별 일치율은 ’상</w:t>
      </w:r>
      <w:r>
        <w:t xml:space="preserve">’</w:t>
      </w:r>
      <w:r>
        <w:t xml:space="preserve"> </w:t>
      </w:r>
      <w:r>
        <w:t xml:space="preserve">97.6%,</w:t>
      </w:r>
      <w:r>
        <w:t xml:space="preserve"> </w:t>
      </w:r>
      <w:r>
        <w:t xml:space="preserve">‘</w:t>
      </w:r>
      <w:r>
        <w:t xml:space="preserve">중</w:t>
      </w:r>
      <w:r>
        <w:t xml:space="preserve">’</w:t>
      </w:r>
      <w:r>
        <w:t xml:space="preserve"> </w:t>
      </w:r>
      <w:r>
        <w:t xml:space="preserve">88.7%,</w:t>
      </w:r>
      <w:r>
        <w:t xml:space="preserve"> </w:t>
      </w:r>
      <w:r>
        <w:t xml:space="preserve">‘</w:t>
      </w:r>
      <w:r>
        <w:t xml:space="preserve">하</w:t>
      </w:r>
      <w:r>
        <w:t xml:space="preserve">’</w:t>
      </w:r>
      <w:r>
        <w:t xml:space="preserve"> </w:t>
      </w:r>
      <w:r>
        <w:t xml:space="preserve">65.2%였다. 사람 기준과의 대조에서는, 연구자가 독립 코딩한 50편과 LLM 1차 분류의 일치율이 76.0%, κ = 0.67(95% 부트스트랩 구간 0.50–0.82)이었다. LLM 라벨의 층 크기로 가중한 일치율은 77.1%(0.65–0.89)였다. 같은 50편에서 다른 설정의 일치는 독립 반복 0.82(κ 0.75), 초록 전체 제공 0.90(κ 0.86; 강건성 설정이며 주 분석값은 아님), 정의문 변경 0.70(κ 0.60)이었다. 불일치 12편 가운데 연구자가 ’구성’으로 판정했으나 LLM이 다른 프레임(자유 1, 해당없음 2, 현실 2)으로 분류한 경우가 5편, 반대로 LLM이 ’구성’으로 분류했으나 연구자는 다르게 판정한 경우가 2편이었다. 분야별로는 정치외교 12편 중 11편(92%)이 일치한 반면 법학은 7편 중 4편(57%), 정책학은 4편 중 2편(50%)이었고, 분야별 표본이 작아 참고용이다. 연구자 확정 10편과의 일치는 별도로 독립 반복 6편, 초록 전체 제공 7편, 정의문 변경 6편이었다.</w:t>
      </w:r>
    </w:p>
    <w:bookmarkEnd w:id="38"/>
    <w:bookmarkStart w:id="39" w:name="이-결과가-말하지-못하는-것"/>
    <w:p>
      <w:pPr>
        <w:pStyle w:val="Heading2"/>
      </w:pPr>
      <w:r>
        <w:t xml:space="preserve">6. 이 결과가 말하지 못하는 것</w:t>
      </w:r>
    </w:p>
    <w:p>
      <w:pPr>
        <w:numPr>
          <w:ilvl w:val="0"/>
          <w:numId w:val="1002"/>
        </w:numPr>
      </w:pPr>
      <w:r>
        <w:t xml:space="preserve">주 분석 입력(450자)보다 초록 전체를 줄 때 연구자와의 일치가 더 높았으므로(표본 50편), 초록 길이가 분류 품질에 영향을 줄 수 있다. 초록 전체 기준 분야별 비율은 표 1의 범위에 이미 포함되어 있다.</w:t>
      </w:r>
    </w:p>
    <w:p>
      <w:pPr>
        <w:numPr>
          <w:ilvl w:val="0"/>
          <w:numId w:val="1002"/>
        </w:numPr>
      </w:pPr>
      <w:r>
        <w:t xml:space="preserve">사람 기준과의 타당도는 단일 코더 50편에서 κ=0.67(구간 0.50–0.82)로 확인되었으나 표본이 작고 구간 하한이 낮다.</w:t>
      </w:r>
    </w:p>
    <w:p>
      <w:pPr>
        <w:numPr>
          <w:ilvl w:val="0"/>
          <w:numId w:val="1002"/>
        </w:numPr>
      </w:pPr>
      <w:r>
        <w:t xml:space="preserve">제목·초록 기반 분류이므로 본문 논거와 다를 수 있다.</w:t>
      </w:r>
    </w:p>
    <w:p>
      <w:pPr>
        <w:numPr>
          <w:ilvl w:val="0"/>
          <w:numId w:val="1002"/>
        </w:numPr>
      </w:pPr>
      <w:r>
        <w:t xml:space="preserve">분야 구분은 KCI 중분류 기준이며, 한 논문이 복수 분야에 걸치는 경우 첫 분류만 사용했다. [확인: 분야 지정 규칙]</w:t>
      </w:r>
    </w:p>
    <w:bookmarkEnd w:id="39"/>
    <w:bookmarkEnd w:id="40"/>
    <w:bookmarkStart w:id="45" w:name="논의-및-결론"/>
    <w:p>
      <w:pPr>
        <w:pStyle w:val="Heading1"/>
      </w:pPr>
      <w:r>
        <w:t xml:space="preserve">Ⅴ. 논의 및 결론</w:t>
      </w:r>
    </w:p>
    <w:bookmarkStart w:id="41" w:name="발견의-의미"/>
    <w:p>
      <w:pPr>
        <w:pStyle w:val="Heading2"/>
      </w:pPr>
      <w:r>
        <w:t xml:space="preserve">1. 발견의 의미</w:t>
      </w:r>
    </w:p>
    <w:p>
      <w:pPr>
        <w:pStyle w:val="FirstParagraph"/>
      </w:pPr>
      <w:r>
        <w:t xml:space="preserve">같은</w:t>
      </w:r>
      <w:r>
        <w:t xml:space="preserve"> </w:t>
      </w:r>
      <w:r>
        <w:t xml:space="preserve">‘</w:t>
      </w:r>
      <w:r>
        <w:t xml:space="preserve">국가 전략·미중 경쟁</w:t>
      </w:r>
      <w:r>
        <w:t xml:space="preserve">’</w:t>
      </w:r>
      <w:r>
        <w:t xml:space="preserve"> </w:t>
      </w:r>
      <w:r>
        <w:t xml:space="preserve">토픽 안에서도 학문분야가 논거의 중심을 다르게 설정한다는 점이 확인되었다. 안보·국제정치 계열은 AI를 국가 간 경쟁과 안보의 대상으로 다루는 현실주의 문제틀을 따르고, 법학은 같은 경쟁 상황을 규제와 제도 설계의 문제로 옮겨 다룬다. 이는 AI 거버넌스 담론이 하나의 공통 논의가 아니라 분야별 문제 정의 위에서 병렬로 전개되고 있음을 시사한다. 논문 1이 보인 뉴스와 학계의 프레임 차이(학계는 구성·자유 비중이 높다)는 학계 내부의 이질성이 부분적 원인일 수 있다는 해석의 단서도 제공한다. 다만 두 연구의 대상과 방법이 다르므로 직접 비교는 하지 않았다.</w:t>
      </w:r>
    </w:p>
    <w:bookmarkEnd w:id="41"/>
    <w:bookmarkStart w:id="42" w:name="정책학술적-함의"/>
    <w:p>
      <w:pPr>
        <w:pStyle w:val="Heading2"/>
      </w:pPr>
      <w:r>
        <w:t xml:space="preserve">2. 정책·학술적 함의</w:t>
      </w:r>
    </w:p>
    <w:p>
      <w:pPr>
        <w:numPr>
          <w:ilvl w:val="0"/>
          <w:numId w:val="1003"/>
        </w:numPr>
        <w:pStyle w:val="Compact"/>
      </w:pPr>
      <w:r>
        <w:t xml:space="preserve">정책적으로 안보 중심 논의와 제도·규범 중심 논의가 서로 다른 분야에서 생산되므로, 국가 전략을 수립할 때 두 계열의 지식이 연결되는 경로가 필요하다.</w:t>
      </w:r>
    </w:p>
    <w:p>
      <w:pPr>
        <w:numPr>
          <w:ilvl w:val="0"/>
          <w:numId w:val="1003"/>
        </w:numPr>
        <w:pStyle w:val="Compact"/>
      </w:pPr>
      <w:r>
        <w:t xml:space="preserve">학술적으로 학제간연구에서 구성주의 프레임이 상대적으로 높게 나타난 점은 후속 연구에서 본문 수준 분석으로 확인할 만하다.</w:t>
      </w:r>
    </w:p>
    <w:bookmarkEnd w:id="42"/>
    <w:bookmarkStart w:id="43" w:name="방법론적-시사점과-한계"/>
    <w:p>
      <w:pPr>
        <w:pStyle w:val="Heading2"/>
      </w:pPr>
      <w:r>
        <w:t xml:space="preserve">3. 방법론적 시사점과 한계</w:t>
      </w:r>
    </w:p>
    <w:p>
      <w:pPr>
        <w:numPr>
          <w:ilvl w:val="0"/>
          <w:numId w:val="1004"/>
        </w:numPr>
        <w:pStyle w:val="Compact"/>
      </w:pPr>
      <w:r>
        <w:t xml:space="preserve">LLM 분류는 같은 코드북에서 안정적이었으나(κ≈0.80) 정의문이 바뀌면 구성주의 경계가 크게 움직였다. 따라서 LLM 기반 프레임 분석은 수치 하나가 아니라 설정별 범위로 보고해야 한다.</w:t>
      </w:r>
    </w:p>
    <w:p>
      <w:pPr>
        <w:numPr>
          <w:ilvl w:val="0"/>
          <w:numId w:val="1004"/>
        </w:numPr>
        <w:pStyle w:val="Compact"/>
      </w:pPr>
      <w:r>
        <w:t xml:space="preserve">연구자의 독립 코딩 50편과의 일치는 κ=0.67(95% 구간 0.50–0.82)로, 사람 기준 타당도가 어느 정도 확인되었으나 단일 코더, 50편이라는 한계가 있고 구간 하한이 중등도 수준이다. 불일치에서 연구자가 ’구성’으로 보고 LLM이 아니라고 본 경우(5편)가 반대(2편)보다 많아, 구성 비중이 LLM 분류에서 과소추정되었을 가능성이 있으나 표본이 작아 잠정적이다. 반복 분류는 신뢰도일 뿐 타당도를 보증하지 않으며 체계적 편향은 재현된다.</w:t>
      </w:r>
    </w:p>
    <w:p>
      <w:pPr>
        <w:numPr>
          <w:ilvl w:val="0"/>
          <w:numId w:val="1004"/>
        </w:numPr>
        <w:pStyle w:val="Compact"/>
      </w:pPr>
      <w:r>
        <w:t xml:space="preserve">제목·초록 기반 분류이고, KCI 코퍼스와 LDA 배정에 의존하며, 소규모 분야(n&lt;15)의 비율은 불안정하다. 결과는 이 코퍼스에 한정된 기술적 모수이다.</w:t>
      </w:r>
    </w:p>
    <w:p>
      <w:pPr>
        <w:numPr>
          <w:ilvl w:val="0"/>
          <w:numId w:val="1004"/>
        </w:numPr>
        <w:pStyle w:val="Compact"/>
      </w:pPr>
      <w:r>
        <w:t xml:space="preserve">후속 연구는 사람 코더 다수와의 대조, 본문 수준 분석, 복수 모델 비교가 필요하다.</w:t>
      </w:r>
    </w:p>
    <w:bookmarkEnd w:id="43"/>
    <w:bookmarkStart w:id="44" w:name="결론"/>
    <w:p>
      <w:pPr>
        <w:pStyle w:val="Heading2"/>
      </w:pPr>
      <w:r>
        <w:t xml:space="preserve">4. 결론</w:t>
      </w:r>
    </w:p>
    <w:p>
      <w:pPr>
        <w:pStyle w:val="FirstParagraph"/>
      </w:pPr>
      <w: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bookmarkEnd w:id="44"/>
    <w:bookmarkEnd w:id="45"/>
    <w:bookmarkStart w:id="46" w:name="참고문헌"/>
    <w:p>
      <w:pPr>
        <w:pStyle w:val="Heading1"/>
      </w:pPr>
      <w:r>
        <w:t xml:space="preserve">참고문헌</w:t>
      </w:r>
    </w:p>
    <w:p>
      <w:pPr>
        <w:numPr>
          <w:ilvl w:val="0"/>
          <w:numId w:val="1005"/>
        </w:numPr>
      </w:pPr>
      <w:r>
        <w:t xml:space="preserve">김상배 (2025). 미중 인공지능 패권경쟁과 한국: 국제정치의 전환과 중견국의 국가전략. 『국가전략』, 31(2), 101–132.</w:t>
      </w:r>
    </w:p>
    <w:p>
      <w:pPr>
        <w:numPr>
          <w:ilvl w:val="0"/>
          <w:numId w:val="1005"/>
        </w:numPr>
      </w:pPr>
      <w:r>
        <w:t xml:space="preserve">유인태 (2025). 인공지능과 미·중 전략 경쟁의 국제정치: 글로벌 AI 반도체 공급망과 미국의 경제적 강압을 중심으로. 『국제정치논총』, 65(1), 103–140.</w:t>
      </w:r>
    </w:p>
    <w:p>
      <w:pPr>
        <w:numPr>
          <w:ilvl w:val="0"/>
          <w:numId w:val="1005"/>
        </w:numPr>
      </w:pPr>
      <w:r>
        <w:t xml:space="preserve">이재준 (2022). 미국과 중국의 군사 기술 경쟁과 세력 전이: 인공지능, 자율무기체계 군사 기술을 중심으로. 『한국과 국제정치』, 38(3), 1–35.</w:t>
      </w:r>
    </w:p>
    <w:p>
      <w:pPr>
        <w:numPr>
          <w:ilvl w:val="0"/>
          <w:numId w:val="1005"/>
        </w:numPr>
      </w:pPr>
      <w:r>
        <w:t xml:space="preserve">차정미 (2022). 미중 패권경쟁과 인공지능 군사력 경쟁. 『국가전략』, 28(3), 5–31.</w:t>
      </w:r>
    </w:p>
    <w:p>
      <w:pPr>
        <w:numPr>
          <w:ilvl w:val="0"/>
          <w:numId w:val="1005"/>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5"/>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5"/>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5"/>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5"/>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5"/>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5"/>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5"/>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5"/>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5"/>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5"/>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같은 소재, 다른 문제틀: 국가 전략·미중 경쟁 토픽에 대한 학문분야별 AI 거버넌스 프레임 비교</dc:title>
  <dc:creator/>
  <cp:keywords/>
  <dcterms:created xsi:type="dcterms:W3CDTF">2026-10-14T14:22:11Z</dcterms:created>
  <dcterms:modified xsi:type="dcterms:W3CDTF">2026-10-14T14:22:11Z</dcterms:modified>
</cp:coreProperties>
</file>

<file path=docProps/custom.xml><?xml version="1.0" encoding="utf-8"?>
<Properties xmlns="http://schemas.openxmlformats.org/officeDocument/2006/custom-properties" xmlns:vt="http://schemas.openxmlformats.org/officeDocument/2006/docPropsVTypes"/>
</file>