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정치외교학(73%)·지역학(72%)·군사학(86%)·정책학(91%)은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V=0.39였다. 이러한 큰 방향은 분류 설정과 무관하게 유지되었으나 분야별 세부 비율, 특히 구성주의 비중은 설정에 민감하였다. 반복 분류의 일치도는 κ=0.81, 정의문 변경 시 κ=0.72였고 연구자 확정 라벨과의 일치는 제한적이었다.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(72%), military studies (86%), and policy studies (91%), while law favored a liberal, rules-and-institutions frame (46%) over realism (29%); most education papers (90%) fit none of the frames. Association between discipline and frame was moderate (Cramér’s V = 0.39). The broad pattern held across all classification settings, but disciplinary percentages, particularly for constructivism, were sensitive to prompt wording (repeat κ = 0.81; reworded definitions κ = 0.72), and agreement with researcher-confirmed labels was limited.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선행 연구는 2019년 5월부터 2026년 9월까지 한국 언론과 학계의 AI 글로벌 거버넌스 담론을 토픽모형과 국제정치이론 프레임으로 비교하였다. 그 연구에서 국가 전략·미중 경쟁 토픽은 뉴스의 대부분을 차지했고, 학술논문에서도 가장 큰 토픽 가운데 하나였다</w:t>
      </w:r>
      <w:r>
        <w:t xml:space="preserve"> </w:t>
      </w:r>
      <w:r>
        <w:rPr>
          <w:rStyle w:val="VerbatimChar"/>
        </w:rPr>
        <w:t xml:space="preserve">[확인: 선행 연구 서지·수치]</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또한 이론 기반 프레임 분류에 LLM을 쓸 때 그 결과가 분류 설정에 얼마나 민감한지를 함께 보고한 연구도 확인하지 못했다</w:t>
      </w:r>
      <w:r>
        <w:t xml:space="preserve"> </w:t>
      </w:r>
      <w:r>
        <w:rPr>
          <w:rStyle w:val="VerbatimChar"/>
        </w:rPr>
        <w:t xml:space="preserve">[확인: LLM 기반 내용분석 선행 연구 검토 보강]</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선행 연구와 같은 것이다</w:t>
      </w:r>
      <w:r>
        <w:t xml:space="preserve"> </w:t>
      </w:r>
      <w:r>
        <w:rPr>
          <w:rStyle w:val="VerbatimChar"/>
        </w:rPr>
        <w:t xml:space="preserve">[확인: 선행 연구와의 관계 명시]</w:t>
      </w:r>
      <w:r>
        <w:t xml:space="preserve">. 학문분야는 KCI 연구분야 중분류를 사용하며, 10편 미만 분야는 ’기타’로 묶었다.</w:t>
      </w:r>
      <w:r>
        <w:t xml:space="preserve"> </w:t>
      </w:r>
      <w:r>
        <w:rPr>
          <w:rStyle w:val="VerbatimChar"/>
        </w:rPr>
        <w:t xml:space="preserve">[확인: 복수 분야 논문의 분야 지정 규칙]</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모델 식별자]</w:t>
      </w:r>
      <w:r>
        <w:t xml:space="preserve">. 연구자가 직접 확정한 라벨이 있는 10편은 분석값이 아니라 타당화 참고에만 사용하였다.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기준은 연구자 확정 라벨 10편뿐이며 표본이 작다.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분야별 비율은 1차 분류 값과 네 가지 분류 설정에서의 최소–최대 범위를 함께 보고한다.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분류 결과는 연구자의 재검토를 거치지 않은 자동 분류값이며, 연구자와의 일치도는 연구자가 직접 확정한 10편에 한해 제시하였다.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25</w:t>
            </w:r>
          </w:p>
        </w:tc>
        <w:tc>
          <w:tcPr/>
          <w:p>
            <w:pPr>
              <w:pStyle w:val="Compact"/>
              <w:jc w:val="left"/>
            </w:pPr>
            <w:r>
              <w:t xml:space="preserve">72 (64–76)</w:t>
            </w:r>
          </w:p>
        </w:tc>
        <w:tc>
          <w:tcPr/>
          <w:p>
            <w:pPr>
              <w:pStyle w:val="Compact"/>
              <w:jc w:val="left"/>
            </w:pPr>
            <w:r>
              <w:t xml:space="preserve">16 (12–16)</w:t>
            </w:r>
          </w:p>
        </w:tc>
        <w:tc>
          <w:tcPr/>
          <w:p>
            <w:pPr>
              <w:pStyle w:val="Compact"/>
              <w:jc w:val="left"/>
            </w:pPr>
            <w:r>
              <w:t xml:space="preserve">12 (8–12)</w:t>
            </w:r>
          </w:p>
        </w:tc>
        <w:tc>
          <w:tcPr/>
          <w:p>
            <w:pPr>
              <w:pStyle w:val="Compact"/>
              <w:jc w:val="left"/>
            </w:pPr>
            <w:r>
              <w:t xml:space="preserve">0 (0–12)</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11</w:t>
            </w:r>
          </w:p>
        </w:tc>
        <w:tc>
          <w:tcPr/>
          <w:p>
            <w:pPr>
              <w:pStyle w:val="Compact"/>
              <w:jc w:val="left"/>
            </w:pPr>
            <w:r>
              <w:t xml:space="preserve">91 (64–91)</w:t>
            </w:r>
          </w:p>
        </w:tc>
        <w:tc>
          <w:tcPr/>
          <w:p>
            <w:pPr>
              <w:pStyle w:val="Compact"/>
              <w:jc w:val="left"/>
            </w:pPr>
            <w:r>
              <w:t xml:space="preserve">0 (0–0)</w:t>
            </w:r>
          </w:p>
        </w:tc>
        <w:tc>
          <w:tcPr/>
          <w:p>
            <w:pPr>
              <w:pStyle w:val="Compact"/>
              <w:jc w:val="left"/>
            </w:pPr>
            <w:r>
              <w:t xml:space="preserve">9 (0–9)</w:t>
            </w:r>
          </w:p>
        </w:tc>
        <w:tc>
          <w:tcPr/>
          <w:p>
            <w:pPr>
              <w:pStyle w:val="Compact"/>
              <w:jc w:val="left"/>
            </w:pPr>
            <w:r>
              <w:t xml:space="preserve">0 (0–27)</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34</w:t>
            </w:r>
          </w:p>
        </w:tc>
        <w:tc>
          <w:tcPr/>
          <w:p>
            <w:pPr>
              <w:pStyle w:val="Compact"/>
              <w:jc w:val="left"/>
            </w:pPr>
            <w:r>
              <w:t xml:space="preserve">47 (47–59)</w:t>
            </w:r>
          </w:p>
        </w:tc>
        <w:tc>
          <w:tcPr/>
          <w:p>
            <w:pPr>
              <w:pStyle w:val="Compact"/>
              <w:jc w:val="left"/>
            </w:pPr>
            <w:r>
              <w:t xml:space="preserve">18 (18–18)</w:t>
            </w:r>
          </w:p>
        </w:tc>
        <w:tc>
          <w:tcPr/>
          <w:p>
            <w:pPr>
              <w:pStyle w:val="Compact"/>
              <w:jc w:val="left"/>
            </w:pPr>
            <w:r>
              <w:t xml:space="preserve">15 (12–15)</w:t>
            </w:r>
          </w:p>
        </w:tc>
        <w:tc>
          <w:tcPr/>
          <w:p>
            <w:pPr>
              <w:pStyle w:val="Compact"/>
              <w:jc w:val="left"/>
            </w:pPr>
            <w:r>
              <w:t xml:space="preserve">21 (12–24)</w:t>
            </w:r>
          </w:p>
        </w:tc>
      </w:tr>
    </w:tbl>
    <w:p>
      <w:pPr>
        <w:pStyle w:val="BodyText"/>
      </w:pPr>
      <w:r>
        <w:t xml:space="preserve">분야와 프레임의 연관 강도는 Cramér’s V = 0.39(네 설정에서 0.37–0.40)로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지역학(72%), 군사학(86%), 정책학(91%)에서 현실 프레임이 70% 안팎 이상이다. 이 네 분야를 합친 계열(정치외교·군사·지역, n=69)에서는 현실 75%(67–78), 자유 10%(7–10), 구성 14%(13–16)이다.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정책학(91→64),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0.88,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연구자가 직접 확정한 10편과의 일치는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Style w:val="Compact"/>
      </w:pPr>
      <w:r>
        <w:t xml:space="preserve">사람 코더의 기준과 비교한 타당도는 연구자 확정 10편에서 6–7편 일치에 그쳐 충분히 입증되지 않았다.</w:t>
      </w:r>
    </w:p>
    <w:p>
      <w:pPr>
        <w:numPr>
          <w:ilvl w:val="0"/>
          <w:numId w:val="1002"/>
        </w:numPr>
        <w:pStyle w:val="Compact"/>
      </w:pPr>
      <w:r>
        <w:t xml:space="preserve">제목·초록 기반 분류이므로 본문 논거와 다를 수 있다.</w:t>
      </w:r>
    </w:p>
    <w:p>
      <w:pPr>
        <w:numPr>
          <w:ilvl w:val="0"/>
          <w:numId w:val="1002"/>
        </w:numPr>
        <w:pStyle w:val="Compact"/>
      </w:pPr>
      <w:r>
        <w:t xml:space="preserve">분야 구분은 KCI 중분류 기준이며, 한 논문이 복수 분야에 걸치는 경우 첫 분류만 사용했다. [확인: 분야 지정 규칙]</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논문 1이 보인 뉴스와 학계의 프레임 차이(학계는 구성·자유 비중이 높다)는 학계 내부의 이질성이 부분적 원인일 수 있다는 해석의 단서도 제공한다. 다만 두 연구의 대상과 방법이 다르므로 직접 비교는 하지 않았다.</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 확정 라벨 10편 중 6–7편만 일치하여 사람 기준 타당도는 충분히 입증되지 않았다.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2026-10-13T16:43:37Z</dcterms:created>
  <dcterms:modified xsi:type="dcterms:W3CDTF">2026-10-13T16:43:37Z</dcterms:modified>
</cp:coreProperties>
</file>

<file path=docProps/custom.xml><?xml version="1.0" encoding="utf-8"?>
<Properties xmlns="http://schemas.openxmlformats.org/officeDocument/2006/custom-properties" xmlns:vt="http://schemas.openxmlformats.org/officeDocument/2006/docPropsVTypes"/>
</file>