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결과-논문-2-초안"/>
    <w:p>
      <w:pPr>
        <w:pStyle w:val="Heading1"/>
      </w:pPr>
      <w:r>
        <w:t xml:space="preserve">결과 (논문 2 초안)</w:t>
      </w:r>
    </w:p>
    <w:p>
      <w:pPr>
        <w:pStyle w:val="FirstParagraph"/>
      </w:pPr>
      <w:r>
        <w:t xml:space="preserve">※ 본 절의 모든 프레임 값은 LLM 분류값이다(연구방법 §3–4). 괄호 안은 반복 분류·변형 1·변형 2를 포함한 네 가지 분류 설정에서의 최소–최대 범위이다. 분석 대상은 T1 논문 186편 전수이므로 비율은 모수이며 표본추정치가 아니다.</w:t>
      </w:r>
    </w:p>
    <w:bookmarkStart w:id="20" w:name="전체-분포"/>
    <w:p>
      <w:pPr>
        <w:pStyle w:val="Heading2"/>
      </w:pPr>
      <w:r>
        <w:t xml:space="preserve">1. 전체 분포</w:t>
      </w:r>
    </w:p>
    <w:p>
      <w:pPr>
        <w:pStyle w:val="FirstParagraph"/>
      </w:pPr>
      <w:r>
        <w:t xml:space="preserve">1차 분류 기준으로 T1 186편의 프레임은 현실 102편(54.8%), 자유 29편(15.6%), 구성 28편(15.1%), 해당없음 26편(14.0%), 판정불가 1편(0.5%)이다. 같은 토픽 안에서도 현실주의 프레임이 절반을 넘지만, 그 외 프레임이 합쳐 45%에 이른다.</w:t>
      </w:r>
    </w:p>
    <w:bookmarkEnd w:id="20"/>
    <w:bookmarkStart w:id="21" w:name="학문분야별-프레임-분포"/>
    <w:p>
      <w:pPr>
        <w:pStyle w:val="Heading2"/>
      </w:pPr>
      <w:r>
        <w:t xml:space="preserve">2. 학문분야별 프레임 분포</w:t>
      </w:r>
    </w:p>
    <w:p>
      <w:pPr>
        <w:pStyle w:val="FirstParagraph"/>
      </w:pPr>
      <w:r>
        <w:t xml:space="preserve">표 1은 중분류 분야별 프레임 비율(1차 분류, %)과 네 가지 설정에서의 범위이다. 10편 미만 분야는 ’기타’로 묶었다(n=34).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정치외교학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(73–77)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(7–10)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(17–20)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(64–76)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(12–16)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(8–12)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(29–33)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(33–62)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(0–29)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(4–4)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경영학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(27–47)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(20–27)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(0–13)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(27–47)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군사학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(57–86)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(7–21)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학제간연구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(54–62)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(8–8)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(15–31)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(8–23)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정책학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(64–91)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(0–9)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사회과학일반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(40–60)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(0–20)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(30–50)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(0–0)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(10–30)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(70–90)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(47–59)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(18–18)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(12–15)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(12–24)</w:t>
            </w:r>
          </w:p>
        </w:tc>
      </w:tr>
    </w:tbl>
    <w:p>
      <w:pPr>
        <w:pStyle w:val="BodyText"/>
      </w:pPr>
      <w:r>
        <w:t xml:space="preserve">분야와 프레임의 연관 강도는 Cramér’s V = 0.39(네 설정에서 0.37–0.40)로 중간 이상이다. 분야 라벨을 무작위로 섞은 5,000회 참조분포에서 관측값 이상이 나온 경우는 없었다(p&lt;0.001). 전수 자료이므로 이 값은 추론적 검정이 아니라 ’분야 구분 없이 프레임이 배정되었다고 가정할 때 이 정도 차이가 나올 가능성’을 보여주는 참조 지표로만 해석한다.</w:t>
      </w:r>
    </w:p>
    <w:bookmarkEnd w:id="21"/>
    <w:bookmarkStart w:id="22" w:name="주요-발견"/>
    <w:p>
      <w:pPr>
        <w:pStyle w:val="Heading2"/>
      </w:pPr>
      <w:r>
        <w:t xml:space="preserve">3. 주요 발견</w:t>
      </w:r>
    </w:p>
    <w:p>
      <w:pPr>
        <w:pStyle w:val="FirstParagraph"/>
      </w:pPr>
      <w:r>
        <w:rPr>
          <w:bCs/>
          <w:b/>
        </w:rPr>
        <w:t xml:space="preserve">(1) 안보·국제정치 계열은 현실 프레임이 지배적이다.</w:t>
      </w:r>
      <w:r>
        <w:t xml:space="preserve"> </w:t>
      </w:r>
      <w:r>
        <w:t xml:space="preserve">정치외교학(73%), 지역학(72%), 군사학(86%), 정책학(91%)에서 현실 프레임이 70% 안팎 이상이다. 이 네 분야를 합친 계열(정치외교·군사·지역, n=69)에서는 현실 75%(67–78), 자유 10%(7–10), 구성 14%(13–16)이다.</w:t>
      </w:r>
    </w:p>
    <w:p>
      <w:pPr>
        <w:pStyle w:val="BodyText"/>
      </w:pPr>
      <w:r>
        <w:rPr>
          <w:bCs/>
          <w:b/>
        </w:rPr>
        <w:t xml:space="preserve">(2) 법학은 같은 토픽을 자유(제도·규범) 프레임으로 다룬다.</w:t>
      </w:r>
      <w:r>
        <w:t xml:space="preserve"> </w:t>
      </w:r>
      <w:r>
        <w:t xml:space="preserve">법학 24편 중 자유가 46%(33–62)로 가장 많고 현실은 29%(29–33)에 그친다. 같은</w:t>
      </w:r>
      <w:r>
        <w:t xml:space="preserve"> </w:t>
      </w:r>
      <w:r>
        <w:t xml:space="preserve">‘</w:t>
      </w:r>
      <w:r>
        <w:t xml:space="preserve">국가 전략·미중 경쟁</w:t>
      </w:r>
      <w:r>
        <w:t xml:space="preserve">’</w:t>
      </w:r>
      <w:r>
        <w:t xml:space="preserve"> </w:t>
      </w:r>
      <w:r>
        <w:t xml:space="preserve">토픽이라도 법학은 경쟁 자체보다 규제·제도 설계를 논거의 중심에 둔다. 이 분야 차이의 방향(법학의 현실 비중이 정치외교·지역의 절반 이하)은 네 설정 모두에서 유지되었다.</w:t>
      </w:r>
    </w:p>
    <w:p>
      <w:pPr>
        <w:pStyle w:val="BodyText"/>
      </w:pPr>
      <w:r>
        <w:rPr>
          <w:bCs/>
          <w:b/>
        </w:rPr>
        <w:t xml:space="preserve">(3) 경영학과 교육학은 프레임 바깥의 접근이 많다.</w:t>
      </w:r>
      <w:r>
        <w:t xml:space="preserve"> </w:t>
      </w:r>
      <w:r>
        <w:t xml:space="preserve">교육학은 10편 중 9편이 해당없음(90%)이며 현실 프레임은 없다(0%). 경영학은 현실·자유·해당없음이 각각 27–33%로 분산한다. 이는 해당 분야가 이 토픽을 국제정치 프레임이 아닌 산업·인재·기술 응용 문제로 다룬다는 뜻으로 해석할 수 있다.</w:t>
      </w:r>
    </w:p>
    <w:p>
      <w:pPr>
        <w:pStyle w:val="BodyText"/>
      </w:pPr>
      <w:r>
        <w:rPr>
          <w:bCs/>
          <w:b/>
        </w:rPr>
        <w:t xml:space="preserve">(4) 구성주의 프레임은 학제간 연구에서 상대적으로 높다.</w:t>
      </w:r>
      <w:r>
        <w:t xml:space="preserve"> </w:t>
      </w:r>
      <w:r>
        <w:t xml:space="preserve">학제간연구의 구성 비중은 31%(15–31)로 전체 평균(15%)의 두 배이나, n=13이고 정의문 변경 시 절반으로 줄어들므로 잠정적 관찰에 그친다.</w:t>
      </w:r>
    </w:p>
    <w:bookmarkEnd w:id="22"/>
    <w:bookmarkStart w:id="23" w:name="분류-설정에-대한-강건성"/>
    <w:p>
      <w:pPr>
        <w:pStyle w:val="Heading2"/>
      </w:pPr>
      <w:r>
        <w:t xml:space="preserve">4. 분류 설정에 대한 강건성</w:t>
      </w:r>
    </w:p>
    <w:p>
      <w:pPr>
        <w:numPr>
          <w:ilvl w:val="0"/>
          <w:numId w:val="1001"/>
        </w:numPr>
        <w:pStyle w:val="Compact"/>
      </w:pPr>
      <w:r>
        <w:t xml:space="preserve">분야 간 차이의 큰 방향(정치외교·지역·군사·정책은 현실, 법학은 자유 비중이 가장 큼, 교육학은 해당없음)은 네 가지 분류 설정에서 모두 유지되었다.</w:t>
      </w:r>
    </w:p>
    <w:p>
      <w:pPr>
        <w:numPr>
          <w:ilvl w:val="0"/>
          <w:numId w:val="1001"/>
        </w:numPr>
        <w:pStyle w:val="Compact"/>
      </w:pPr>
      <w:r>
        <w:t xml:space="preserve">반면 군사학(현실 86→57), 정책학(91→64), 경영학(현실 27→47), 법학의 자유(33–62), 구성 비율 전반은 설정에 따라 크게 움직인다. 이들의 절대 수치는 점추정이 아니라 범위로 해석해야 한다.</w:t>
      </w:r>
    </w:p>
    <w:p>
      <w:pPr>
        <w:numPr>
          <w:ilvl w:val="0"/>
          <w:numId w:val="1001"/>
        </w:numPr>
        <w:pStyle w:val="Compact"/>
      </w:pPr>
      <w:r>
        <w:t xml:space="preserve">분야별 반복 분류 일치율은 정치외교 0.93, 군사 0.93, 지역 0.88, 법학 0.83, 경영 0.67로, 일치율이 낮은 분야일수록 위 범위가 넓다.</w:t>
      </w:r>
    </w:p>
    <w:bookmarkEnd w:id="23"/>
    <w:bookmarkStart w:id="24" w:name="이-결과가-말하지-못하는-것"/>
    <w:p>
      <w:pPr>
        <w:pStyle w:val="Heading2"/>
      </w:pPr>
      <w:r>
        <w:t xml:space="preserve">5. 이 결과가 말하지 못하는 것</w:t>
      </w:r>
    </w:p>
    <w:p>
      <w:pPr>
        <w:numPr>
          <w:ilvl w:val="0"/>
          <w:numId w:val="1002"/>
        </w:numPr>
        <w:pStyle w:val="Compact"/>
      </w:pPr>
      <w:r>
        <w:t xml:space="preserve">사람 코더의 기준과 비교한 타당도는 연구자 확정 10편에서 6–7편 일치에 그쳐 충분히 입증되지 않았다.</w:t>
      </w:r>
    </w:p>
    <w:p>
      <w:pPr>
        <w:numPr>
          <w:ilvl w:val="0"/>
          <w:numId w:val="1002"/>
        </w:numPr>
        <w:pStyle w:val="Compact"/>
      </w:pPr>
      <w:r>
        <w:t xml:space="preserve">제목·초록 기반 분류이므로 본문 논거와 다를 수 있다.</w:t>
      </w:r>
    </w:p>
    <w:p>
      <w:pPr>
        <w:numPr>
          <w:ilvl w:val="0"/>
          <w:numId w:val="1002"/>
        </w:numPr>
        <w:pStyle w:val="Compact"/>
      </w:pPr>
      <w:r>
        <w:t xml:space="preserve">분야 구분은 KCI 중분류 기준이며, 한 논문이 복수 분야에 걸치는 경우 첫 분류만 사용했다. [확인: 분야 지정 규칙]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2026-10-13T16:40:34Z</dcterms:created>
  <dcterms:modified xsi:type="dcterms:W3CDTF">2026-10-13T16:40:34Z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