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논문-2-연구방법-초안-llm-기반-내용분석-설계"/>
    <w:p>
      <w:pPr>
        <w:pStyle w:val="Heading1"/>
      </w:pPr>
      <w:r>
        <w:t xml:space="preserve">논문 2 연구방법 초안: LLM 기반 내용분석 설계</w:t>
      </w:r>
    </w:p>
    <w:p>
      <w:pPr>
        <w:pStyle w:val="FirstParagraph"/>
      </w:pPr>
      <w:r>
        <w:t xml:space="preserve">(가제) 분야는 같은데 프레임은 다른가: 국가 전략·미중 경쟁 토픽에 대한 학문분야별 AI 거버넌스 프레임 비교</w:t>
      </w:r>
    </w:p>
    <w:bookmarkStart w:id="20" w:name="연구-설계의-위치"/>
    <w:p>
      <w:pPr>
        <w:pStyle w:val="Heading2"/>
      </w:pPr>
      <w:r>
        <w:t xml:space="preserve">1. 연구 설계의 위치</w:t>
      </w:r>
    </w:p>
    <w:p>
      <w:pPr>
        <w:pStyle w:val="FirstParagraph"/>
      </w:pPr>
      <w:r>
        <w:t xml:space="preserve">본 연구는 국내 학술논문 코퍼스(KCI, 669편)에서 LDA로 도출한</w:t>
      </w:r>
      <w:r>
        <w:t xml:space="preserve"> </w:t>
      </w:r>
      <w:r>
        <w:t xml:space="preserve">‘</w:t>
      </w:r>
      <w:r>
        <w:t xml:space="preserve">국가 전략·미중 경쟁</w:t>
      </w:r>
      <w:r>
        <w:t xml:space="preserve">’</w:t>
      </w:r>
      <w:r>
        <w:t xml:space="preserve"> </w:t>
      </w:r>
      <w:r>
        <w:t xml:space="preserve">토픽(T1, 186편) 전체를 대상으로, 학문분야(중분류)에 따라 국제정치이론 프레임(현실주의·자유주의·구성주의)이 어떻게 달라지는지 비교한다. 프레임 판정은 사람 코더가 아니라 대규모 언어모델(LLM)을 분류 도구로 사용하는 자동 내용분석(LLM-assisted content analysis)으로 수행한다. 따라서 본 연구의 방법론적 기여는 (a) 분야 비교 결과와 함께 (b) 이론 기반 프레임 분류에 LLM을 적용하는 절차와 그 타당화 근거를 제시하는 데 있다.</w:t>
      </w:r>
    </w:p>
    <w:bookmarkEnd w:id="20"/>
    <w:bookmarkStart w:id="21" w:name="분석-대상-전수"/>
    <w:p>
      <w:pPr>
        <w:pStyle w:val="Heading2"/>
      </w:pPr>
      <w:r>
        <w:t xml:space="preserve">2. 분석 대상: 전수</w:t>
      </w:r>
    </w:p>
    <w:p>
      <w:pPr>
        <w:pStyle w:val="FirstParagraph"/>
      </w:pPr>
      <w:r>
        <w:t xml:space="preserve">T1에 배정된 논문 186편 전체를 분석하며 표집은 하지 않는다. 따라서 분야별 비율은 표본추정치가 아니라 해당 코퍼스의 모수이다. 다만 코퍼스 자체가 KCI 검색·수집 범위와 LDA 배정 규칙에 의존하므로, 일반화 범위는 이 코퍼스로 한정한다.</w:t>
      </w:r>
    </w:p>
    <w:bookmarkEnd w:id="21"/>
    <w:bookmarkStart w:id="22" w:name="프레임-분류-절차"/>
    <w:p>
      <w:pPr>
        <w:pStyle w:val="Heading2"/>
      </w:pPr>
      <w:r>
        <w:t xml:space="preserve">3. 프레임 분류 절차</w:t>
      </w:r>
    </w:p>
    <w:p>
      <w:pPr>
        <w:numPr>
          <w:ilvl w:val="0"/>
          <w:numId w:val="1001"/>
        </w:numPr>
        <w:pStyle w:val="Compact"/>
      </w:pPr>
      <w:r>
        <w:t xml:space="preserve">분류 단위: 논문 1편(제목·초록 앞부분). 본문 전체는 사용하지 않는다.</w:t>
      </w:r>
    </w:p>
    <w:p>
      <w:pPr>
        <w:numPr>
          <w:ilvl w:val="0"/>
          <w:numId w:val="1001"/>
        </w:numPr>
        <w:pStyle w:val="Compact"/>
      </w:pPr>
      <w:r>
        <w:t xml:space="preserve">분류 기준: 코드북 v3(</w:t>
      </w:r>
      <w:r>
        <w:rPr>
          <w:rStyle w:val="VerbatimChar"/>
        </w:rPr>
        <w:t xml:space="preserve">frame_coding_criteria.md</w:t>
      </w:r>
      <w:r>
        <w:t xml:space="preserve">). 핵심 논거(Entman)를 기준으로 현실(권력·경쟁·안보), 자유(규범·제도 설계·조화), 구성(권리·윤리·책임·가치), 해당없음 중 하나를 배정하고, 판정이 어려우면 U로 둔다.</w:t>
      </w:r>
    </w:p>
    <w:p>
      <w:pPr>
        <w:numPr>
          <w:ilvl w:val="0"/>
          <w:numId w:val="1001"/>
        </w:numPr>
        <w:pStyle w:val="Compact"/>
      </w:pPr>
      <w:r>
        <w:t xml:space="preserve">분류 도구: 대규모 언어모델(LLM)이 코드북에 따라 논문별로 프레임·부프레임·확신도를 출력한다. 사용 모델명, 버전, 호출 일자, 프롬프트 전문은 부록에 제시한다. [확인: 모델 식별자는 실제 투고본에 맞춰 기재]</w:t>
      </w:r>
    </w:p>
    <w:p>
      <w:pPr>
        <w:numPr>
          <w:ilvl w:val="0"/>
          <w:numId w:val="1001"/>
        </w:numPr>
        <w:pStyle w:val="Compact"/>
      </w:pPr>
      <w:r>
        <w:t xml:space="preserve">분류 결과는 사람의 재검토를 거치지 않은 자동 분류값을 기본 분석값으로 한다. 연구자의 직접 확정 라벨이 있는 논문(10편)은 타당화 용도로만 사용하고 분석값은 LLM 분류값을 쓴다.</w:t>
      </w:r>
    </w:p>
    <w:bookmarkEnd w:id="22"/>
    <w:bookmarkStart w:id="23" w:name="타당화-사람-코딩을-대체하는-근거"/>
    <w:p>
      <w:pPr>
        <w:pStyle w:val="Heading2"/>
      </w:pPr>
      <w:r>
        <w:t xml:space="preserve">4. 타당화 (사람 코딩을 대체하는 근거)</w:t>
      </w:r>
    </w:p>
    <w:p>
      <w:pPr>
        <w:pStyle w:val="FirstParagraph"/>
      </w:pPr>
      <w:r>
        <w:t xml:space="preserve">사람 코딩을 하지 않으므로 타당성은 다음 세 가지로 보인다.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외부 기준 대비 일치도.</w:t>
      </w:r>
      <w:r>
        <w:t xml:space="preserve"> </w:t>
      </w:r>
      <w:r>
        <w:t xml:space="preserve">논문 1의 파일럿에서 연구자가 독립 코딩한 라벨과 LLM 분류를 비교한 Cohen’s κ(약 0.51, 중등도)를 보고한다. [확인: 정확한 수치와 신뢰구간은</w:t>
      </w:r>
      <w:r>
        <w:t xml:space="preserve"> </w:t>
      </w:r>
      <w:r>
        <w:rPr>
          <w:rStyle w:val="VerbatimChar"/>
        </w:rPr>
        <w:t xml:space="preserve">frame_results_summary.md</w:t>
      </w:r>
      <w:r>
        <w:t xml:space="preserve">에서 재확인] T1 내 연구자 확정 10편에 대해서도 일치율을 별도로 보고하되, 표본이 작아 참고치임을 밝힌다.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재현성(반복 분류).</w:t>
      </w:r>
      <w:r>
        <w:t xml:space="preserve"> </w:t>
      </w:r>
      <w:r>
        <w:t xml:space="preserve">동일 프롬프트로 독립 반복 분류를 실시해 반복 간 κ를 보고한다. 이 값은 신뢰도이지 타당도가 아니다.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강건성 분석.</w:t>
      </w:r>
      <w:r>
        <w:t xml:space="preserve"> </w:t>
      </w:r>
      <w:r>
        <w:t xml:space="preserve">(가) 확신도가 낮은 논문과 U 판정 논문을 제외했을 때, (나) 프롬프트 문구를 바꿨을 때 분야별 결론이 유지되는지 확인한다. 분류 오류가 분야와 무관하게 무작위라면 분야 간 차이는 감쇠될 뿐이지만, 오류가 분야별로 체계적이면 차이가 왜곡될 수 있으므로 분야별 일치율도 따로 보고한다.</w:t>
      </w:r>
    </w:p>
    <w:bookmarkEnd w:id="23"/>
    <w:bookmarkStart w:id="24" w:name="분석"/>
    <w:p>
      <w:pPr>
        <w:pStyle w:val="Heading2"/>
      </w:pPr>
      <w:r>
        <w:t xml:space="preserve">5. 분석</w:t>
      </w:r>
    </w:p>
    <w:p>
      <w:pPr>
        <w:numPr>
          <w:ilvl w:val="0"/>
          <w:numId w:val="1003"/>
        </w:numPr>
        <w:pStyle w:val="Compact"/>
      </w:pPr>
      <w:r>
        <w:t xml:space="preserve">분야 × 프레임 교차표와 분야별 프레임 비율을 제시한다. 전수이므로 가설검정보다 효과크기(Cramér’s V)와 분야 간 비율 차이를 중심으로 쓰고, 소규모 분야(셀 기대빈도 5 미만)는 묶거나 기술통계로만 제시한다.</w:t>
      </w:r>
    </w:p>
    <w:p>
      <w:pPr>
        <w:numPr>
          <w:ilvl w:val="0"/>
          <w:numId w:val="1003"/>
        </w:numPr>
        <w:pStyle w:val="Compact"/>
      </w:pPr>
      <w:r>
        <w:t xml:space="preserve">분류 불확실성은 확신도 가중 분석과 분류 오류를 반영한 민감도 범위로 보인다.</w:t>
      </w:r>
    </w:p>
    <w:bookmarkEnd w:id="24"/>
    <w:bookmarkStart w:id="25" w:name="한계와-윤리-논문에-명시"/>
    <w:p>
      <w:pPr>
        <w:pStyle w:val="Heading2"/>
      </w:pPr>
      <w:r>
        <w:t xml:space="preserve">6. 한계와 윤리 (논문에 명시)</w:t>
      </w:r>
    </w:p>
    <w:p>
      <w:pPr>
        <w:numPr>
          <w:ilvl w:val="0"/>
          <w:numId w:val="1004"/>
        </w:numPr>
        <w:pStyle w:val="Compact"/>
      </w:pPr>
      <w:r>
        <w:t xml:space="preserve">프레임 분류가 LLM에 의존하며 일치도가 중등도에 그친다는 점, 제목·초록만 분석했다는 점, 모델 버전 변화로 재현이 달라질 수 있다는 점을 한계로 쓴다.</w:t>
      </w:r>
    </w:p>
    <w:p>
      <w:pPr>
        <w:numPr>
          <w:ilvl w:val="0"/>
          <w:numId w:val="1004"/>
        </w:numPr>
        <w:pStyle w:val="Compact"/>
      </w:pPr>
      <w:r>
        <w:t xml:space="preserve">코퍼스 구성과 10편의 직접 확정 라벨은 논문 1과 겹친다. 논문 1과의 관계를 투고 시 밝히고 중복 게재로 오해되지 않도록 한다.</w:t>
      </w:r>
    </w:p>
    <w:p>
      <w:pPr>
        <w:numPr>
          <w:ilvl w:val="0"/>
          <w:numId w:val="1004"/>
        </w:numPr>
        <w:pStyle w:val="Compact"/>
      </w:pPr>
      <w:r>
        <w:t xml:space="preserve">학술지의 생성형 AI 사용 규정을 확인해 방법 절과 사사/투고 양식에 AI 사용을 기재한다. 분석 도구로서의 사용을 밝히는 것은 이 설계의 전제이며, 생략하지 않는다.</w:t>
      </w:r>
    </w:p>
    <w:bookmarkEnd w:id="25"/>
    <w:bookmarkStart w:id="26" w:name="필요-작업-남은-것"/>
    <w:p>
      <w:pPr>
        <w:pStyle w:val="Heading2"/>
      </w:pPr>
      <w:r>
        <w:t xml:space="preserve">7. 필요 작업 (남은 것)</w:t>
      </w:r>
    </w:p>
    <w:p>
      <w:pPr>
        <w:numPr>
          <w:ilvl w:val="0"/>
          <w:numId w:val="1005"/>
        </w:numPr>
        <w:pStyle w:val="Compact"/>
      </w:pPr>
      <w:r>
        <w:t xml:space="preserve">반복 분류와 프롬프트 변형 분류를 실행해 재현성·강건성 수치를 산출한다.</w:t>
      </w:r>
    </w:p>
    <w:p>
      <w:pPr>
        <w:numPr>
          <w:ilvl w:val="0"/>
          <w:numId w:val="1005"/>
        </w:numPr>
        <w:pStyle w:val="Compact"/>
      </w:pPr>
      <w:r>
        <w:t xml:space="preserve">분야별 일치율 계산 후 결과 절 작성.</w:t>
      </w:r>
    </w:p>
    <w:p>
      <w:pPr>
        <w:numPr>
          <w:ilvl w:val="0"/>
          <w:numId w:val="1005"/>
        </w:numPr>
        <w:pStyle w:val="Compact"/>
      </w:pPr>
      <w:r>
        <w:t xml:space="preserve">투고 대상 학술지의 AI 사용 규정 확인.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2026-10-13T16:35:18Z</dcterms:created>
  <dcterms:modified xsi:type="dcterms:W3CDTF">2026-10-13T16:35:18Z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