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연구-방법-초안"/>
    <w:p>
      <w:pPr>
        <w:pStyle w:val="Heading1"/>
      </w:pPr>
      <w:r>
        <w:t xml:space="preserve">연구 방법 (초안)</w:t>
      </w:r>
    </w:p>
    <w:p>
      <w:pPr>
        <w:pStyle w:val="BlockText"/>
      </w:pPr>
      <w:r>
        <w:t xml:space="preserve">작성 상태: 초안 v1. 수치는 레포의 기록(</w:t>
      </w:r>
      <w:r>
        <w:rPr>
          <w:rStyle w:val="VerbatimChar"/>
        </w:rPr>
        <w:t xml:space="preserve">keyword_design.md</w:t>
      </w:r>
      <w:r>
        <w:t xml:space="preserve">,</w:t>
      </w:r>
      <w:r>
        <w:t xml:space="preserve"> </w:t>
      </w:r>
      <w:r>
        <w:rPr>
          <w:rStyle w:val="VerbatimChar"/>
        </w:rPr>
        <w:t xml:space="preserve">relevance_coding_criteria.md</w:t>
      </w:r>
      <w:r>
        <w:t xml:space="preserve">,</w:t>
      </w:r>
      <w:r>
        <w:t xml:space="preserve"> </w:t>
      </w:r>
      <w:r>
        <w:rPr>
          <w:rStyle w:val="VerbatimChar"/>
        </w:rPr>
        <w:t xml:space="preserve">frame_coding_criteria.md</w:t>
      </w:r>
      <w:r>
        <w:t xml:space="preserve">,</w:t>
      </w:r>
      <w:r>
        <w:t xml:space="preserve"> </w:t>
      </w:r>
      <w:r>
        <w:rPr>
          <w:rStyle w:val="VerbatimChar"/>
        </w:rPr>
        <w:t xml:space="preserve">frame_results_summary.md</w:t>
      </w:r>
      <w:r>
        <w:t xml:space="preserve">)에서 옮겼다.</w:t>
      </w:r>
      <w:r>
        <w:t xml:space="preserve"> </w:t>
      </w:r>
      <w:r>
        <w:rPr>
          <w:rStyle w:val="VerbatimChar"/>
        </w:rPr>
        <w:t xml:space="preserve">[확인]</w:t>
      </w:r>
      <w:r>
        <w:t xml:space="preserve"> </w:t>
      </w:r>
      <w:r>
        <w:t xml:space="preserve">표시는 저자가 결정하거나 인용을 확인해야 하는 곳이다.</w:t>
      </w:r>
    </w:p>
    <w:bookmarkStart w:id="20" w:name="연구-설계-개요"/>
    <w:p>
      <w:pPr>
        <w:pStyle w:val="Heading2"/>
      </w:pPr>
      <w:r>
        <w:t xml:space="preserve">1. 연구 설계 개요</w:t>
      </w:r>
    </w:p>
    <w:p>
      <w:pPr>
        <w:pStyle w:val="FirstParagraph"/>
      </w:pPr>
      <w:r>
        <w:t xml:space="preserve">본 연구는 2019년 OECD AI 원칙 채택 이후 한국 언론과 학계가 AI 규범·글로벌 거버넌스를 어떻게 다뤄 왔는지를 비교한다. 분석 기간은 2019년 5월 1일부터 2026년 9월 30일까지이다. 연구 질문은 두 가지이다. 첫째, 언론과 학계는 어떤 정책 주제(topic)를 다루는가. 둘째, 그 주제들은 국제정치학의 세 이론 전통(현실주의, 자유주의, 구성주의)에 비추어 어떤 프레임으로 구성되는가. 가설은 언론이 지정학(현실주의) 프레임에 치우치고 학계는 제도·규범(자유주의·구성주의) 논의에 머문다는 것이다.</w:t>
      </w:r>
    </w:p>
    <w:p>
      <w:pPr>
        <w:pStyle w:val="BodyText"/>
      </w:pPr>
      <w:r>
        <w:t xml:space="preserve">분석은 동향분석(trend analysis)의 틀에서 텍스트마이닝으로 수행했다. 절차는 (1) 두 코퍼스 수집, (2) 프레임 중립적 관련성 판정으로 코퍼스 확정, (3) 학계 코퍼스에서 LDA 토픽모형 추정 후 언론 코퍼스에 투영, (4) 토픽별 표본에 프레임 코딩을 하여 토픽→프레임을 대응시키고 비율을 추정하는 순서이다. 주제와 프레임을 모두 보기 위해 정책 이슈 토픽을 먼저 도출하고, 이를 이론 틀로 재해석하는 결합 방식을 택했다.</w:t>
      </w:r>
    </w:p>
    <w:p>
      <w:pPr>
        <w:pStyle w:val="BodyText"/>
      </w:pPr>
      <w:r>
        <w:t xml:space="preserve">핵심 설계 원칙은 세 가지이다. ① 프레임 어휘(규범, 윤리, 안보, 패권 등)를 검색식에 넣지 않는다. 그렇지 않으면 수집 단계에서 결과를 미리 정하게 된다. ② 두 코퍼스에 같은 검색 논리와 같은 관련성 기준을 쓴다. ③ 주요 선택마다 민감도 분석용 대안 코퍼스를 둔다(기본 코퍼스와 확장 코퍼스).</w:t>
      </w:r>
    </w:p>
    <w:bookmarkEnd w:id="20"/>
    <w:bookmarkStart w:id="23" w:name="자료-수집"/>
    <w:p>
      <w:pPr>
        <w:pStyle w:val="Heading2"/>
      </w:pPr>
      <w:r>
        <w:t xml:space="preserve">2. 자료 수집</w:t>
      </w:r>
    </w:p>
    <w:bookmarkStart w:id="21" w:name="학술논문"/>
    <w:p>
      <w:pPr>
        <w:pStyle w:val="Heading3"/>
      </w:pPr>
      <w:r>
        <w:t xml:space="preserve">2.1 학술논문</w:t>
      </w:r>
    </w:p>
    <w:p>
      <w:pPr>
        <w:pStyle w:val="FirstParagraph"/>
      </w:pPr>
      <w:r>
        <w:t xml:space="preserve">학술논문은 한국학술지인용색인(KCI)의 등재지·등재후보지 논문을 대상으로 했다. 도구는 제목 검색 방식이어서, AI 핵심어를 제목에서 찾는 1단계(수집)와 국제적 맥락을 걸러내는 2단계(오프라인)로 나누었다. 1단계 검색어는 인공지능, 생성형 AI, Generative AI, 챗GPT, ChatGPT이며, 파일럿에서 총 건수가 같거나 극소수였던 검색어(생성형 인공지능, 초거대 AI, 파운데이션 모델 등)는 제외했다. 이후 2024년 파일럿에서 AI·Artificial Intelligence 질의가 인공지능 질의와 다른 논문을 가져온다는 것이 확인되어(2024년 117편 누락) 두 검색어로 보충 수집한 뒤 KCI 논문 ID로 병합했다. 두 번의 수집으로 포획-재포획 추정을 하면 병합본이 전체의 약 99.8%를 포함하는 것으로 추정되나, 두 수집이 독립이라는 가정 아래의 값이므로 실제 누락은 더 클 수 있다.</w:t>
      </w:r>
    </w:p>
    <w:p>
      <w:pPr>
        <w:pStyle w:val="BodyText"/>
      </w:pPr>
      <w:r>
        <w:t xml:space="preserve">수집한 고유 논문은 19,263편이다. 월 필터(2019-05~2026-09) 후 19,131편, 등재구분(우수등재·등재·등재후보) 후 18,821편이 남았다. 2단계에서 국제적 맥락어(국제기구·미국·중국·EU 등)가 제목·초록·키워드에 있는 논문을 후보로 삼아 2,272편을 얻었고, 이 중 공학·의약학 대분류 225편을 제외한 2,047편을 관련성 판정 대상으로 했다. 영문 초록만 있는 논문은 번역하여 포함했고(123편, 독일어 초록 2편은 Claude가 한국어로 번역), 영문 초록도 없는 3편은 제목과 키워드만 사용했다.</w:t>
      </w:r>
      <w:r>
        <w:t xml:space="preserve"> </w:t>
      </w:r>
      <w:r>
        <w:rPr>
          <w:rStyle w:val="VerbatimChar"/>
        </w:rPr>
        <w:t xml:space="preserve">[확인] 국문 초록 번역 방식과 번역 도구 사용 사실을 각주로 둘지</w:t>
      </w:r>
    </w:p>
    <w:bookmarkEnd w:id="21"/>
    <w:bookmarkStart w:id="22" w:name="신문기사"/>
    <w:p>
      <w:pPr>
        <w:pStyle w:val="Heading3"/>
      </w:pPr>
      <w:r>
        <w:t xml:space="preserve">2.2 신문기사</w:t>
      </w:r>
    </w:p>
    <w:p>
      <w:pPr>
        <w:pStyle w:val="FirstParagraph"/>
      </w:pPr>
      <w:r>
        <w:t xml:space="preserve">신문기사는 BIGKinds에서 전국일간지 11개(경향신문, 국민일보, 내일신문, 동아일보, 문화일보, 서울신문, 세계일보, 조선일보, 중앙일보, 한겨레, 한국일보)를 대상으로 수집했다. 검색식은 제목에 인공지능, AI, 생성형AI, 챗GPT, ChatGPT 중 하나를 포함하는 기사이며, AIA·AIG·AIIB·조류인플루엔자는 제외했다. 다운로드 건수 한도(20,000건)에 맞춰 기간을 나누어 받았고, 2019-05~2026-09의 모든 월을 확보했다. 고유 기사는 75,720건이며 노이즈·인사·부고·포토 기사를 제거한 뒤 72,489건이 남았다. 여기에 학술논문과 같은 국제적 맥락어 규칙을 제목·본문·키워드·기관에서 적용해 후보 28,657건을 얻었다.</w:t>
      </w:r>
    </w:p>
    <w:p>
      <w:pPr>
        <w:pStyle w:val="BodyText"/>
      </w:pPr>
      <w:r>
        <w:t xml:space="preserve">BIGKinds 내보내기 파일의 본문 필드는 앞 200자뿐이고, 키워드 필드는 기사 전체에서 추출한 명사이다. 따라서 뉴스의 텍스트 정보는 제목, 본문 앞 200자, 키워드로 구성된다. 이는 논문(초록 중심)과 텍스트 길이가 다르다는 뜻이며 한계로 기록한다.</w:t>
      </w:r>
    </w:p>
    <w:bookmarkEnd w:id="22"/>
    <w:bookmarkEnd w:id="23"/>
    <w:bookmarkStart w:id="26" w:name="관련성-판정과-코퍼스-확정"/>
    <w:p>
      <w:pPr>
        <w:pStyle w:val="Heading2"/>
      </w:pPr>
      <w:r>
        <w:t xml:space="preserve">3. 관련성 판정과 코퍼스 확정</w:t>
      </w:r>
    </w:p>
    <w:p>
      <w:pPr>
        <w:pStyle w:val="FirstParagraph"/>
      </w:pPr>
      <w:r>
        <w:t xml:space="preserve">수집된 후보에는 국제 어휘가 단어로만 걸린 문서가 많다. 이를 걸러내기 위해 프레임 중립적 관련성 기준(v2)을 적용했다. 문서가 AI의 정책·규제·거버넌스·전략·경쟁을 주제로 하며 국제적 수준(국제기구·다국가 비교·글로벌 규범 및 경쟁과 연결된 주요국 정책)에 해당하면 관련(R), 그렇지 않으면 비관련(N)으로 판정한다. 외국 한 나라의 국내 적용이나 개별 법리, 비정책 연구(활용·교육·디자인 등)는 N이다. 기준은 연구자의 독립 코딩과 에이전트 코딩을 비교하며 개정해 확정했다.</w:t>
      </w:r>
    </w:p>
    <w:bookmarkStart w:id="24" w:name="학술논문-1"/>
    <w:p>
      <w:pPr>
        <w:pStyle w:val="Heading3"/>
      </w:pPr>
      <w:r>
        <w:t xml:space="preserve">3.1 학술논문</w:t>
      </w:r>
    </w:p>
    <w:p>
      <w:pPr>
        <w:pStyle w:val="FirstParagraph"/>
      </w:pPr>
      <w:r>
        <w:t xml:space="preserve">후보 2,047편을 v2 기준으로 판정하고, 판정 근거와 근거 유형을 기록했다. 연구자는 무작위 100편과 불확실(U)로 남은 논문 전부를 직접 판정했다. 최종 관련 논문은 669편(기본 코퍼스)이다. 근거 유형이 국내인 비관련 논문 229편을 더한 898편을 확장 코퍼스로 두고 민감도 분석에 쓴다. 신뢰도는 새로 뽑은 블라인드 100편에서 연구자와 에이전트의 독립 판정을 비교해 구했으며, Cohen’s κ는 0.282(부트스트랩 95% CI 0.145~0.428)이다. 이 값은 협의 전 독립 신뢰도이다. 불일치를 재확인한 뒤의 일치도(κ 0.825)는 에이전트 판정과 근거를 본 뒤의 수정이므로 독립 신뢰도가 아니다. 연구자 수정 판정을 기준으로 한 v2 관련 판정의 정밀도는 31/31, 재현율은 31/39(79.5%, 95% CI 0.66~0.91)이다. 남은 불일치는 모두 연구자가 관련으로 본 국내 법제·기술 논문이었다.</w:t>
      </w:r>
      <w:r>
        <w:t xml:space="preserve"> </w:t>
      </w:r>
      <w:r>
        <w:rPr>
          <w:rStyle w:val="VerbatimChar"/>
        </w:rPr>
        <w:t xml:space="preserve">[확인] 독립 κ가 낮다는 점을 본문에 쓸지 부록에 둘지</w:t>
      </w:r>
    </w:p>
    <w:bookmarkEnd w:id="24"/>
    <w:bookmarkStart w:id="25" w:name="신문기사-1"/>
    <w:p>
      <w:pPr>
        <w:pStyle w:val="Heading3"/>
      </w:pPr>
      <w:r>
        <w:t xml:space="preserve">3.2 신문기사</w:t>
      </w:r>
    </w:p>
    <w:p>
      <w:pPr>
        <w:pStyle w:val="FirstParagraph"/>
      </w:pPr>
      <w:r>
        <w:t xml:space="preserve">후보 28,657건 중 연도별 층화 표본 2,500건을 에이전트가 v2 기준(뉴스판)으로 판정하고(관련 365건), 그 결과로 TF-IDF(제목 문자 2~4-gram과 키워드·기관 단어)를 입력으로 하는 로지스틱 회귀 분류기를 학습해 나머지 기사에 적용했다. 5겹 교차검증 성능은 AUC 0.98이고, 임계값 0.5에서 정밀도 0.84, 재현율 0.82, F1 0.83이었다. 에이전트 5개 중 3개는 관련만 기사별로 판단하고 나머지를 비관련으로 일괄 처리했다고 보고했기 때문에, 비관련 판정의 재현율은 별도 검증이 필요했다.</w:t>
      </w:r>
    </w:p>
    <w:p>
      <w:pPr>
        <w:pStyle w:val="BodyText"/>
      </w:pPr>
      <w:r>
        <w:t xml:space="preserve">이를 위해 학습에 쓰지 않은 기사 100건(분류기 관련 예측 60건과 관련 확률 0.15 이상의 경계 비관련 예측 40건)을 연구자가 블라인드로 판정했다. 분류기와의 일치율은 64%, κ는 0.211이었고 관련 예측 60건 중 48건(정밀도 0.80)을 연구자도 관련으로 판정했다. 경계 비관련 40건 중 24건은 연구자가 관련으로 보았다. 연구자가 에이전트 판정을 본 뒤 재확인한 결과 정밀도는 0.90, 경계 비관련 중 관련 비율은 14/40(35%)이 되었다. 이 재확인 값은 독립 신뢰도가 아니다. 연구자 판정 100건을 학습 데이터에 더해 분류기를 재학습했고(학습 2,600건), 관련 확률 0.5 이상(사람이 판정한 기사는 그 판정)을 기본 코퍼스 4,631건, 0.3 이상을 확장 코퍼스 5,945건으로 확정했다. 분류기의 재현율은 직접 측정하지 못했으며, 경계 구간에 관련 기사가 약 35% 섞여 있어 기본 코퍼스는 관련 기사를 일부 놓쳤을 가능성이 있다. 이를 확장 코퍼스 민감도 분석으로 점검한다.</w:t>
      </w:r>
    </w:p>
    <w:p>
      <w:pPr>
        <w:pStyle w:val="BodyText"/>
      </w:pPr>
      <w:r>
        <w:t xml:space="preserve">최종 코퍼스의 연도별 규모는 비대칭이다. 기본 코퍼스 기준 뉴스는 2019년 53건, 2020년 47건, 2021년 66건, 2022년 52건에서 2023년 711건, 2024년 798건, 2025년 1,225건, 2026년 1,679건으로 늘어난다. 논문은 2019년 12편에서 2025년 199편, 2026년 196편으로 늘어난다. 초기 연도의 표본이 작아 하위 구간 비교는 2019~2022년을 묶어 제시한다.</w:t>
      </w:r>
      <w:r>
        <w:t xml:space="preserve"> </w:t>
      </w:r>
      <w:r>
        <w:rPr>
          <w:rStyle w:val="VerbatimChar"/>
        </w:rPr>
        <w:t xml:space="preserve">[확인] 연구계획의 사건 기준 하위 구간 대신 연도 구간을 쓴 이유를 본문에 밝힐지</w:t>
      </w:r>
    </w:p>
    <w:bookmarkEnd w:id="25"/>
    <w:bookmarkEnd w:id="26"/>
    <w:bookmarkStart w:id="29" w:name="텍스트-전처리와-토픽모형"/>
    <w:p>
      <w:pPr>
        <w:pStyle w:val="Heading2"/>
      </w:pPr>
      <w:r>
        <w:t xml:space="preserve">4. 텍스트 전처리와 토픽모형</w:t>
      </w:r>
    </w:p>
    <w:bookmarkStart w:id="27" w:name="전처리"/>
    <w:p>
      <w:pPr>
        <w:pStyle w:val="Heading3"/>
      </w:pPr>
      <w:r>
        <w:t xml:space="preserve">4.1 전처리</w:t>
      </w:r>
    </w:p>
    <w:p>
      <w:pPr>
        <w:pStyle w:val="FirstParagraph"/>
      </w:pPr>
      <w:r>
        <w:t xml:space="preserve">형태소 분석은 Kiwi(kiwipiepy)로 했으며 인공지능, 생성형, 챗GPT를 사용자 사전에 등록했다. 일반명사·고유명사·외국어 토큰 중 길이 2 이상(AI 제외)인 것을 사용했고, 연구·논문·분석·정책 등 범용어와 뉴스 상투어를 불용어로 처리했다. AI와 인공지능 표기는 통일한 뒤 검색어와 같은 이 어휘 자체는 제거했다. 학술논문의 분석 텍스트는 논문명, 저자 키워드, 국문 초록(없으면 번역한 영문 초록)을 합쳤고, 뉴스는 제목, 본문 앞 200자, 키워드를 합쳤다. 학계 코퍼스의 어휘는 5문서 미만 또는 50% 초과 문서에 나타난 단어를 제외해 1,608개이며 문서당 평균 약 124개 토큰이다.</w:t>
      </w:r>
    </w:p>
    <w:bookmarkEnd w:id="27"/>
    <w:bookmarkStart w:id="28" w:name="토픽모형"/>
    <w:p>
      <w:pPr>
        <w:pStyle w:val="Heading3"/>
      </w:pPr>
      <w:r>
        <w:t xml:space="preserve">4.2 토픽모형</w:t>
      </w:r>
    </w:p>
    <w:p>
      <w:pPr>
        <w:pStyle w:val="FirstParagraph"/>
      </w:pPr>
      <w:r>
        <w:t xml:space="preserve">학계 기본 코퍼스(669편)에 LDA(gensim; passes 30, iterations 200, alpha·eta 자동 추정)를 적용했다. 토픽 수는 K=4~16에서 시드 3개의 평균 c_v 일관성으로 비교했다. K=5~9가 0.45~0.46의 고원이었고 K=7이 0.462로 가장 높아 K=7을 선택했다. 시드 간 표준편차가 0.01~0.03이므로 K=6~8 사이의 차이는 우연일 수 있다. 추정된 토픽은 특허·발명자성(29편), 국가 전략·미중 경쟁(186편), EU 입법(91편), 윤리·국제규범(87편), 저작권(86편), 책임·제조물책임(44편), 데이터·개인정보·알고리즘 규제(146편)이다. 토픽 이름은 상위 단어와 대표 논문을 읽고 연구자가 붙였다.</w:t>
      </w:r>
    </w:p>
    <w:p>
      <w:pPr>
        <w:pStyle w:val="BodyText"/>
      </w:pPr>
      <w:r>
        <w:t xml:space="preserve">언론 코퍼스는 학계 모형에 투영해(문서별 지배 토픽 할당) 두 코퍼스가 같은 주제 축 위에 놓이게 했다. 투영 결과 뉴스의 78.7%가 국가 전략·미중 경쟁 토픽에 들어갔는데, 이 토픽에는 수출통제·전쟁·정상 외교·산업 육성·거버넌스 담론이 섞여 있었다. 이를 풀기 위해 해당 뉴스 3,643건에 대해 별도 LDA(K=6, 일관성 0.543)를 추정해 반도체 수출통제, 군사·전쟁 AI, 미중·트럼프 정상 외교, 딥시크·중국 오픈소스, 국가 AI 경쟁력·인재, 국제회의·거버넌스의 여섯 하위 토픽을 얻었다. 학계의 해당 토픽 186편도 같은 모형에 투영해 비교했다. 뉴스 토픽 T0(특허, 17건)은 표본이 너무 작아 프레임 분석에서 제외했다. 토픽 수 민감도는 K=5~9에서 확인했다. K=7과의 문서 분할 일치도(NMI)는 학계 0.57~0.81(K=8이 가장 가깝다)이며, 구조 변화는 K=8에서 데이터·개인정보 토픽이 둘로 나뉘고 K=6에서 특허 토픽이 데이터·개인정보 토픽에 합쳐지는 정도였다. 연도별 현실 프레임 비율의 패턴(뉴스 2025년 최고, 학계 평탄)은 모든 K에서 유지되었다(부록). 다만 전체 프레임 비율은 층 가중 추정 특성상 K에 거의 변하지 않으므로 토픽 구조의 안정성이 K 민감도의 주된 근거이다.</w:t>
      </w:r>
    </w:p>
    <w:bookmarkEnd w:id="28"/>
    <w:bookmarkEnd w:id="29"/>
    <w:bookmarkStart w:id="33" w:name="프레임-코딩"/>
    <w:p>
      <w:pPr>
        <w:pStyle w:val="Heading2"/>
      </w:pPr>
      <w:r>
        <w:t xml:space="preserve">5. 프레임 코딩</w:t>
      </w:r>
    </w:p>
    <w:bookmarkStart w:id="30" w:name="조작적-정의"/>
    <w:p>
      <w:pPr>
        <w:pStyle w:val="Heading3"/>
      </w:pPr>
      <w:r>
        <w:t xml:space="preserve">5.1 조작적 정의</w:t>
      </w:r>
    </w:p>
    <w:p>
      <w:pPr>
        <w:pStyle w:val="FirstParagraph"/>
      </w:pPr>
      <w:r>
        <w:t xml:space="preserve">프레임은 Entman(1993)의 구성요소(문제 정의, 인과 귀속, 처방)에 따라 문서의 핵심 논거로 판단한다. 처방을 정당화하는 논거를 먼저 보고, 없으면 문제 정의를 본다. 세 이론에 대응하는 범주는 다음과 같다. 현실주의는 국가의 힘·경쟁력·안보·자립(수출통제, 군사 역량, 산업 육성과 경쟁력, AI 주권)을 논거로 하는 문서이다. 자유주의는 규칙과 제도의 설계·정합·조화·협력·표준(규제 체계 설계, 입법 비교, 다자 협의체)을 논거로 하는 문서이다. 구성주의는 권리·윤리·책임·가치·정당성(기본권, 책임 귀속, 인간 창작성, 위험 규범)을 논거로 하는 문서이다. 논거나 처방이 없는 현황 소개·시장 소식, 또는 거버넌스와 무관한 이슈는 해당없음으로 둔다.</w:t>
      </w:r>
    </w:p>
    <w:p>
      <w:pPr>
        <w:pStyle w:val="BodyText"/>
      </w:pPr>
      <w:r>
        <w:t xml:space="preserve">코퍼스의 큰 부분이 법리 논문이므로, 법리·정책 문서도 이 논거 기준으로 프레임을 배정한다(연구자 결정). 예를 들어 저작권·특허 요건 해석, 책임 귀속, 소비자 보호는 권리와 책임 논거로 보아 구성주의로 두고, 규제 체계 설계와 입법 비교는 자유주의로 둔다. 이는 국제정치이론의 개념을 논거 유형으로 조작화한 것이므로, 법리 문서의 프레임이 이론적 의미에서 현실주의·자유주의·구성주의와 동일하다고 주장하지 않는다.</w:t>
      </w:r>
    </w:p>
    <w:bookmarkEnd w:id="30"/>
    <w:bookmarkStart w:id="31" w:name="표본과-코딩-절차"/>
    <w:p>
      <w:pPr>
        <w:pStyle w:val="Heading3"/>
      </w:pPr>
      <w:r>
        <w:t xml:space="preserve">5.2 표본과 코딩 절차</w:t>
      </w:r>
    </w:p>
    <w:p>
      <w:pPr>
        <w:pStyle w:val="FirstParagraph"/>
      </w:pPr>
      <w:r>
        <w:t xml:space="preserve">토픽별로 층화 표본을 뽑았다. 층은 학계 토픽 7개, 뉴스 T1 하위 토픽 6개, 뉴스 T2~T6 5개로 총 18개이며 층별 10건, 합계 180건이다. 이 중 60건은 아래의 신뢰도 파일럿에서 연구자와 Claude가 독립 코딩한 문서이고 120건이 본 코딩이다.</w:t>
      </w:r>
    </w:p>
    <w:p>
      <w:pPr>
        <w:pStyle w:val="BodyText"/>
      </w:pPr>
      <w:r>
        <w:t xml:space="preserve">파일럿은 30건씩 세 차례 수행했다. 연구자와 Claude(대규모 언어모델)가 서로의 코딩을 보지 않고 독립 코딩한 뒤 불일치를 분석해 기준을 개정했다. 개정 후 두 라운드의 프레임 Cohen’s κ는 0.544(95% CI 0.30~0.75)와 0.459(95% CI 0.21~0.70)이며, 60건을 합치면 일치율 65%, κ 0.51이다.</w:t>
      </w:r>
      <w:r>
        <w:t xml:space="preserve"> </w:t>
      </w:r>
      <w:r>
        <w:rPr>
          <w:rStyle w:val="VerbatimChar"/>
        </w:rPr>
        <w:t xml:space="preserve">[확인] 첫 라운드 κ 0.041과 기준 개정 과정을 본문에 쓸지, 부록으로 둘지</w:t>
      </w:r>
    </w:p>
    <w:p>
      <w:pPr>
        <w:pStyle w:val="BodyText"/>
      </w:pPr>
      <w:r>
        <w:t xml:space="preserve">120건의 본 코딩은 Claude가 먼저 프레임을 제안하고 연구자가 전체를 검토해 다른 건만 수정했다. 연구자는 21건(17.5%)을 수정했다. 이 120건은 제안을 본 뒤의 판단이므로 독립 신뢰도로 보고하지 않으며 수정률로만 보고한다. 최종 프레임은 파일럿 60건에서는 연구자의 독립 코딩, 본 코딩 120건에서는 검토 후 값이다.</w:t>
      </w:r>
    </w:p>
    <w:bookmarkEnd w:id="31"/>
    <w:bookmarkStart w:id="32" w:name="토픽프레임-대응과-비율-추정"/>
    <w:p>
      <w:pPr>
        <w:pStyle w:val="Heading3"/>
      </w:pPr>
      <w:r>
        <w:t xml:space="preserve">5.3 토픽→프레임 대응과 비율 추정</w:t>
      </w:r>
    </w:p>
    <w:p>
      <w:pPr>
        <w:pStyle w:val="FirstParagraph"/>
      </w:pPr>
      <w:r>
        <w:t xml:space="preserve">표본에서 같은 프레임이 60% 이상인 층은 그 프레임으로 대응시키고, 그렇지 않으면 혼합으로 둔다. 18개 층 중 9개가 확정되었고 9개가 혼합이었다. 확정 층 중 3개(학계 특허, 뉴스 군사·전쟁 AI, 뉴스 저작권)는 정확히 60%여서 한 건의 변화로 혼합이 될 수 있다.</w:t>
      </w:r>
    </w:p>
    <w:p>
      <w:pPr>
        <w:pStyle w:val="BodyText"/>
      </w:pPr>
      <w:r>
        <w:t xml:space="preserve">뉴스와 학계의 프레임 비율은 층 크기로 가중(사후층화)해 추정하며, 신뢰구간은 층 내 표본 재추출 부트스트랩(2,000회)으로 구했다. 연도별 추이는 각 층의 표본 프레임 비율이 연도에 무관하다는 가정 아래 층의 문서 수로 합산해 구했다. 이 가정이 깨질 수 있는 사건 의존 토픽(정상 외교, 전쟁 AI 등)에서 연도별 추정은 방향만 참고해야 한다. 신뢰구간은 층 내 표본 오차만 반영하며 토픽 분류 오류와 가정 위반은 반영하지 않는다.</w:t>
      </w:r>
    </w:p>
    <w:p>
      <w:pPr>
        <w:pStyle w:val="BodyText"/>
      </w:pPr>
      <w:r>
        <w:t xml:space="preserve">확장 코퍼스(논문 898편, 뉴스 5,919건)에는 추가분을 같은 모형에 투영하고 같은 층의 표본 프레임 비율을 적용해 비율을 다시 추정했다. 전체 비율과 연도별 패턴은 기본 코퍼스와 같았다(뉴스 현실 54%, 학계 21~22%). 추가분 자체의 프레임은 코딩하지 않았으므로 이 결과는 토픽 구성 면의 민감도이다.</w:t>
      </w:r>
    </w:p>
    <w:bookmarkEnd w:id="32"/>
    <w:bookmarkEnd w:id="33"/>
    <w:bookmarkStart w:id="34" w:name="인공지능-활용-고지"/>
    <w:p>
      <w:pPr>
        <w:pStyle w:val="Heading2"/>
      </w:pPr>
      <w:r>
        <w:t xml:space="preserve">6. 인공지능 활용 고지</w:t>
      </w:r>
    </w:p>
    <w:p>
      <w:pPr>
        <w:pStyle w:val="FirstParagraph"/>
      </w:pPr>
      <w:r>
        <w:t xml:space="preserve">본 연구의 관련성 판정(학술논문과 신문기사), 국문 초록 번역(독일어 2편), 그리고 프레임 코딩의 1차 제안에 대규모 언어모델(Claude)을 사용했다. 모든 최종 판정은 연구자가 검토했으며, 에이전트 판정과 연구자 판정의 독립 일치도(κ)는 위에 보고한 값이다. 언어모델이 제안한 값을 본 뒤의 연구자 수정은 독립 신뢰도로 보고하지 않는다.</w:t>
      </w:r>
      <w:r>
        <w:t xml:space="preserve"> </w:t>
      </w:r>
      <w:r>
        <w:rPr>
          <w:rStyle w:val="VerbatimChar"/>
        </w:rPr>
        <w:t xml:space="preserve">[확인] 학술지 투고 규정의 AI 활용 고지 문구에 맞춰 수정</w:t>
      </w:r>
    </w:p>
    <w:bookmarkEnd w:id="34"/>
    <w:bookmarkStart w:id="35" w:name="방법론적-한계"/>
    <w:p>
      <w:pPr>
        <w:pStyle w:val="Heading2"/>
      </w:pPr>
      <w:r>
        <w:t xml:space="preserve">7. 방법론적 한계</w:t>
      </w:r>
    </w:p>
    <w:p>
      <w:pPr>
        <w:numPr>
          <w:ilvl w:val="0"/>
          <w:numId w:val="1001"/>
        </w:numPr>
        <w:pStyle w:val="Compact"/>
      </w:pPr>
      <w:r>
        <w:t xml:space="preserve">학술논문 수집은 제목에 AI 핵심어가 있는 논문으로 한정되어 제목에 AI 용어가 없는 거버넌스 논문(알고리즘, 디지털 규범 등)을 놓칠 수 있다.</w:t>
      </w:r>
    </w:p>
    <w:p>
      <w:pPr>
        <w:numPr>
          <w:ilvl w:val="0"/>
          <w:numId w:val="1001"/>
        </w:numPr>
        <w:pStyle w:val="Compact"/>
      </w:pPr>
      <w:r>
        <w:t xml:space="preserve">학술논문 관련성 판정의 독립 κ는 0.282이며, 연구자 수정 판정 기준 재현율은 79.5%(95% CI 0.66~0.91)로 국내 법제·기술 논문 일부를 놓친다. 확장 코퍼스로 민감도를 확인한다.</w:t>
      </w:r>
    </w:p>
    <w:p>
      <w:pPr>
        <w:numPr>
          <w:ilvl w:val="0"/>
          <w:numId w:val="1001"/>
        </w:numPr>
        <w:pStyle w:val="Compact"/>
      </w:pPr>
      <w:r>
        <w:t xml:space="preserve">뉴스 분류기의 재현율은 측정하지 못했다. 경계 구간에 관련 기사가 약 35% 섞여 있다. 2019~2022년 뉴스는 연 47~66건으로 적다.</w:t>
      </w:r>
    </w:p>
    <w:p>
      <w:pPr>
        <w:numPr>
          <w:ilvl w:val="0"/>
          <w:numId w:val="1001"/>
        </w:numPr>
        <w:pStyle w:val="Compact"/>
      </w:pPr>
      <w:r>
        <w:t xml:space="preserve">뉴스는 본문 앞 200자와 키워드만 사용하므로 논문(초록)과 텍스트 정보량이 다르다. 학계 모형에 투영한 뉴스 토픽은 어휘 불일치로 일부 오할당될 수 있다.</w:t>
      </w:r>
    </w:p>
    <w:p>
      <w:pPr>
        <w:numPr>
          <w:ilvl w:val="0"/>
          <w:numId w:val="1001"/>
        </w:numPr>
        <w:pStyle w:val="Compact"/>
      </w:pPr>
      <w:r>
        <w:t xml:space="preserve">프레임 코딩의 독립 κ는 0.51(60건)로 보통 수준이다. 본 코딩 120건은 검토 앵커링이 있다. 층별 표본이 10건이라 토픽→프레임 대응과 비율의 신뢰구간이 넓다.</w:t>
      </w:r>
    </w:p>
    <w:p>
      <w:pPr>
        <w:numPr>
          <w:ilvl w:val="0"/>
          <w:numId w:val="1001"/>
        </w:numPr>
        <w:pStyle w:val="Compact"/>
      </w:pPr>
      <w:r>
        <w:t xml:space="preserve">법리 문서의 프레임은 논거 유형을 이론 프레임에 대응시킨 조작적 정의이다. 학계 코퍼스의 약 65%가 규제·법제 논문이라 자유주의·구성주의 비중이 구조적으로 높아질 수 있다.</w:t>
      </w:r>
    </w:p>
    <w:p>
      <w:pPr>
        <w:numPr>
          <w:ilvl w:val="0"/>
          <w:numId w:val="1001"/>
        </w:numPr>
        <w:pStyle w:val="Compact"/>
      </w:pPr>
      <w:r>
        <w:t xml:space="preserve">토픽 수(K=7)는 일관성 고원 구간의 선택이다. K=5~9 민감도에서 토픽 구조는 대체로 유지되나 작은 토픽(특허)은 K에 따라 합쳐지거나 나뉜다.</w:t>
      </w:r>
    </w:p>
    <w:p>
      <w:pPr>
        <w:numPr>
          <w:ilvl w:val="0"/>
          <w:numId w:val="1001"/>
        </w:numPr>
        <w:pStyle w:val="Compact"/>
      </w:pPr>
      <w:r>
        <w:t xml:space="preserve">연도별 추이 추정은 층 내 프레임 비율의 시간 불변을 가정한다.</w:t>
      </w:r>
    </w:p>
    <w:bookmarkEnd w:id="35"/>
    <w:bookmarkStart w:id="36" w:name="참고문헌-후보-확인-서지정보를-직접-확인한-뒤-사용"/>
    <w:p>
      <w:pPr>
        <w:pStyle w:val="Heading2"/>
      </w:pPr>
      <w:r>
        <w:t xml:space="preserve">참고문헌 후보</w:t>
      </w:r>
      <w:r>
        <w:t xml:space="preserve"> </w:t>
      </w:r>
      <w:r>
        <w:rPr>
          <w:rStyle w:val="VerbatimChar"/>
        </w:rPr>
        <w:t xml:space="preserve">[확인: 서지정보를 직접 확인한 뒤 사용]</w:t>
      </w:r>
    </w:p>
    <w:p>
      <w:pPr>
        <w:numPr>
          <w:ilvl w:val="0"/>
          <w:numId w:val="1002"/>
        </w:numPr>
        <w:pStyle w:val="Compact"/>
      </w:pPr>
      <w:r>
        <w:t xml:space="preserve">Blei, D. M., Ng, A. Y., &amp; Jordan, M. I. (2003). Latent Dirichlet allocation.</w:t>
      </w:r>
      <w:r>
        <w:t xml:space="preserve"> </w:t>
      </w:r>
      <w:r>
        <w:rPr>
          <w:iCs/>
          <w:i/>
        </w:rPr>
        <w:t xml:space="preserve">Journal of Machine Learning Research</w:t>
      </w:r>
      <w:r>
        <w:t xml:space="preserve">, 3, 993-1022.</w:t>
      </w:r>
    </w:p>
    <w:p>
      <w:pPr>
        <w:numPr>
          <w:ilvl w:val="0"/>
          <w:numId w:val="1002"/>
        </w:numPr>
        <w:pStyle w:val="Compact"/>
      </w:pPr>
      <w:r>
        <w:t xml:space="preserve">Cohen, J. (1960). A coefficient of agreement for nominal scales.</w:t>
      </w:r>
      <w:r>
        <w:t xml:space="preserve"> </w:t>
      </w:r>
      <w:r>
        <w:rPr>
          <w:iCs/>
          <w:i/>
        </w:rPr>
        <w:t xml:space="preserve">Educational and Psychological Measurement</w:t>
      </w:r>
      <w:r>
        <w:t xml:space="preserve">, 20(1), 37-46.</w:t>
      </w:r>
    </w:p>
    <w:p>
      <w:pPr>
        <w:numPr>
          <w:ilvl w:val="0"/>
          <w:numId w:val="1002"/>
        </w:numPr>
        <w:pStyle w:val="Compact"/>
      </w:pPr>
      <w:r>
        <w:t xml:space="preserve">Entman, R. M. (1993). Framing: Toward clarification of a fractured paradigm.</w:t>
      </w:r>
      <w:r>
        <w:t xml:space="preserve"> </w:t>
      </w:r>
      <w:r>
        <w:rPr>
          <w:iCs/>
          <w:i/>
        </w:rPr>
        <w:t xml:space="preserve">Journal of Communication</w:t>
      </w:r>
      <w:r>
        <w:t xml:space="preserve">, 43(4), 51-58.</w:t>
      </w:r>
    </w:p>
    <w:p>
      <w:pPr>
        <w:numPr>
          <w:ilvl w:val="0"/>
          <w:numId w:val="1002"/>
        </w:numPr>
        <w:pStyle w:val="Compact"/>
      </w:pPr>
      <w:r>
        <w:t xml:space="preserve">Landis, J. R., &amp; Koch, G. G. (1977). The measurement of observer agreement for categorical data.</w:t>
      </w:r>
      <w:r>
        <w:t xml:space="preserve"> </w:t>
      </w:r>
      <w:r>
        <w:rPr>
          <w:iCs/>
          <w:i/>
        </w:rPr>
        <w:t xml:space="preserve">Biometrics</w:t>
      </w:r>
      <w:r>
        <w:t xml:space="preserve">, 33(1), 159-174.</w:t>
      </w:r>
    </w:p>
    <w:p>
      <w:pPr>
        <w:numPr>
          <w:ilvl w:val="0"/>
          <w:numId w:val="1002"/>
        </w:numPr>
        <w:pStyle w:val="Compact"/>
      </w:pPr>
      <w:r>
        <w:t xml:space="preserve">Röder, M., Both, A., &amp; Hinneburg, A. (2015). Exploring the space of topic coherence measures.</w:t>
      </w:r>
      <w:r>
        <w:t xml:space="preserve"> </w:t>
      </w:r>
      <w:r>
        <w:rPr>
          <w:iCs/>
          <w:i/>
        </w:rPr>
        <w:t xml:space="preserve">Proceedings of WSDM 2015</w:t>
      </w:r>
      <w:r>
        <w:t xml:space="preserve">, 399-408.</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2026-10-13T15:48:50Z</dcterms:created>
  <dcterms:modified xsi:type="dcterms:W3CDTF">2026-10-13T15:48:50Z</dcterms:modified>
</cp:coreProperties>
</file>

<file path=docProps/custom.xml><?xml version="1.0" encoding="utf-8"?>
<Properties xmlns="http://schemas.openxmlformats.org/officeDocument/2006/custom-properties" xmlns:vt="http://schemas.openxmlformats.org/officeDocument/2006/docPropsVTypes"/>
</file>