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선행연구-후보-목록과-이론적-배경-구성안"/>
    <w:p>
      <w:pPr>
        <w:pStyle w:val="Heading1"/>
      </w:pPr>
      <w:r>
        <w:t xml:space="preserve">선행연구 후보 목록과 이론적 배경 구성안</w:t>
      </w:r>
    </w:p>
    <w:p>
      <w:pPr>
        <w:pStyle w:val="BlockText"/>
      </w:pPr>
      <w:r>
        <w:t xml:space="preserve">상태: 후보 목록. 웹 검색으로 서지정보(저자·제목·학술지·연도·권호)와 초록 수준의 내용을 확인한 문헌만 담았다. 전문은 읽지 못했으므로 인용 전에 원문에서 쪽수와 주장을 확인해야 한다.</w:t>
      </w:r>
      <w:r>
        <w:t xml:space="preserve"> </w:t>
      </w:r>
      <w:r>
        <w:rPr>
          <w:rStyle w:val="VerbatimChar"/>
        </w:rPr>
        <w:t xml:space="preserve">[확인]</w:t>
      </w:r>
      <w:r>
        <w:t xml:space="preserve">은 검색 결과에서 확인되지 않은 항목이다.</w:t>
      </w:r>
    </w:p>
    <w:bookmarkStart w:id="20" w:name="국제정치이론-레짐-복합체-경합적-다자주의-규범"/>
    <w:p>
      <w:pPr>
        <w:pStyle w:val="Heading2"/>
      </w:pPr>
      <w:r>
        <w:t xml:space="preserve">1. 국제정치이론: 레짐 복합체, 경합적 다자주의, 규범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문헌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확인한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 연구에서의 쓰임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Raustiala, K., &amp; Victor, D. G. (2004). The regime complex for plant genetic resources.</w:t>
            </w:r>
            <w:r>
              <w:t xml:space="preserve"> </w:t>
            </w:r>
            <w:r>
              <w:rPr>
                <w:iCs/>
                <w:i/>
              </w:rPr>
              <w:t xml:space="preserve">International Organization</w:t>
            </w:r>
            <w:r>
              <w:t xml:space="preserve">, 58(2), 277–309.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부분적으로 겹치는 비위계적 레짐의 집합(레짐 복합체)을 정의하고, 레짐 간 규칙이 조율되지 않아 법적 불일치가 생긴다고 주장한다.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거버넌스가 여러 기구에 흩어진 구조라는 배경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Morse, J. C., &amp; Keohane, R. O. (2014). Contested multilateralism.</w:t>
            </w:r>
            <w:r>
              <w:t xml:space="preserve"> </w:t>
            </w:r>
            <w:r>
              <w:rPr>
                <w:iCs/>
                <w:i/>
              </w:rPr>
              <w:t xml:space="preserve">Review of International Organizations</w:t>
            </w:r>
            <w:r>
              <w:t xml:space="preserve">, 9(4), 385–412.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국가·기구·비국가 행위자가 다자 제도를 이용해 기존 제도의 규칙에 도전하는 상황을 개념화하고 레짐 이전과 경쟁적 레짐 창설을 구분한다. 설명 이론은 아니라고 밝힌다.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미중·EU·UN 등 AI 규범 경쟁의 해석 틀(자유주의 프레임 논의)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Finnemore, M., &amp; Sikkink, K. (1998). International norm dynamics and political change.</w:t>
            </w:r>
            <w:r>
              <w:t xml:space="preserve"> </w:t>
            </w:r>
            <w:r>
              <w:rPr>
                <w:iCs/>
                <w:i/>
              </w:rPr>
              <w:t xml:space="preserve">International Organization</w:t>
            </w:r>
            <w:r>
              <w:t xml:space="preserve">, 52(4), 887–917.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규범의 생애주기(출현, 확산, 내면화)와 단계별 동기를 제시한다.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구성주의 프레임의 이론적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Bradford, A. (2012). The Brussels effect.</w:t>
            </w:r>
            <w:r>
              <w:t xml:space="preserve"> </w:t>
            </w:r>
            <w:r>
              <w:rPr>
                <w:iCs/>
                <w:i/>
              </w:rPr>
              <w:t xml:space="preserve">Northwestern University Law Review</w:t>
            </w:r>
            <w:r>
              <w:t xml:space="preserve">, 107(1). / Bradford, A. (2020).</w:t>
            </w:r>
            <w:r>
              <w:t xml:space="preserve"> </w:t>
            </w:r>
            <w:r>
              <w:rPr>
                <w:iCs/>
                <w:i/>
              </w:rPr>
              <w:t xml:space="preserve">The Brussels effect: How the European Union rules the world</w:t>
            </w:r>
            <w:r>
              <w:t xml:space="preserve">. Oxford University Press. / Bradford, A. (2023).</w:t>
            </w:r>
            <w:r>
              <w:t xml:space="preserve"> </w:t>
            </w:r>
            <w:r>
              <w:rPr>
                <w:iCs/>
                <w:i/>
              </w:rPr>
              <w:t xml:space="preserve">Digital empires: The global battle to regulate technology</w:t>
            </w:r>
            <w:r>
              <w:t xml:space="preserve">. Oxford University Press.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출판 정보만 확인했고 논문 본문은 확인하지 못했다.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Act의 규제 확산(브뤼셀 효과) 논의</w:t>
            </w:r>
          </w:p>
        </w:tc>
      </w:tr>
    </w:tbl>
    <w:bookmarkEnd w:id="20"/>
    <w:bookmarkStart w:id="21" w:name="ai-글로벌-거버넌스와-ai-윤리-원칙"/>
    <w:p>
      <w:pPr>
        <w:pStyle w:val="Heading2"/>
      </w:pPr>
      <w:r>
        <w:t xml:space="preserve">2. AI 글로벌 거버넌스와 AI 윤리 원칙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문헌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확인한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 연구에서의 쓰임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Cihon, P., Maas, M. M., &amp; Kemp, L. (2020). Fragmentation and the future: Investigating architectures for international AI governance.</w:t>
            </w:r>
            <w:r>
              <w:t xml:space="preserve"> </w:t>
            </w:r>
            <w:r>
              <w:rPr>
                <w:iCs/>
                <w:i/>
              </w:rPr>
              <w:t xml:space="preserve">Global Policy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[확인: 권호·쪽수]</w:t>
            </w:r>
            <w:r>
              <w:t xml:space="preserve"> </w:t>
            </w:r>
            <w:r>
              <w:t xml:space="preserve">(CSER 게재일 2020-12-07)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국제 AI 거버넌스를 분절 상태로 둘지 중앙집중할지를 환경·무역·안보 레짐의 사례로 논의하고, 당분간 분절이 지속될 가능성이 높다고 본다.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거버넌스 구조 논의, 학계의 제도 설계 관심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Schmitt, L. (2022). Mapping global AI governance: A nascent regime in a fragmented landscape.</w:t>
            </w:r>
            <w:r>
              <w:t xml:space="preserve"> </w:t>
            </w:r>
            <w:r>
              <w:rPr>
                <w:iCs/>
                <w:i/>
              </w:rPr>
              <w:t xml:space="preserve">AI and Ethics</w:t>
            </w:r>
            <w:r>
              <w:t xml:space="preserve">, 2(2), 303–314. https://doi.org/10.1007/s43681-021-00083-y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행위자 유형과 기존 구조 내 여부로 AI 거버넌스 행위자를 분류하고, 국제기구가 예상보다 독립적으로 움직이며 OECD 중심의 다중심적 레짐이 형성되고 있다고 본다.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2019년 OECD 원칙 이후 분석 기간의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Jobin, A., Ienca, M., &amp; Vayena, E. (2019). The global landscape of AI ethics guidelines.</w:t>
            </w:r>
            <w:r>
              <w:t xml:space="preserve"> </w:t>
            </w:r>
            <w:r>
              <w:rPr>
                <w:iCs/>
                <w:i/>
              </w:rPr>
              <w:t xml:space="preserve">Nature Machine Intelligence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[확인: 권(1), 389–399, https://doi.org/10.1038/s42256-019-0088-2]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84개 문서를 검토해 투명성, 정의·공정성, 비해악, 책임, 프라이버시의 다섯 원칙으로 수렴하되 해석과 이행은 갈린다고 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구성주의 프레임(윤리 원칙 수렴과 분기)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Hagendorff, T. (2020). The ethics of AI ethics: An evaluation of guidelines.</w:t>
            </w:r>
            <w:r>
              <w:t xml:space="preserve"> </w:t>
            </w:r>
            <w:r>
              <w:rPr>
                <w:iCs/>
                <w:i/>
              </w:rPr>
              <w:t xml:space="preserve">Minds and Machines</w:t>
            </w:r>
            <w:r>
              <w:t xml:space="preserve">, 30(1), 99–120. https://doi.org/10.1007/s11023-020-09517-8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22개 지침을 비교해 중복과 누락을 보이고 실천에서의 이행 정도를 따진다.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윤리 담론의 한계 논의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Roberts, H., Cowls, J., Morley, J., Taddeo, M., Wang, V., &amp; Floridi, L. (2021). The Chinese approach to artificial intelligence: An analysis of policy, ethics, and regulation.</w:t>
            </w:r>
            <w:r>
              <w:t xml:space="preserve"> </w:t>
            </w:r>
            <w:r>
              <w:rPr>
                <w:iCs/>
                <w:i/>
              </w:rPr>
              <w:t xml:space="preserve">AI &amp; Society</w:t>
            </w:r>
            <w:r>
              <w:t xml:space="preserve">, 36(1), 59–77.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2017년 중국 신세대 AI 발전계획을 중심으로 중국의 AI 정책·윤리·규제를 분석한다.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중국 사례, 미중 경쟁 맥락</w:t>
            </w:r>
          </w:p>
        </w:tc>
      </w:tr>
    </w:tbl>
    <w:bookmarkEnd w:id="21"/>
    <w:bookmarkStart w:id="22" w:name="ai와-국제-경쟁-안보-현실주의-계열"/>
    <w:p>
      <w:pPr>
        <w:pStyle w:val="Heading2"/>
      </w:pPr>
      <w:r>
        <w:t xml:space="preserve">3. AI와 국제 경쟁, 안보 (현실주의 계열)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문헌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확인한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 연구에서의 쓰임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Horowitz, M. C. (2018). Artificial intelligence, international competition, and the balance of power.</w:t>
            </w:r>
            <w:r>
              <w:t xml:space="preserve"> </w:t>
            </w:r>
            <w:r>
              <w:rPr>
                <w:iCs/>
                <w:i/>
              </w:rPr>
              <w:t xml:space="preserve">Texas National Security Review</w:t>
            </w:r>
            <w:r>
              <w:t xml:space="preserve">, 1(3).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AI를 전기·내연기관처럼 촉진 기술로 보고, 군사력과 국제정치에 미칠 영향과 선발자 이익 여부를 논의한다.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지정학 프레임의 이론적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유인태 (2025). 인공지능과 미·중 전략 경쟁의 국제정치: 글로벌 AI 반도체 공급망과 미국의 경제적 강압을 중심으로. 『국제정치논총』, 65(1), 103–140.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미국의 AI 반도체 수출통제와 공급망 재편을 분석한다.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국내 국제정치학의 지정학 연구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김상배 (2025). 미중 인공지능 패권경쟁과 한국: 국제정치의 전환과 중견국의 국가전략. 『국가전략』, 31(2), 101–132.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경쟁을 기술·플랫폼, 규제·담론, 외교·군비의 세 차원으로 나누고 중견국 한국의 전략을 제시한다.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규범 경쟁과 지정학의 결합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차정미 (2022). 미중 패권경쟁과 인공지능 군사력 경쟁. 『국가전략』, 28(3), 5–31.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군사 AI 경쟁과 AI 군사 규범 경쟁을 다룬다.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군사 AI 담론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이재준 (2022). 미국과 중국의 군사 기술 경쟁과 세력 전이: 인공지능, 자율무기체계 군사 기술을 중심으로. 『한국과 국제정치』, 38(3), 1–35.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AI·자율무기체계를 세력 전이 관점에서 분석한다.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군사 AI, 현실주의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김상배 (2021). 『인공지능과 국제정치의 미래』. 서울대학교출판문화원.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서지정보만 신뢰도가 낮은 자료에서 확인했다.</w:t>
            </w:r>
            <w:r>
              <w:t xml:space="preserve"> </w:t>
            </w:r>
            <w:r>
              <w:rPr>
                <w:rStyle w:val="VerbatimChar"/>
              </w:rPr>
              <w:t xml:space="preserve">[확인]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국내 국제정치학의 AI 연구 개관</w:t>
            </w:r>
          </w:p>
        </w:tc>
      </w:tr>
    </w:tbl>
    <w:p>
      <w:pPr>
        <w:pStyle w:val="BodyText"/>
      </w:pPr>
      <w:r>
        <w:t xml:space="preserve">주의: 위 국내 논문은 검색 결과의 서지 요약에서 확인했으며 본 연구의 학계 코퍼스(KCI)에 이미 포함되어 있을 수 있다. 선행연구와 분석 대상을 구분해 인용해야 한다.</w:t>
      </w:r>
    </w:p>
    <w:bookmarkEnd w:id="22"/>
    <w:bookmarkStart w:id="23" w:name="ai-뉴스-프레이밍과-미디어-담론"/>
    <w:p>
      <w:pPr>
        <w:pStyle w:val="Heading2"/>
      </w:pPr>
      <w:r>
        <w:t xml:space="preserve">4. AI 뉴스 프레이밍과 미디어 담론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문헌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확인한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 연구에서의 쓰임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Chuan, C.-H., Tsai, W.-H. S., &amp; Cho, S. Y. (2019). Framing artificial intelligence in American newspapers.</w:t>
            </w:r>
            <w:r>
              <w:t xml:space="preserve"> </w:t>
            </w:r>
            <w:r>
              <w:rPr>
                <w:iCs/>
                <w:i/>
              </w:rPr>
              <w:t xml:space="preserve">Proceedings of AIES 2019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[확인: 쪽수]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5개 일간지(약 2009~2018)를 분석해 비즈니스·기술 주제가 주를 이루고, 이익이 위험보다 더 자주 언급되나 위험은 더 구체적으로 서술된다고 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뉴스 프레임 선행연구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Cools, H., Van Gorp, B., &amp; Opgenhaffen, M. (2024). Where exactly between utopia and dystopia? A framing analysis of AI and automation in US newspapers.</w:t>
            </w:r>
            <w:r>
              <w:t xml:space="preserve"> </w:t>
            </w:r>
            <w:r>
              <w:rPr>
                <w:iCs/>
                <w:i/>
              </w:rPr>
              <w:t xml:space="preserve">Journalism</w:t>
            </w:r>
            <w:r>
              <w:t xml:space="preserve">, 25(1), 3–21. https://doi.org/10.1177/14648849221122647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NYT·WP 1985~2020 기사에 LDA와 귀납적 프레임 분석을 결합했다. 일·예술·교육 주제가 두드러지고 전반적으로 낙관적이며 디스토피아 프레임은 윤리 문제에 주목한다.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LDA와 프레임 분석의 결합 방법 선행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Nguyen, D., &amp; Hekman, E. (2024). AI &amp; Society.</w:t>
            </w:r>
            <w:r>
              <w:t xml:space="preserve"> </w:t>
            </w:r>
            <w:r>
              <w:rPr>
                <w:rStyle w:val="VerbatimChar"/>
              </w:rPr>
              <w:t xml:space="preserve">[확인: 제목]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4개 매체의 자동 분석에서 시간이 갈수록 비판적이 된다고 보고한다.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시기별 변화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Vicsek, L., Feher, K., &amp; Nguyen, D. (2026). Disappointment or hype? Framing artificial intelligence in the US elite news media.</w:t>
            </w:r>
            <w:r>
              <w:t xml:space="preserve"> </w:t>
            </w:r>
            <w:r>
              <w:rPr>
                <w:iCs/>
                <w:i/>
              </w:rPr>
              <w:t xml:space="preserve">Global Media and Communication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[확인: 권호]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과장보다 신중한 어조가 우세하다고 보고한다.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최신 미국 뉴스 프레이밍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한국언론학보(2024). 인공지능 이슈에 대한 뉴스 프레임이 이용자의 정서와 행동 의향에 미치는 영향.</w:t>
            </w:r>
            <w:r>
              <w:t xml:space="preserve"> </w:t>
            </w:r>
            <w:r>
              <w:rPr>
                <w:rStyle w:val="VerbatimChar"/>
              </w:rPr>
              <w:t xml:space="preserve">[확인: 저자·권호]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발전 가치와 위기 가치, 인간 통제 가능성의 프레임을 도출하고 실험으로 정서 효과를 본다.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국내 AI 뉴스 프레임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최믿음·조은수 (2024). AI 관련 뉴스기사의 보도 프레임 분석. 『문화기술의 융합』.</w:t>
            </w:r>
            <w:r>
              <w:t xml:space="preserve"> </w:t>
            </w:r>
            <w:r>
              <w:rPr>
                <w:rStyle w:val="VerbatimChar"/>
              </w:rPr>
              <w:t xml:space="preserve">[확인: 권호]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보도 내용 프레임과 이익·손실 프레임을 제목과 본문으로 나누어 시기별로 비교한다.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국내 AI 뉴스 프레임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언론은 인공지능(AI)을 어떻게 다루는가?: 뉴스 빅데이터를 통한 한국과 미국의 보도 경향 분석.</w:t>
            </w:r>
            <w:r>
              <w:t xml:space="preserve"> </w:t>
            </w:r>
            <w:r>
              <w:rPr>
                <w:rStyle w:val="VerbatimChar"/>
              </w:rPr>
              <w:t xml:space="preserve">[확인: 저자·학술지·연도]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한국은 4차 산업혁명 전략, 플랫폼 구축, 인재 양성 등을, 미국은 기술 패권 경쟁과 기술의 명암을 더 많이 다룬다고 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 언론의 주제 구성 비교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신문기사에 나타난 인공지능 담론에 대한 주제범주 분석.</w:t>
            </w:r>
            <w:r>
              <w:t xml:space="preserve"> </w:t>
            </w:r>
            <w:r>
              <w:rPr>
                <w:rStyle w:val="VerbatimChar"/>
              </w:rPr>
              <w:t xml:space="preserve">[확인: 저자·학술지·연도]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알파고 이후 18개월간 조선일보와 한겨레의 AI 담론을 비교한다(검색 결과 요약).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시기와 매체별 비교</w:t>
            </w:r>
          </w:p>
        </w:tc>
      </w:tr>
    </w:tbl>
    <w:bookmarkEnd w:id="23"/>
    <w:bookmarkStart w:id="24" w:name="연구-공백과-본-연구의-위치-구성안"/>
    <w:p>
      <w:pPr>
        <w:pStyle w:val="Heading2"/>
      </w:pPr>
      <w:r>
        <w:t xml:space="preserve">5. 연구 공백과 본 연구의 위치 (구성안)</w:t>
      </w:r>
    </w:p>
    <w:p>
      <w:pPr>
        <w:numPr>
          <w:ilvl w:val="0"/>
          <w:numId w:val="1001"/>
        </w:numPr>
        <w:pStyle w:val="Compact"/>
      </w:pPr>
      <w:r>
        <w:t xml:space="preserve">국제정치이론은 AI 거버넌스를 분절된 레짐 복합체, 경합적 다자주의, 규범 형성의 틀로 설명해 왔다(Raustiala &amp; Victor, 2004; Morse &amp; Keohane, 2014; Cihon et al., 2020; Schmitt, 2022). 윤리 원칙은 수렴하되 해석이 갈린다(Jobin et al., 2019).</w:t>
      </w:r>
    </w:p>
    <w:p>
      <w:pPr>
        <w:numPr>
          <w:ilvl w:val="0"/>
          <w:numId w:val="1001"/>
        </w:numPr>
        <w:pStyle w:val="Compact"/>
      </w:pPr>
      <w:r>
        <w:t xml:space="preserve">한편 AI를 국가 간 경쟁과 안보의 문제로 보는 현실주의 계열 연구가 국내외에서 늘고 있다(Horowitz, 2018; 유인태, 2025; 김상배, 2025; 차정미, 2022).</w:t>
      </w:r>
    </w:p>
    <w:p>
      <w:pPr>
        <w:numPr>
          <w:ilvl w:val="0"/>
          <w:numId w:val="1001"/>
        </w:numPr>
        <w:pStyle w:val="Compact"/>
      </w:pPr>
      <w:r>
        <w:t xml:space="preserve">뉴스의 AI 프레이밍 연구는 주로 미국 신문의 낙관·비관 구도와 주제 구성을 다루었다(Chuan et al., 2019; Cools et al., 2024). 국내에서는 AI 보도의 발전·위기 프레임과 주제 구성이 연구되었다.</w:t>
      </w:r>
    </w:p>
    <w:p>
      <w:pPr>
        <w:numPr>
          <w:ilvl w:val="0"/>
          <w:numId w:val="1001"/>
        </w:numPr>
        <w:pStyle w:val="Compact"/>
      </w:pPr>
      <w:r>
        <w:t xml:space="preserve">이번 검색에서 한국 언론과 학계의 AI 글로벌 거버넌스 담론을 같은 기간·같은 주제 축 위에 놓고 국제정치 이론 프레임(현실주의·자유주의·구성주의)으로 비교한 연구는 찾지 못했다. 이는 이번 웹 검색의 한계 안에서의 판단이며, 투고 전에 KCI·RISS·Web of Science에서 직접 확인해야 한다.</w:t>
      </w:r>
    </w:p>
    <w:p>
      <w:pPr>
        <w:numPr>
          <w:ilvl w:val="0"/>
          <w:numId w:val="1001"/>
        </w:numPr>
        <w:pStyle w:val="Compact"/>
      </w:pPr>
      <w:r>
        <w:t xml:space="preserve">따라서 본 연구는 2019년 OECD 원칙 이후 한국 언론과 학계를 같은 토픽 모형 위에서 비교하고, 토픽을 국제정치이론의 프레임으로 재해석하는 점에서 기여한다.</w:t>
      </w:r>
    </w:p>
    <w:bookmarkEnd w:id="24"/>
    <w:bookmarkStart w:id="25" w:name="검색의-한계"/>
    <w:p>
      <w:pPr>
        <w:pStyle w:val="Heading2"/>
      </w:pPr>
      <w:r>
        <w:t xml:space="preserve">6. 검색의 한계</w:t>
      </w:r>
    </w:p>
    <w:p>
      <w:pPr>
        <w:numPr>
          <w:ilvl w:val="0"/>
          <w:numId w:val="1002"/>
        </w:numPr>
        <w:pStyle w:val="Compact"/>
      </w:pPr>
      <w:r>
        <w:t xml:space="preserve">KCI 학술지 논문은 웹 검색의 서지 요약으로만 확인했고 전문은 읽지 못했다. 국내 AI 뉴스 프레임 논문 3편은 저자와 학술지를 확인하지 못했다.</w:t>
      </w:r>
    </w:p>
    <w:p>
      <w:pPr>
        <w:numPr>
          <w:ilvl w:val="0"/>
          <w:numId w:val="1002"/>
        </w:numPr>
        <w:pStyle w:val="Compact"/>
      </w:pPr>
      <w:r>
        <w:t xml:space="preserve">페이월 논문은 서지정보와 초록 수준만 확인했다.</w:t>
      </w:r>
    </w:p>
    <w:p>
      <w:pPr>
        <w:numPr>
          <w:ilvl w:val="0"/>
          <w:numId w:val="1002"/>
        </w:numPr>
        <w:pStyle w:val="Compact"/>
      </w:pPr>
      <w:r>
        <w:t xml:space="preserve">학술DB(KCI, RISS, Web of Science)에서의 체계적 검색이 아니므로 누락이 있을 수 있다.</w:t>
      </w:r>
    </w:p>
    <w:p>
      <w:pPr>
        <w:numPr>
          <w:ilvl w:val="0"/>
          <w:numId w:val="1002"/>
        </w:numPr>
        <w:pStyle w:val="Compact"/>
      </w:pPr>
      <w:r>
        <w:t xml:space="preserve">검색 결과에서</w:t>
      </w:r>
      <w:r>
        <w:t xml:space="preserve"> </w:t>
      </w:r>
      <w:r>
        <w:rPr>
          <w:rStyle w:val="VerbatimChar"/>
        </w:rPr>
        <w:t xml:space="preserve">[확인]</w:t>
      </w:r>
      <w:r>
        <w:t xml:space="preserve">으로 표시한 항목은 인용하기 전에 원문으로 확인해야 한다.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2026-10-13T15:51:05Z</dcterms:created>
  <dcterms:modified xsi:type="dcterms:W3CDTF">2026-10-13T15:51:05Z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