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논의-및-결론-초안"/>
    <w:p>
      <w:pPr>
        <w:pStyle w:val="Heading1"/>
      </w:pPr>
      <w:r>
        <w:t xml:space="preserve">논의 및 결론 (초안)</w:t>
      </w:r>
    </w:p>
    <w:p>
      <w:pPr>
        <w:pStyle w:val="BlockText"/>
      </w:pPr>
      <w:r>
        <w:t xml:space="preserve">상태: 초안 v1. 해석은 결과 절의 수치 범위 안에서만 썼고, 원인에 대한 서술은 가설로 표시했다.</w:t>
      </w:r>
      <w:r>
        <w:t xml:space="preserve"> </w:t>
      </w:r>
      <w:r>
        <w:rPr>
          <w:rStyle w:val="VerbatimChar"/>
        </w:rPr>
        <w:t xml:space="preserve">[확인]</w:t>
      </w:r>
      <w:r>
        <w:t xml:space="preserve">은 저자가 판단하거나 근거를 보강할 곳이다.</w:t>
      </w:r>
    </w:p>
    <w:bookmarkStart w:id="20" w:name="주요-결과의-요약"/>
    <w:p>
      <w:pPr>
        <w:pStyle w:val="Heading2"/>
      </w:pPr>
      <w:r>
        <w:t xml:space="preserve">1. 주요 결과의 요약</w:t>
      </w:r>
    </w:p>
    <w:p>
      <w:pPr>
        <w:pStyle w:val="FirstParagraph"/>
      </w:pPr>
      <w:r>
        <w:t xml:space="preserve">본 연구는 2019년 OECD AI 원칙 채택 이후 2026년 9월까지 한국 언론(전국일간지 11개 기사 4,631건)과 학계(KCI 등재지·등재후보지 논문 669편)의 AI 글로벌 거버넌스 담론을 같은 토픽 모형 위에서 비교하고, 토픽을 현실주의·자유주의·구성주의 프레임으로 해석하였다. 결과는 세 가지로 요약된다. 첫째, 주제 구성이 다르다. 뉴스의 78.7%가 국가 전략·미중 경쟁 토픽에 속하고 그 안에서 반도체 수출통제, 군사·전쟁 AI, 정상 외교, 딥시크·중국 오픈소스, 국가 경쟁력, 국제회의가 비슷한 비중을 차지한 반면, 학계는 데이터·개인정보, EU 입법, 윤리·국제규범, 저작권, 책임 등 법·제도 토픽에 넓게 분포하였다. 둘째, 프레임 구성이 다르다. 현실주의 프레임의 비중은 뉴스 54%, 학계 21%였고, 이 격차는 연도, 코더, 토픽 수, 코퍼스 범위를 바꿔도 유지되었다. 셋째, 학계는 자유주의(33%)와 구성주의(36%)로 나뉘어 있으며, 가장 큰 토픽인 국가 전략·미중 경쟁도 지정학 프레임이 우세하지 않았다.</w:t>
      </w:r>
    </w:p>
    <w:bookmarkEnd w:id="20"/>
    <w:bookmarkStart w:id="25" w:name="해석"/>
    <w:p>
      <w:pPr>
        <w:pStyle w:val="Heading2"/>
      </w:pPr>
      <w:r>
        <w:t xml:space="preserve">2. 해석</w:t>
      </w:r>
    </w:p>
    <w:bookmarkStart w:id="21" w:name="언론의-현실주의-편중"/>
    <w:p>
      <w:pPr>
        <w:pStyle w:val="Heading3"/>
      </w:pPr>
      <w:r>
        <w:t xml:space="preserve">2.1 언론의 현실주의 편중</w:t>
      </w:r>
    </w:p>
    <w:p>
      <w:pPr>
        <w:pStyle w:val="FirstParagraph"/>
      </w:pPr>
      <w:r>
        <w:t xml:space="preserve">뉴스에서 현실주의 비중이 높은 것은 토픽 구성의 결과이다. 현실주의로 대응된 토픽(반도체 수출통제 80%, 딥시크·오픈소스 100%, 국가 AI 경쟁력·인재 70%, 군사·전쟁 AI 60%)이 뉴스의 상당 부분을 차지하고, 윤리·국제규범이나 저작권처럼 구성주의·자유주의로 기울어진 토픽은 뉴스에서 작았다. 연도별 변화도 토픽 구성의 변화와 겹친다. 2025년에 현실주의 비중이 65%로 가장 높았던 해는 딥시크와 반도체 수출통제 토픽이 각각 20%를 넘은 해이고, 2026년에는 미중 정상회담과 이란전과 관련한 토픽이 커졌다. 이는 뉴스 담론이 사건과 소재에 의해 움직이는 성격을 보여 준다. 다만 이 연구는 그 이유(언론의 보도 관행, 뉴스가치, 국제 정세 등)를 검증하지 않았다. 사건 중심의 보도가 국가 간 경쟁을 부각하기 쉽다는 설명은 가설로 남긴다</w:t>
      </w:r>
      <w:r>
        <w:t xml:space="preserve"> </w:t>
      </w:r>
      <w:r>
        <w:rPr>
          <w:rStyle w:val="VerbatimChar"/>
        </w:rPr>
        <w:t xml:space="preserve">[확인: 보도 관행 문헌으로 보강]</w:t>
      </w:r>
      <w:r>
        <w:t xml:space="preserve">.</w:t>
      </w:r>
    </w:p>
    <w:bookmarkEnd w:id="21"/>
    <w:bookmarkStart w:id="22" w:name="학계의-분산된-제도규범-담론"/>
    <w:p>
      <w:pPr>
        <w:pStyle w:val="Heading3"/>
      </w:pPr>
      <w:r>
        <w:t xml:space="preserve">2.2 학계의 분산된 제도·규범 담론</w:t>
      </w:r>
    </w:p>
    <w:p>
      <w:pPr>
        <w:pStyle w:val="FirstParagraph"/>
      </w:pPr>
      <w:r>
        <w:t xml:space="preserve">학계는 현실주의가 21%이고 자유주의와 구성주의를 합하면 69%였다. 그러나 가설에서 예상한 것처럼 규범(구성주의)에 집중된 것은 아니었다. 자유주의(규칙·제도의 설계와 조화)와 구성주의(권리·책임·가치)가 거의 같은 비중이었고, 연도에 따른 큰 변화도 없었다. 이는 학계가 AI를 제도 설계와 권리 보호의 문제로 다루는 비중이 일정하게 높다는 뜻이다. 한편 학계에서 국가 전략·미중 경쟁이라는 이름의 토픽(27.8%)은 현실주의가 40%에 그치고 해당없음이 30%였다. 뉴스 하위 토픽으로 투영하면 학계의 이 토픽은 국가 AI 경쟁력·인재(65.1%)에 가깝고 반도체 수출통제(1.1%)와 정상 외교(1.6%)는 거의 없었다. 같은 ’국가 전략’이라는 이름 아래에서도 언론은 수출통제와 정상 외교를, 학계는 국가 경쟁력과 산업 정책을 다룬다는 점이 드러난다.</w:t>
      </w:r>
    </w:p>
    <w:bookmarkEnd w:id="22"/>
    <w:bookmarkStart w:id="23" w:name="이론적-함의"/>
    <w:p>
      <w:pPr>
        <w:pStyle w:val="Heading3"/>
      </w:pPr>
      <w:r>
        <w:t xml:space="preserve">2.3 이론적 함의</w:t>
      </w:r>
    </w:p>
    <w:p>
      <w:pPr>
        <w:pStyle w:val="FirstParagraph"/>
      </w:pPr>
      <w:r>
        <w:t xml:space="preserve">Raustiala와 Victor(2004)가 말한 레짐 복합체와 Morse와 Keohane(2014)의 경합적 다자주의는 AI 거버넌스가 여러 제도와 행위자의 경합으로 구성된다고 본다. 본 연구의 결과는 한국에서 이 경합이 언론과 학계에서 서로 다른 면으로 포착된다는 점을 보여 준다. 언론은 경합의 지정학적 측면(수출통제, 정상 외교, 패권)을, 학계는 제도 설계와 권리·책임의 측면을 더 많이 다룬다. 이는 AI 거버넌스를 하나의</w:t>
      </w:r>
      <w:r>
        <w:t xml:space="preserve"> </w:t>
      </w:r>
      <w:r>
        <w:t xml:space="preserve">‘</w:t>
      </w:r>
      <w:r>
        <w:t xml:space="preserve">국제 규범</w:t>
      </w:r>
      <w:r>
        <w:t xml:space="preserve">’</w:t>
      </w:r>
      <w:r>
        <w:t xml:space="preserve"> </w:t>
      </w:r>
      <w:r>
        <w:t xml:space="preserve">담론으로 보기보다 이론 전통별 프레임으로 나누어 볼 필요가 있음을 뒷받침한다. 또한 뉴스 프레이밍 연구가 주로 낙관·비관의 가치 프레임에 집중해 온 것(Chuan et al., 2019; Cools et al., 2024)과 달리, 토픽 모형과 국제정치 이론 프레임을 결합하는 방식이 담론의 이론적 구성을 비교하는 데 쓰일 수 있음을 보였다.</w:t>
      </w:r>
    </w:p>
    <w:bookmarkEnd w:id="23"/>
    <w:bookmarkStart w:id="24" w:name="정책-담론에-대한-시사점"/>
    <w:p>
      <w:pPr>
        <w:pStyle w:val="Heading3"/>
      </w:pPr>
      <w:r>
        <w:t xml:space="preserve">2.4 정책 담론에 대한 시사점</w:t>
      </w:r>
    </w:p>
    <w:p>
      <w:pPr>
        <w:pStyle w:val="FirstParagraph"/>
      </w:pPr>
      <w:r>
        <w:t xml:space="preserve">이 결과를 정책 담론의 단절로 단정할 수는 없다. 다만 언론에서 크게 다루어진 수출통제와 정상 외교 소재가 학계의 국가 전략 논의에서는 거의 나타나지 않았고, 학계의 법·제도 논의(EU 입법 비교, 개인정보, 책임)는 뉴스에서 훨씬 작게 다뤄졌다는 점은 확인된다. 이는 정책 논의에 필요한 정보가 언론을 통해 전달되는 방식과 학계가 정리하는 쟁점의 방향이 다를 수 있음을 시사한다. 두 담론이 서로 어떻게 영향을 주고받는지(예: 학계 연구가 언론 보도에 인용되는지)는 본 연구의 범위 밖이다</w:t>
      </w:r>
      <w:r>
        <w:t xml:space="preserve"> </w:t>
      </w:r>
      <w:r>
        <w:rPr>
          <w:rStyle w:val="VerbatimChar"/>
        </w:rPr>
        <w:t xml:space="preserve">[확인: 정책적 시사점의 범위를 저자가 조정]</w:t>
      </w:r>
      <w:r>
        <w:t xml:space="preserve">.</w:t>
      </w:r>
    </w:p>
    <w:bookmarkEnd w:id="24"/>
    <w:bookmarkEnd w:id="25"/>
    <w:bookmarkStart w:id="26" w:name="한계"/>
    <w:p>
      <w:pPr>
        <w:pStyle w:val="Heading2"/>
      </w:pPr>
      <w:r>
        <w:t xml:space="preserve">3. 한계</w:t>
      </w:r>
    </w:p>
    <w:p>
      <w:pPr>
        <w:pStyle w:val="FirstParagraph"/>
      </w:pPr>
      <w:r>
        <w:t xml:space="preserve">첫째, 학술논문 수집은 제목에 AI 핵심어가 있는 논문으로 한정되어 있어 제목에 AI 용어가 없는 거버넌스 논문을 놓칠 수 있다. 관련성 판정의 독립 κ는 0.282이며 연구자 수정 판정 기준 재현율은 79.5%(95% CI 0.66~0.91)이다. 뉴스 분류기의 재현율은 측정하지 못했다.</w:t>
      </w:r>
    </w:p>
    <w:p>
      <w:pPr>
        <w:pStyle w:val="BodyText"/>
      </w:pPr>
      <w:r>
        <w:t xml:space="preserve">둘째, 프레임은 법리·정책 문서에도 논거 기준으로 붙인 조작적 정의이다. 학계 코퍼스의 약 65%가 규제·법제 논문이어서 자유주의·구성주의 비중이 구조적으로 높게 나올 수 있다. 법리 문서의 프레임이 국제정치 이론의 현실주의·자유주의·구성주의와 개념적으로 같다고 주장하지 않는다.</w:t>
      </w:r>
    </w:p>
    <w:p>
      <w:pPr>
        <w:pStyle w:val="BodyText"/>
      </w:pPr>
      <w:r>
        <w:t xml:space="preserve">셋째, 프레임 코딩의 독립 κ는 0.51로 보통 수준이며, 코더에 따라 구성주의와 자유주의 비중이 달랐다(학계 구성주의 36% 대 32%, 뉴스 15% 대 23%). 본 코딩 120건은 검토 앵커링이 있다.</w:t>
      </w:r>
    </w:p>
    <w:p>
      <w:pPr>
        <w:pStyle w:val="BodyText"/>
      </w:pPr>
      <w:r>
        <w:t xml:space="preserve">넷째, 층별 표본이 10건이라 토픽별 프레임 대응과 비율의 신뢰구간이 넓고, 60% 경계에 걸린 대응이 있다. 연도별 추정은 토픽 안 프레임이 변하지 않는다는 가정에 의존하므로, 같은 토픽 안에서 프레임이 변했는지는 알 수 없다.</w:t>
      </w:r>
    </w:p>
    <w:p>
      <w:pPr>
        <w:pStyle w:val="BodyText"/>
      </w:pPr>
      <w:r>
        <w:t xml:space="preserve">다섯째, 뉴스는 본문 앞 200자와 키워드만 사용했고, 학계 모형에 투영한 뉴스 토픽은 어휘 불일치로 일부 오할당될 수 있다. 토픽 수는 일관성 고원 구간에서 고른 것이며 작은 토픽(특허)은 K에 따라 합쳐지거나 나뉜다.</w:t>
      </w:r>
    </w:p>
    <w:p>
      <w:pPr>
        <w:pStyle w:val="BodyText"/>
      </w:pPr>
      <w:r>
        <w:t xml:space="preserve">여섯째, 분석은 전국일간지 11개에 한정되어 방송, 인터넷 매체, 소셜미디어는 포함하지 않았다.</w:t>
      </w:r>
    </w:p>
    <w:bookmarkEnd w:id="26"/>
    <w:bookmarkStart w:id="27" w:name="후속-연구"/>
    <w:p>
      <w:pPr>
        <w:pStyle w:val="Heading2"/>
      </w:pPr>
      <w:r>
        <w:t xml:space="preserve">4. 후속 연구</w:t>
      </w:r>
    </w:p>
    <w:p>
      <w:pPr>
        <w:pStyle w:val="FirstParagraph"/>
      </w:pPr>
      <w:r>
        <w:t xml:space="preserve">첫째, 층별 표본을 늘리거나 서로 독립인 두 코더가 전체 표본을 코딩하여 토픽별 프레임 대응의 불확실성을 줄일 수 있다. 둘째, 뉴스 본문 전체를 사용하고 사설·칼럼과 보도를 구분해 프레임이 장르에 따라 다른지 볼 수 있다. 셋째, 확장 코퍼스에서 추가분의 프레임을 직접 코딩해 본 연구의 확장 코퍼스 분석이 가정한 층 내 균질성을 검증할 수 있다. 넷째, 사건 기준으로 시기를 구분(예: 생성형 AI 확산, EU AI Act 합의·시행, 미중 정상회담)해 사건 전후의 프레임 변화를 볼 수 있다. 다섯째, 방송과 인터넷 매체, 정부 문서와 국회 회의록을 포함해 학계와 언론 사이의 정책 담론 경로를 추적할 수 있다.</w:t>
      </w:r>
    </w:p>
    <w:bookmarkEnd w:id="27"/>
    <w:bookmarkStart w:id="28" w:name="결론"/>
    <w:p>
      <w:pPr>
        <w:pStyle w:val="Heading2"/>
      </w:pPr>
      <w:r>
        <w:t xml:space="preserve">5. 결론</w:t>
      </w:r>
    </w:p>
    <w:p>
      <w:pPr>
        <w:pStyle w:val="FirstParagraph"/>
      </w:pPr>
      <w:r>
        <w:t xml:space="preserve">한국 언론과 학계는 같은 기간 AI 글로벌 거버넌스를 서로 다른 이론적 틀로 다루었다. 언론은 현실주의 프레임이 절반을 넘고 수출통제, 군사, 정상 외교, 기술 경쟁이 주를 이루었으며 그 구성은 사건에 따라 변하였다. 학계는 자유주의와 구성주의로 나뉜 법·제도·권리 논의가 약 70%를 차지하고 연도에 따른 변화가 작았다. 이 격차는 2019~2026년 전 기간에서 유지되었으나 층별 표본이 작고 코더 간 일치도가 보통 수준이어서 개별 토픽의 프레임 대응은 잠정적이다. 그럼에도 본 연구는 한국의 AI 글로벌 거버넌스 담론이 단일한 규범 담론이 아니라 언론의 지정학적 경합 프레임과 학계의 제도·규범 프레임으로 구성되어 있음을 같은 토픽 축 위에서 처음으로 보인다는 점에서 의의가 있다</w:t>
      </w:r>
      <w:r>
        <w:t xml:space="preserve"> </w:t>
      </w:r>
      <w:r>
        <w:rPr>
          <w:rStyle w:val="VerbatimChar"/>
        </w:rPr>
        <w:t xml:space="preserve">[확인: "처음"이라는 표현은 학술DB 직접 검색 후에 사용]</w:t>
      </w:r>
      <w:r>
        <w:t xml:space="preserve">.</w:t>
      </w:r>
    </w:p>
    <w:bookmarkEnd w:id="28"/>
    <w:bookmarkStart w:id="29" w:name="참고문헌"/>
    <w:p>
      <w:pPr>
        <w:pStyle w:val="Heading2"/>
      </w:pPr>
      <w:r>
        <w:t xml:space="preserve">참고문헌</w:t>
      </w:r>
    </w:p>
    <w:p>
      <w:pPr>
        <w:numPr>
          <w:ilvl w:val="0"/>
          <w:numId w:val="1001"/>
        </w:numPr>
        <w:pStyle w:val="Compact"/>
      </w:pPr>
      <w:r>
        <w:t xml:space="preserve">Chuan, C.-H., Tsai, W.-H. S., &amp; Cho, S. Y. (2019). Framing artificial intelligence in American newspapers.</w:t>
      </w:r>
      <w:r>
        <w:t xml:space="preserve"> </w:t>
      </w:r>
      <w:r>
        <w:rPr>
          <w:iCs/>
          <w:i/>
        </w:rPr>
        <w:t xml:space="preserve">Proceedings of the 2019 AAAI/ACM Conference on AI, Ethics, and Society</w:t>
      </w:r>
      <w:r>
        <w:t xml:space="preserve">.</w:t>
      </w:r>
      <w:r>
        <w:t xml:space="preserve"> </w:t>
      </w:r>
      <w:r>
        <w:rPr>
          <w:rStyle w:val="VerbatimChar"/>
        </w:rPr>
        <w:t xml:space="preserve">[확인: 쪽수]</w:t>
      </w:r>
    </w:p>
    <w:p>
      <w:pPr>
        <w:numPr>
          <w:ilvl w:val="0"/>
          <w:numId w:val="1001"/>
        </w:numPr>
        <w:pStyle w:val="Compact"/>
      </w:pPr>
      <w:r>
        <w:t xml:space="preserve">Cools, H., Van Gorp, B., &amp; Opgenhaffen, M. (2024). Where exactly between utopia and dystopia? A framing analysis of AI and automation in US newspapers.</w:t>
      </w:r>
      <w:r>
        <w:t xml:space="preserve"> </w:t>
      </w:r>
      <w:r>
        <w:rPr>
          <w:iCs/>
          <w:i/>
        </w:rPr>
        <w:t xml:space="preserve">Journalism</w:t>
      </w:r>
      <w:r>
        <w:t xml:space="preserve">, 25(1), 3–21. https://doi.org/10.1177/14648849221122647</w:t>
      </w:r>
    </w:p>
    <w:p>
      <w:pPr>
        <w:numPr>
          <w:ilvl w:val="0"/>
          <w:numId w:val="1001"/>
        </w:numPr>
        <w:pStyle w:val="Compact"/>
      </w:pPr>
      <w:r>
        <w:t xml:space="preserve">Morse, J. C., &amp; Keohane, R. O. (2014). Contested multilateralism.</w:t>
      </w:r>
      <w:r>
        <w:t xml:space="preserve"> </w:t>
      </w:r>
      <w:r>
        <w:rPr>
          <w:iCs/>
          <w:i/>
        </w:rPr>
        <w:t xml:space="preserve">Review of International Organizations</w:t>
      </w:r>
      <w:r>
        <w:t xml:space="preserve">, 9(4), 385–412.</w:t>
      </w:r>
    </w:p>
    <w:p>
      <w:pPr>
        <w:numPr>
          <w:ilvl w:val="0"/>
          <w:numId w:val="1001"/>
        </w:numPr>
        <w:pStyle w:val="Compact"/>
      </w:pPr>
      <w:r>
        <w:t xml:space="preserve">Raustiala, K., &amp; Victor, D. G. (2004). The regime complex for plant genetic resources.</w:t>
      </w:r>
      <w:r>
        <w:t xml:space="preserve"> </w:t>
      </w:r>
      <w:r>
        <w:rPr>
          <w:iCs/>
          <w:i/>
        </w:rPr>
        <w:t xml:space="preserve">International Organization</w:t>
      </w:r>
      <w:r>
        <w:t xml:space="preserve">, 58(2), 277–309.</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2026-10-13T15:55:18Z</dcterms:created>
  <dcterms:modified xsi:type="dcterms:W3CDTF">2026-10-13T15:55:18Z</dcterms:modified>
</cp:coreProperties>
</file>

<file path=docProps/custom.xml><?xml version="1.0" encoding="utf-8"?>
<Properties xmlns="http://schemas.openxmlformats.org/officeDocument/2006/custom-properties" xmlns:vt="http://schemas.openxmlformats.org/officeDocument/2006/docPropsVTypes"/>
</file>