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신명조" w:eastAsia="신명조" w:hAnsi="Times New Roman"/>
          <w:b/>
          <w:bCs/>
          <w:strike w:val="false"/>
          <w:sz w:val="32"/>
          <w:szCs w:val="32"/>
        </w:rPr>
        <w:t xml:space="preserve">초록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한국 학계의 AI 거버넌스 논의 중 ‘국가 전략·미중 경쟁’ 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정치외교학(73%)·지역학(74%)·군사학(86%)·정책학(92%)은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V=0.40이었다. 이러한 큰 방향은 분류 설정과 무관하게 유지되었으나 분야별 세부 비율, 특히 구성주의 비중은 설정에 민감하였다. 반복 분류의 일치도는 κ=0.81, 정의문 변경 시 κ=0.72였고 연구자의 독립 코딩과의 일치는 중등도에서 상당한 수준(κ=0.67)이었다. 본 연구는 AI 거버넌스 담론이 분야별로 다른 문제틀 위에서 전개됨을 보이고, LLM 기반 프레임 분류의 가능성과 한계를 함께 제시한다.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주제어</w:t>
      </w:r>
      <w:r>
        <w:rPr>
          <w:rFonts w:ascii="Times New Roman" w:cs="신명조" w:eastAsia="신명조" w:hAnsi="Times New Roman"/>
          <w:b w:val="false"/>
          <w:bCs w:val="false"/>
          <w:strike w:val="false"/>
          <w:sz w:val="22"/>
          <w:szCs w:val="22"/>
        </w:rPr>
        <w:t xml:space="preserve">: AI 거버넌스, 프레임 분석, 학문분야, 국제정치이론, LLM 기반 내용분석</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Abstract</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Using all 186 Korean journal articles (KCI) assigned to the “national strategy and US–China competition” 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(74%), military studies (86%), and policy studies (92%), while law favored a liberal, rules-and-institutions frame (46%) over realism (29%); most education papers (90%) fit none of the frames. Association between discipline and frame was moderate (Cramér’s V = 0.40). The broad pattern held across all classification settings, but disciplinary percentages, particularly for constructivism, were sensitive to prompt wording (repeat κ = 0.81; reworded definitions κ = 0.72), and agreement with the researcher’s independent coding of 50 papers was substantial (κ = 0.67). The study shows that AI governance discourse is built on different problem frames across disciplines and reports both the promise and limits of LLM-based frame classification.</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Keywords</w:t>
      </w:r>
      <w:r>
        <w:rPr>
          <w:rFonts w:ascii="Times New Roman" w:cs="신명조" w:eastAsia="신명조" w:hAnsi="Times New Roman"/>
          <w:b w:val="false"/>
          <w:bCs w:val="false"/>
          <w:strike w:val="false"/>
          <w:sz w:val="22"/>
          <w:szCs w:val="22"/>
        </w:rPr>
        <w:t xml:space="preserve">: AI governance, framing, academic disciplines, international relations theory, LLM-assisted content analysis</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Ⅰ. 서론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연구 배경과 목적</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인공지능(AI)의 국제 거버넌스는 한국에서도 여러 학문분야가 함께 다루는 주제가 되었다</w:t>
      </w:r>
      <w:r>
        <w:rPr>
          <w:rFonts w:ascii="Times New Roman" w:cs="신명조" w:eastAsia="신명조" w:hAnsi="Times New Roman"/>
          <w:b w:val="false"/>
          <w:bCs w:val="false"/>
          <w:strike w:val="false"/>
          <w:color w:val="C00000"/>
          <w:sz w:val="22"/>
          <w:szCs w:val="22"/>
        </w:rPr>
        <w:t xml:space="preserve">(박선형, 2024; 김지상, 2026)</w:t>
      </w:r>
      <w:r>
        <w:rPr>
          <w:rFonts w:ascii="Times New Roman" w:cs="신명조" w:eastAsia="신명조" w:hAnsi="Times New Roman"/>
          <w:b w:val="false"/>
          <w:bCs w:val="false"/>
          <w:strike w:val="false"/>
          <w:sz w:val="22"/>
          <w:szCs w:val="22"/>
        </w:rPr>
        <w:t xml:space="preserve">. 정치외교학과 군사학은 미중 기술 경쟁과 안보를</w:t>
      </w:r>
      <w:r>
        <w:rPr>
          <w:rFonts w:ascii="Times New Roman" w:cs="신명조" w:eastAsia="신명조" w:hAnsi="Times New Roman"/>
          <w:b w:val="false"/>
          <w:bCs w:val="false"/>
          <w:strike w:val="false"/>
          <w:color w:val="C00000"/>
          <w:sz w:val="22"/>
          <w:szCs w:val="22"/>
        </w:rPr>
        <w:t xml:space="preserve">(윤정현</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 이상훈, 권혁진, 2025), </w:t>
      </w:r>
      <w:r>
        <w:rPr>
          <w:rFonts w:ascii="Times New Roman" w:cs="신명조" w:eastAsia="신명조" w:hAnsi="Times New Roman"/>
          <w:b w:val="false"/>
          <w:bCs w:val="false"/>
          <w:strike w:val="false"/>
          <w:sz w:val="22"/>
          <w:szCs w:val="22"/>
        </w:rPr>
        <w:t xml:space="preserve">법학은 각국의 규제 입법과 국제 규범을</w:t>
      </w:r>
      <w:r>
        <w:rPr>
          <w:rFonts w:ascii="Times New Roman" w:cs="신명조" w:eastAsia="신명조" w:hAnsi="Times New Roman"/>
          <w:b w:val="false"/>
          <w:bCs w:val="false"/>
          <w:strike w:val="false"/>
          <w:color w:val="C00000"/>
          <w:sz w:val="22"/>
          <w:szCs w:val="22"/>
        </w:rPr>
        <w:t xml:space="preserve">(안준철</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2024; 김태훈, 이성엽, 2025), </w:t>
      </w:r>
      <w:r>
        <w:rPr>
          <w:rFonts w:ascii="Times New Roman" w:cs="신명조" w:eastAsia="신명조" w:hAnsi="Times New Roman"/>
          <w:b w:val="false"/>
          <w:bCs w:val="false"/>
          <w:strike w:val="false"/>
          <w:sz w:val="22"/>
          <w:szCs w:val="22"/>
        </w:rPr>
        <w:t xml:space="preserve">경영학과 교육학은 산업 경쟁력과 인재 문제를 논의한다</w:t>
      </w:r>
      <w:r>
        <w:rPr>
          <w:rFonts w:ascii="Times New Roman" w:cs="신명조" w:eastAsia="신명조" w:hAnsi="Times New Roman"/>
          <w:b w:val="false"/>
          <w:bCs w:val="false"/>
          <w:strike w:val="false"/>
          <w:color w:val="C00000"/>
          <w:sz w:val="22"/>
          <w:szCs w:val="22"/>
        </w:rPr>
        <w:t xml:space="preserve">(김성준, 이중학, 2026; 이현주, 2025)</w:t>
      </w:r>
      <w:r>
        <w:rPr>
          <w:rFonts w:ascii="Times New Roman" w:cs="신명조" w:eastAsia="신명조" w:hAnsi="Times New Roman"/>
          <w:b w:val="false"/>
          <w:bCs w:val="false"/>
          <w:strike w:val="false"/>
          <w:sz w:val="22"/>
          <w:szCs w:val="22"/>
        </w:rPr>
        <w:t xml:space="preserve">.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필자의 별도 원고(투고 준비 중, 이하 별도 원고)는 2019년 5월부터 2026년 9월까지 한국 언론과 학계의 AI 글로벌 거버넌스 담론을 토픽모형과 국제정치이론 프레임으로 비교하였다. 그 원고에서 국가 전략·미중 경쟁 토픽은 뉴스의 대부분을 차지했고, 학술논문에서도 가장 큰 토픽 가운데 하나였다. 별도 원고는 아직 공개되지 않았으므로 본 연구는 그 결과에 의존하지 않고, 같은 코퍼스와 토픽모형에서 도출한 T1 논문 186편을 새로운 질문(분야 간 비교)과 새로운 방법(LLM 분류의 안정성·타당화)으로 분석한다 [확인: 투고 시 저자 익명화 규정에 따라 &amp;#39;별도 원고&amp;#39;를 가리는 표기로 수정].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문제는 다음과 같다. 같은 ‘국가 전략·미중 경쟁’ 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논문의 구성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Ⅱ장에서 이론적 배경을, Ⅲ장에서 자료와 LLM 기반 분류 방법을, Ⅳ장에서 결과를, Ⅴ장에서 논의와 결론을 제시한다.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Ⅱ. 이론적 배경</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AI 거버넌스와 세 이론 전통</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AI를 규율하는 국제 규범은 하나의 조약이나 기구가 아니라 여러 기구와 문서가 겹친 분절된 형태로 발전해 왔다(</w:t>
      </w:r>
      <w:r>
        <w:rPr>
          <w:rFonts w:ascii="Times New Roman" w:cs="신명조" w:eastAsia="신명조" w:hAnsi="Times New Roman"/>
          <w:b w:val="false"/>
          <w:bCs w:val="false"/>
          <w:strike w:val="false"/>
          <w:color w:val="C00000"/>
          <w:sz w:val="22"/>
          <w:szCs w:val="22"/>
        </w:rPr>
        <w:t xml:space="preserve">Stix</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2022). 이 지형은 협력만으로 구성되지 않고 여러 행위자가 서로 다른 제도를 통해 규칙의 주도권을 다투는 경합적 다자주의의 성격도 지닌다(</w:t>
      </w:r>
      <w:r>
        <w:rPr>
          <w:rFonts w:ascii="Times New Roman" w:cs="신명조" w:eastAsia="신명조" w:hAnsi="Times New Roman"/>
          <w:b w:val="false"/>
          <w:bCs w:val="false"/>
          <w:strike w:val="false"/>
          <w:color w:val="C00000"/>
          <w:sz w:val="22"/>
          <w:szCs w:val="22"/>
        </w:rPr>
        <w:t xml:space="preserve">하윤빈</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w:t>
      </w:r>
      <w:r>
        <w:rPr>
          <w:rFonts w:ascii="Times New Roman" w:cs="신명조" w:eastAsia="신명조" w:hAnsi="Times New Roman"/>
          <w:b w:val="false"/>
          <w:bCs w:val="false"/>
          <w:strike w:val="false"/>
          <w:sz w:val="22"/>
          <w:szCs w:val="22"/>
        </w:rPr>
        <w:t xml:space="preserve">). 따라서 같은 사건이 어떤 행위자에게는 제도 설계의 문제로, 다른 행위자에게는 경쟁과 안보의 문제로 해석될 수 있다</w:t>
      </w:r>
      <w:r>
        <w:rPr>
          <w:rFonts w:ascii="Times New Roman" w:cs="신명조" w:eastAsia="신명조" w:hAnsi="Times New Roman"/>
          <w:b w:val="false"/>
          <w:bCs w:val="false"/>
          <w:strike w:val="false"/>
          <w:color w:val="C00000"/>
          <w:sz w:val="22"/>
          <w:szCs w:val="22"/>
        </w:rPr>
        <w:t xml:space="preserve">(Evans &amp; Singh, 2026a)</w:t>
      </w:r>
      <w:r>
        <w:rPr>
          <w:rFonts w:ascii="Times New Roman" w:cs="신명조" w:eastAsia="신명조" w:hAnsi="Times New Roman"/>
          <w:b w:val="false"/>
          <w:bCs w:val="false"/>
          <w:strike w:val="false"/>
          <w:sz w:val="22"/>
          <w:szCs w:val="22"/>
        </w:rPr>
        <w:t xml:space="preserve">. 국제정치학의 세 이론 전통은 이 해석의 차이를 구분하는 틀이 된다</w:t>
      </w:r>
      <w:r>
        <w:rPr>
          <w:rFonts w:ascii="Times New Roman" w:cs="신명조" w:eastAsia="신명조" w:hAnsi="Times New Roman"/>
          <w:b w:val="false"/>
          <w:bCs w:val="false"/>
          <w:strike w:val="false"/>
          <w:color w:val="C00000"/>
          <w:sz w:val="22"/>
          <w:szCs w:val="22"/>
        </w:rPr>
        <w:t xml:space="preserve">(Erskine, 2016; Hay, 2016)</w:t>
      </w:r>
      <w:r>
        <w:rPr>
          <w:rFonts w:ascii="Times New Roman" w:cs="신명조" w:eastAsia="신명조" w:hAnsi="Times New Roman"/>
          <w:b w:val="false"/>
          <w:bCs w:val="false"/>
          <w:strike w:val="false"/>
          <w:sz w:val="22"/>
          <w:szCs w:val="22"/>
        </w:rPr>
        <w:t xml:space="preserve">. 본 연구는 세 전통을 담론이 문제를 규정하고 처방을 정당화하는 논거의 유형으로 조작화한다(</w:t>
      </w:r>
      <w:r>
        <w:rPr>
          <w:rFonts w:ascii="Times New Roman" w:cs="신명조" w:eastAsia="신명조" w:hAnsi="Times New Roman"/>
          <w:b w:val="false"/>
          <w:bCs w:val="false"/>
          <w:strike w:val="false"/>
          <w:color w:val="C00000"/>
          <w:sz w:val="22"/>
          <w:szCs w:val="22"/>
        </w:rPr>
        <w:t xml:space="preserve">Dan</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2017a</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현실주의는 국가 간 힘의 분포, 안보, 경쟁에 주목한다</w:t>
      </w:r>
      <w:r>
        <w:rPr>
          <w:rFonts w:ascii="Times New Roman" w:cs="신명조" w:eastAsia="신명조" w:hAnsi="Times New Roman"/>
          <w:b w:val="false"/>
          <w:bCs w:val="false"/>
          <w:strike w:val="false"/>
          <w:color w:val="C00000"/>
          <w:sz w:val="22"/>
          <w:szCs w:val="22"/>
        </w:rPr>
        <w:t xml:space="preserve">(Erskine, 2024)</w:t>
      </w:r>
      <w:r>
        <w:rPr>
          <w:rFonts w:ascii="Times New Roman" w:cs="신명조" w:eastAsia="신명조" w:hAnsi="Times New Roman"/>
          <w:b w:val="false"/>
          <w:bCs w:val="false"/>
          <w:strike w:val="false"/>
          <w:sz w:val="22"/>
          <w:szCs w:val="22"/>
        </w:rPr>
        <w:t xml:space="preserve">. AI를 군사력과 국제정치에 영향을 주는 촉진 기술로 보는 연구</w:t>
      </w:r>
      <w:r>
        <w:rPr>
          <w:rFonts w:ascii="Times New Roman" w:cs="신명조" w:eastAsia="신명조" w:hAnsi="Times New Roman"/>
          <w:b w:val="false"/>
          <w:bCs w:val="false"/>
          <w:strike w:val="false"/>
          <w:color w:val="C00000"/>
          <w:sz w:val="22"/>
          <w:szCs w:val="22"/>
        </w:rPr>
        <w:t xml:space="preserve">와, AI 반도체 공급망과 수출통제</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미중 AI 패권경쟁</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AI 군사력 경쟁</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자율무기와 세력 전이</w:t>
      </w:r>
      <w:r>
        <w:rPr>
          <w:rFonts w:ascii="Times New Roman" w:cs="신명조" w:eastAsia="신명조" w:hAnsi="Times New Roman"/>
          <w:b w:val="false"/>
          <w:bCs w:val="false"/>
          <w:strike w:val="false"/>
          <w:color w:val="C00000"/>
          <w:sz w:val="22"/>
          <w:szCs w:val="22"/>
        </w:rPr>
        <w:t xml:space="preserve">에 관한 국내 연구가 이 계열이다</w:t>
      </w:r>
      <w:r>
        <w:rPr>
          <w:rFonts w:ascii="Times New Roman" w:cs="신명조" w:eastAsia="신명조" w:hAnsi="Times New Roman"/>
          <w:b w:val="false"/>
          <w:bCs w:val="false"/>
          <w:strike w:val="false"/>
          <w:color w:val="C00000"/>
          <w:sz w:val="22"/>
          <w:szCs w:val="22"/>
        </w:rPr>
        <w:t xml:space="preserve">(윤정현, 2026; 이상훈, 권혁진, 2025)</w:t>
      </w:r>
      <w:r>
        <w:rPr>
          <w:rFonts w:ascii="Times New Roman" w:cs="신명조" w:eastAsia="신명조" w:hAnsi="Times New Roman"/>
          <w:b w:val="false"/>
          <w:bCs w:val="false"/>
          <w:strike w:val="false"/>
          <w:sz w:val="22"/>
          <w:szCs w:val="22"/>
        </w:rPr>
        <w:t xml:space="preserve">. 자유주의는 규칙과 제도의 설계, 조화, 협력에 주목하며, 국제기구와 다자 협의체를 AI 정책의 조율 장치로 본다(</w:t>
      </w:r>
      <w:r>
        <w:rPr>
          <w:rFonts w:ascii="Times New Roman" w:cs="신명조" w:eastAsia="신명조" w:hAnsi="Times New Roman"/>
          <w:b w:val="false"/>
          <w:bCs w:val="false"/>
          <w:strike w:val="false"/>
          <w:color w:val="C00000"/>
          <w:sz w:val="22"/>
          <w:szCs w:val="22"/>
        </w:rPr>
        <w:t xml:space="preserve">윤혜선</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2024</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Sayles</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2024</w:t>
      </w:r>
      <w:r>
        <w:rPr>
          <w:rFonts w:ascii="Times New Roman" w:cs="신명조" w:eastAsia="신명조" w:hAnsi="Times New Roman"/>
          <w:b w:val="false"/>
          <w:bCs w:val="false"/>
          <w:strike w:val="false"/>
          <w:sz w:val="22"/>
          <w:szCs w:val="22"/>
        </w:rPr>
        <w:t xml:space="preserve">). 구성주의는 규범과 가치, 정체성이 무엇을 정당한 행동으로 만드는지에 주목한다(</w:t>
      </w:r>
      <w:r>
        <w:rPr>
          <w:rFonts w:ascii="Times New Roman" w:cs="신명조" w:eastAsia="신명조" w:hAnsi="Times New Roman"/>
          <w:b w:val="false"/>
          <w:bCs w:val="false"/>
          <w:strike w:val="false"/>
          <w:color w:val="C00000"/>
          <w:sz w:val="22"/>
          <w:szCs w:val="22"/>
        </w:rPr>
        <w:t xml:space="preserve">서요련</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w:t>
      </w:r>
      <w:r>
        <w:rPr>
          <w:rFonts w:ascii="Times New Roman" w:cs="신명조" w:eastAsia="신명조" w:hAnsi="Times New Roman"/>
          <w:b w:val="false"/>
          <w:bCs w:val="false"/>
          <w:strike w:val="false"/>
          <w:sz w:val="22"/>
          <w:szCs w:val="22"/>
        </w:rPr>
        <w:t xml:space="preserve">). AI 윤리 지침이 투명성, 공정성, 책임 등으로 수렴하되 이행은 갈린다는 연구(</w:t>
      </w:r>
      <w:r>
        <w:rPr>
          <w:rFonts w:ascii="Times New Roman" w:cs="신명조" w:eastAsia="신명조" w:hAnsi="Times New Roman"/>
          <w:b w:val="false"/>
          <w:bCs w:val="false"/>
          <w:strike w:val="false"/>
          <w:color w:val="C00000"/>
          <w:sz w:val="22"/>
          <w:szCs w:val="22"/>
        </w:rPr>
        <w:t xml:space="preserve">안소영</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2025</w:t>
      </w:r>
      <w:r>
        <w:rPr>
          <w:rFonts w:ascii="Times New Roman" w:cs="신명조" w:eastAsia="신명조" w:hAnsi="Times New Roman"/>
          <w:b w:val="false"/>
          <w:bCs w:val="false"/>
          <w:strike w:val="false"/>
          <w:color w:val="C00000"/>
          <w:sz w:val="22"/>
          <w:szCs w:val="22"/>
        </w:rPr>
        <w:t xml:space="preserve">)와 중국의 AI 규범 분석(</w:t>
      </w:r>
      <w:r>
        <w:rPr>
          <w:rFonts w:ascii="Times New Roman" w:cs="신명조" w:eastAsia="신명조" w:hAnsi="Times New Roman"/>
          <w:b w:val="false"/>
          <w:bCs w:val="false"/>
          <w:strike w:val="false"/>
          <w:color w:val="C00000"/>
          <w:sz w:val="22"/>
          <w:szCs w:val="22"/>
        </w:rPr>
        <w:t xml:space="preserve">이재숭,</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2022;</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구오단양</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2024; Carvalho, 2026</w:t>
      </w:r>
      <w:r>
        <w:rPr>
          <w:rFonts w:ascii="Times New Roman" w:cs="신명조" w:eastAsia="신명조" w:hAnsi="Times New Roman"/>
          <w:b w:val="false"/>
          <w:bCs w:val="false"/>
          <w:strike w:val="false"/>
          <w:sz w:val="22"/>
          <w:szCs w:val="22"/>
        </w:rPr>
        <w:t xml:space="preserve">)이 여기에 해당한다.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연구 공백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선행 연구는 AI 거버넌스를 이론별로 설명하거나, 뉴스 프레이밍을 가치 프레임 중심으로 분석해 왔다</w:t>
      </w:r>
      <w:r>
        <w:rPr>
          <w:rFonts w:ascii="Times New Roman" w:cs="신명조" w:eastAsia="신명조" w:hAnsi="Times New Roman"/>
          <w:b w:val="false"/>
          <w:bCs w:val="false"/>
          <w:strike w:val="false"/>
          <w:color w:val="C00000"/>
          <w:sz w:val="22"/>
          <w:szCs w:val="22"/>
        </w:rPr>
        <w:t xml:space="preserve">(최믿음, 조은수, 2024; 이겨레, 임철민, 2026)</w:t>
      </w:r>
      <w:r>
        <w:rPr>
          <w:rFonts w:ascii="Times New Roman" w:cs="신명조" w:eastAsia="신명조" w:hAnsi="Times New Roman"/>
          <w:b w:val="false"/>
          <w:bCs w:val="false"/>
          <w:strike w:val="false"/>
          <w:sz w:val="22"/>
          <w:szCs w:val="22"/>
        </w:rPr>
        <w:t xml:space="preserve">. 그러나 한국 학계 안에서 학문분야에 따라 같은 소재가 어떤 이론 프레임으로 다루어지는지를 전수 자료로 비교한 연구는 확인하지 못했다 [확인: 학술DB 직접 검색 필요]. 한편 LLM을 텍스트 주석 도구로 쓰는 연구는 프레임 탐지를 포함한 과제에서 인간 주석자와 견줄 만한 정확도와 일치도를 보고해 왔고(</w:t>
      </w:r>
      <w:r>
        <w:rPr>
          <w:rFonts w:ascii="Times New Roman" w:cs="신명조" w:eastAsia="신명조" w:hAnsi="Times New Roman"/>
          <w:b w:val="false"/>
          <w:bCs w:val="false"/>
          <w:strike w:val="false"/>
          <w:color w:val="C00000"/>
          <w:sz w:val="22"/>
          <w:szCs w:val="22"/>
        </w:rPr>
        <w:t xml:space="preserve">Li</w:t>
      </w:r>
      <w:r>
        <w:rPr>
          <w:rFonts w:ascii="Times New Roman" w:cs="신명조" w:eastAsia="신명조" w:hAnsi="Times New Roman"/>
          <w:b w:val="false"/>
          <w:bCs w:val="false"/>
          <w:strike w:val="false"/>
          <w:color w:val="C00000"/>
          <w:sz w:val="22"/>
          <w:szCs w:val="22"/>
        </w:rPr>
        <w:t xml:space="preserve"> et al., </w:t>
      </w:r>
      <w:r>
        <w:rPr>
          <w:rFonts w:ascii="Times New Roman" w:cs="신명조" w:eastAsia="신명조" w:hAnsi="Times New Roman"/>
          <w:b w:val="false"/>
          <w:bCs w:val="false"/>
          <w:strike w:val="false"/>
          <w:color w:val="C00000"/>
          <w:sz w:val="22"/>
          <w:szCs w:val="22"/>
        </w:rPr>
        <w:t xml:space="preserve">2026</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Wang</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&amp;</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Poenaru</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w:t>
      </w:r>
      <w:r>
        <w:rPr>
          <w:rFonts w:ascii="Times New Roman" w:cs="신명조" w:eastAsia="신명조" w:hAnsi="Times New Roman"/>
          <w:b w:val="false"/>
          <w:bCs w:val="false"/>
          <w:strike w:val="false"/>
          <w:sz w:val="22"/>
          <w:szCs w:val="22"/>
        </w:rPr>
        <w:t xml:space="preserve">), 다른 한편으로는 프롬프트 문구를 조금 바꾸거나 같은 입력을 반복해도 출력이 달라질 수 있으므로 인간 라벨에 의한 검증이 필요하다고 경고한다(</w:t>
      </w:r>
      <w:r>
        <w:rPr>
          <w:rFonts w:ascii="Times New Roman" w:cs="신명조" w:eastAsia="신명조" w:hAnsi="Times New Roman"/>
          <w:b w:val="false"/>
          <w:bCs w:val="false"/>
          <w:strike w:val="false"/>
          <w:color w:val="C00000"/>
          <w:sz w:val="22"/>
          <w:szCs w:val="22"/>
        </w:rPr>
        <w:t xml:space="preserve">Demirbaş</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w:t>
      </w:r>
      <w:r>
        <w:rPr>
          <w:rFonts w:ascii="Times New Roman" w:cs="신명조" w:eastAsia="신명조" w:hAnsi="Times New Roman"/>
          <w:b w:val="false"/>
          <w:bCs w:val="false"/>
          <w:strike w:val="false"/>
          <w:sz w:val="22"/>
          <w:szCs w:val="22"/>
        </w:rPr>
        <w:t xml:space="preserve">). 다만 이 연구들은 주로 영어 소셜미디어 텍스트를 대상으로 하며</w:t>
      </w:r>
      <w:r>
        <w:rPr>
          <w:rFonts w:ascii="Times New Roman" w:cs="신명조" w:eastAsia="신명조" w:hAnsi="Times New Roman"/>
          <w:b w:val="false"/>
          <w:bCs w:val="false"/>
          <w:strike w:val="false"/>
          <w:color w:val="C00000"/>
          <w:sz w:val="22"/>
          <w:szCs w:val="22"/>
        </w:rPr>
        <w:t xml:space="preserve">(Sazzed</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 Sulaiman et al., 2025), </w:t>
      </w:r>
      <w:r>
        <w:rPr>
          <w:rFonts w:ascii="Times New Roman" w:cs="신명조" w:eastAsia="신명조" w:hAnsi="Times New Roman"/>
          <w:b w:val="false"/>
          <w:bCs w:val="false"/>
          <w:strike w:val="false"/>
          <w:sz w:val="22"/>
          <w:szCs w:val="22"/>
        </w:rPr>
        <w:t xml:space="preserve">한국어 학술논문에서 이론 기반 프레임을 분류하면서 그 결과가 분류 설정과 사람 코딩에 얼마나 견고한지를 함께 보고한 연구는 확인하지 못했다 [확인: 학술DB 직접 검색 필요]. 본 연구는 이 두 공백을 다룬다. 학문분야는 문제를 보는 훈련과 규범이 다르므로 같은 소재라도 다른 프레임을 택할 것이라는 기대가 있으나</w:t>
      </w:r>
      <w:r>
        <w:rPr>
          <w:rFonts w:ascii="Times New Roman" w:cs="신명조" w:eastAsia="신명조" w:hAnsi="Times New Roman"/>
          <w:b w:val="false"/>
          <w:bCs w:val="false"/>
          <w:strike w:val="false"/>
          <w:color w:val="C00000"/>
          <w:sz w:val="22"/>
          <w:szCs w:val="22"/>
        </w:rPr>
        <w:t xml:space="preserve">(Dan</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2017e), </w:t>
      </w:r>
      <w:r>
        <w:rPr>
          <w:rFonts w:ascii="Times New Roman" w:cs="신명조" w:eastAsia="신명조" w:hAnsi="Times New Roman"/>
          <w:b w:val="false"/>
          <w:bCs w:val="false"/>
          <w:strike w:val="false"/>
          <w:sz w:val="22"/>
          <w:szCs w:val="22"/>
        </w:rPr>
        <w:t xml:space="preserve">이를 검증한 근거는 확인되지 않았으므로 본 연구는 탐색적 비교로 수행한다. 따라서 가설 검정 대신 분야별 분포와 그 안정성을 기술한다.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Ⅲ. 연구 방법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분석 대상</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분석 대상은 KCI 등재지·등재후보지 논문 669편에 LDA 토픽모형(K=7)을 추정하여 ‘국가 전략·미중 경쟁’(T1)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필자의 별도 원고(투고 준비 중)와 같은 것이며, 별도 원고의 프레임 코딩 표본 가운데 T1에 속한 10편의 연구자 라벨이 본 연구의 1차 분류값에 포함되어 있다. 두 원고는 연구 질문(뉴스·학계 비교 대 학계 내 분야 비교)과 분석 단위, 방법(표집·가중 추정 대 전수·LLM 분류)이 다르다. 학문분야는 KCI가 논문별로 부여한 단일 연구분야 경로(대분류 &gt; 중분류 &gt; 소분류)의 중분류(두 번째 단계)를 사용하였다. 186편 모두 하나의 경로만 갖고 있어 복수 분야 논문은 없었다. 경로가 중분류 한 단계로만 기재된 3편(정책학 1, 지역학 2)은 그 이름을 중분류로 보았다. 10편 미만 분야는 ’기타’로 묶었다.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프레임 분류</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w:t>
      </w:r>
      <w:r>
        <w:rPr>
          <w:rFonts w:ascii="Times New Roman" w:cs="신명조" w:eastAsia="신명조" w:hAnsi="Times New Roman"/>
          <w:b w:val="false"/>
          <w:bCs w:val="false"/>
          <w:strike w:val="false"/>
          <w:color w:val="C00000"/>
          <w:sz w:val="22"/>
          <w:szCs w:val="22"/>
        </w:rPr>
        <w:t xml:space="preserve">(Dan, 2017c)</w:t>
      </w:r>
      <w:r>
        <w:rPr>
          <w:rFonts w:ascii="Times New Roman" w:cs="신명조" w:eastAsia="신명조" w:hAnsi="Times New Roman"/>
          <w:b w:val="false"/>
          <w:bCs w:val="false"/>
          <w:strike w:val="false"/>
          <w:sz w:val="22"/>
          <w:szCs w:val="22"/>
        </w:rPr>
        <w:t xml:space="preserve">. 분류는 사람 코더가 아니라 LLM이 코드북에 따라 논문별로 프레임과 확신도를 출력하는 방식으로 수행하였다. 사용 모델의 식별자와 호출 일자, 프롬프트 전문은 부록에 제시한다 [확인: 1차 분류 시점의 모델 식별자 기록 불충분, 부록 A 참조]. 코드북은 입력으로 논문명과 초록만 규정하나 본 분류에서는 키워드를 함께 제공하였다(부록 F). 186편 중 10편은 선행 연구 과정에서 연구자가 직접 확정한 라벨이 있어 1차 분류값에 연구자 라벨을 그대로 사용하였고(나머지 176편은 LLM 분류), 반복·변형 분류는 186편 전체를 LLM이 분류하였다. 이 10편과 LLM 재분류의 일치는 타당화 참고로도 보고한다.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타당화와 안정성 점검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사람 코딩을 하지 않으므로 다음 세 가지로 분류의 신뢰성을 점검하였다</w:t>
      </w:r>
      <w:r>
        <w:rPr>
          <w:rFonts w:ascii="Times New Roman" w:cs="신명조" w:eastAsia="신명조" w:hAnsi="Times New Roman"/>
          <w:b w:val="false"/>
          <w:bCs w:val="false"/>
          <w:strike w:val="false"/>
          <w:color w:val="C00000"/>
          <w:sz w:val="22"/>
          <w:szCs w:val="22"/>
        </w:rPr>
        <w:t xml:space="preserve">(Demirbaş, 2026)</w:t>
      </w:r>
      <w:r>
        <w:rPr>
          <w:rFonts w:ascii="Times New Roman" w:cs="신명조" w:eastAsia="신명조" w:hAnsi="Times New Roman"/>
          <w:b w:val="false"/>
          <w:bCs w:val="false"/>
          <w:strike w:val="false"/>
          <w:sz w:val="22"/>
          <w:szCs w:val="22"/>
        </w:rPr>
        <w:t xml:space="preserve">.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κ로 보고하며 해석은 Landis와 Koch의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분석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분야 × 프레임 교차표로 분야별 비율을 제시하고, 연관 강도는 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인공지능 활용 고지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프레임 분류의 분석 도구로 대규모 언어모델(LLM)을 사용하였다. 1차 분류값 186편 중 176편은 연구자의 재검토를 거치지 않은 자동 분류값이고 10편은 연구자 확정 라벨이다. LLM 분류의 타당화는 연구자가 LLM 라벨을 보지 않고 독립 코딩한 50편으로 수행하였다. 또한 원고 작성에 LLM의 도움을 받았다. [확인: 학술지 규정의 AI 활용 고지 문구]</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Ⅳ. 연구 결과</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전체 분포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학문분야별 프레임 분포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표 1은 중분류 분야별 프레임 비율(1차 분류, %)과 네 가지 설정에서의 범위이다. 10편 미만 분야는 ’기타’로 묶었다(n=31).</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gridCol w:w="100"/>
      </w:tblGrid>
      <w:tr>
        <w:tc>
          <w:p>
            <w:r>
              <w:rPr>
                <w:rFonts w:ascii="Times New Roman" w:cs="신명조" w:eastAsia="신명조" w:hAnsi="Times New Roman"/>
                <w:b/>
                <w:bCs/>
                <w:strike w:val="false"/>
                <w:sz w:val="20"/>
                <w:szCs w:val="20"/>
              </w:rPr>
              <w:t xml:space="preserve">분야</w:t>
            </w:r>
          </w:p>
        </w:tc>
        <w:tc>
          <w:p>
            <w:r>
              <w:rPr>
                <w:rFonts w:ascii="Times New Roman" w:cs="신명조" w:eastAsia="신명조" w:hAnsi="Times New Roman"/>
                <w:b/>
                <w:bCs/>
                <w:strike w:val="false"/>
                <w:sz w:val="20"/>
                <w:szCs w:val="20"/>
              </w:rPr>
              <w:t xml:space="preserve">n</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r>
      <w:tr>
        <w:tc>
          <w:p>
            <w:r>
              <w:rPr>
                <w:rFonts w:ascii="Times New Roman" w:cs="신명조" w:eastAsia="신명조" w:hAnsi="Times New Roman"/>
                <w:b w:val="false"/>
                <w:bCs w:val="false"/>
                <w:strike w:val="false"/>
                <w:sz w:val="20"/>
                <w:szCs w:val="20"/>
              </w:rPr>
              <w:t xml:space="preserve">정치외교학</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73 (73–77)</w:t>
            </w:r>
          </w:p>
        </w:tc>
        <w:tc>
          <w:p>
            <w:r>
              <w:rPr>
                <w:rFonts w:ascii="Times New Roman" w:cs="신명조" w:eastAsia="신명조" w:hAnsi="Times New Roman"/>
                <w:b w:val="false"/>
                <w:bCs w:val="false"/>
                <w:strike w:val="false"/>
                <w:sz w:val="20"/>
                <w:szCs w:val="20"/>
              </w:rPr>
              <w:t xml:space="preserve">10 (7–10)</w:t>
            </w:r>
          </w:p>
        </w:tc>
        <w:tc>
          <w:p>
            <w:r>
              <w:rPr>
                <w:rFonts w:ascii="Times New Roman" w:cs="신명조" w:eastAsia="신명조" w:hAnsi="Times New Roman"/>
                <w:b w:val="false"/>
                <w:bCs w:val="false"/>
                <w:strike w:val="false"/>
                <w:sz w:val="20"/>
                <w:szCs w:val="20"/>
              </w:rPr>
              <w:t xml:space="preserve">17 (17–20)</w:t>
            </w:r>
          </w:p>
        </w:tc>
        <w:tc>
          <w:p>
            <w:r>
              <w:rPr>
                <w:rFonts w:ascii="Times New Roman" w:cs="신명조" w:eastAsia="신명조" w:hAnsi="Times New Roman"/>
                <w:b w:val="false"/>
                <w:bCs w:val="false"/>
                <w:strike w:val="false"/>
                <w:sz w:val="20"/>
                <w:szCs w:val="20"/>
              </w:rPr>
              <w:t xml:space="preserve">0 (0–0)</w:t>
            </w:r>
          </w:p>
        </w:tc>
      </w:tr>
      <w:tr>
        <w:tc>
          <w:p>
            <w:r>
              <w:rPr>
                <w:rFonts w:ascii="Times New Roman" w:cs="신명조" w:eastAsia="신명조" w:hAnsi="Times New Roman"/>
                <w:b w:val="false"/>
                <w:bCs w:val="false"/>
                <w:strike w:val="false"/>
                <w:sz w:val="20"/>
                <w:szCs w:val="20"/>
              </w:rPr>
              <w:t xml:space="preserve">지역학</w:t>
            </w:r>
          </w:p>
        </w:tc>
        <w:tc>
          <w:p>
            <w:r>
              <w:rPr>
                <w:rFonts w:ascii="Times New Roman" w:cs="신명조" w:eastAsia="신명조" w:hAnsi="Times New Roman"/>
                <w:b w:val="false"/>
                <w:bCs w:val="false"/>
                <w:strike w:val="false"/>
                <w:sz w:val="20"/>
                <w:szCs w:val="20"/>
              </w:rPr>
              <w:t xml:space="preserve">27</w:t>
            </w:r>
          </w:p>
        </w:tc>
        <w:tc>
          <w:p>
            <w:r>
              <w:rPr>
                <w:rFonts w:ascii="Times New Roman" w:cs="신명조" w:eastAsia="신명조" w:hAnsi="Times New Roman"/>
                <w:b w:val="false"/>
                <w:bCs w:val="false"/>
                <w:strike w:val="false"/>
                <w:sz w:val="20"/>
                <w:szCs w:val="20"/>
              </w:rPr>
              <w:t xml:space="preserve">74 (67–78)</w:t>
            </w:r>
          </w:p>
        </w:tc>
        <w:tc>
          <w:p>
            <w:r>
              <w:rPr>
                <w:rFonts w:ascii="Times New Roman" w:cs="신명조" w:eastAsia="신명조" w:hAnsi="Times New Roman"/>
                <w:b w:val="false"/>
                <w:bCs w:val="false"/>
                <w:strike w:val="false"/>
                <w:sz w:val="20"/>
                <w:szCs w:val="20"/>
              </w:rPr>
              <w:t xml:space="preserve">15 (11–15)</w:t>
            </w:r>
          </w:p>
        </w:tc>
        <w:tc>
          <w:p>
            <w:r>
              <w:rPr>
                <w:rFonts w:ascii="Times New Roman" w:cs="신명조" w:eastAsia="신명조" w:hAnsi="Times New Roman"/>
                <w:b w:val="false"/>
                <w:bCs w:val="false"/>
                <w:strike w:val="false"/>
                <w:sz w:val="20"/>
                <w:szCs w:val="20"/>
              </w:rPr>
              <w:t xml:space="preserve">11 (7–11)</w:t>
            </w:r>
          </w:p>
        </w:tc>
        <w:tc>
          <w:p>
            <w:r>
              <w:rPr>
                <w:rFonts w:ascii="Times New Roman" w:cs="신명조" w:eastAsia="신명조" w:hAnsi="Times New Roman"/>
                <w:b w:val="false"/>
                <w:bCs w:val="false"/>
                <w:strike w:val="false"/>
                <w:sz w:val="20"/>
                <w:szCs w:val="20"/>
              </w:rPr>
              <w:t xml:space="preserve">0 (0–11)</w:t>
            </w:r>
          </w:p>
        </w:tc>
      </w:tr>
      <w:tr>
        <w:tc>
          <w:p>
            <w:r>
              <w:rPr>
                <w:rFonts w:ascii="Times New Roman" w:cs="신명조" w:eastAsia="신명조" w:hAnsi="Times New Roman"/>
                <w:b w:val="false"/>
                <w:bCs w:val="false"/>
                <w:strike w:val="false"/>
                <w:sz w:val="20"/>
                <w:szCs w:val="20"/>
              </w:rPr>
              <w:t xml:space="preserve">법학</w:t>
            </w:r>
          </w:p>
        </w:tc>
        <w:tc>
          <w:p>
            <w:r>
              <w:rPr>
                <w:rFonts w:ascii="Times New Roman" w:cs="신명조" w:eastAsia="신명조" w:hAnsi="Times New Roman"/>
                <w:b w:val="false"/>
                <w:bCs w:val="false"/>
                <w:strike w:val="false"/>
                <w:sz w:val="20"/>
                <w:szCs w:val="20"/>
              </w:rPr>
              <w:t xml:space="preserve">24</w:t>
            </w:r>
          </w:p>
        </w:tc>
        <w:tc>
          <w:p>
            <w:r>
              <w:rPr>
                <w:rFonts w:ascii="Times New Roman" w:cs="신명조" w:eastAsia="신명조" w:hAnsi="Times New Roman"/>
                <w:b w:val="false"/>
                <w:bCs w:val="false"/>
                <w:strike w:val="false"/>
                <w:sz w:val="20"/>
                <w:szCs w:val="20"/>
              </w:rPr>
              <w:t xml:space="preserve">29 (29–33)</w:t>
            </w:r>
          </w:p>
        </w:tc>
        <w:tc>
          <w:p>
            <w:r>
              <w:rPr>
                <w:rFonts w:ascii="Times New Roman" w:cs="신명조" w:eastAsia="신명조" w:hAnsi="Times New Roman"/>
                <w:b w:val="false"/>
                <w:bCs w:val="false"/>
                <w:strike w:val="false"/>
                <w:sz w:val="20"/>
                <w:szCs w:val="20"/>
              </w:rPr>
              <w:t xml:space="preserve">46 (33–62)</w:t>
            </w:r>
          </w:p>
        </w:tc>
        <w:tc>
          <w:p>
            <w:r>
              <w:rPr>
                <w:rFonts w:ascii="Times New Roman" w:cs="신명조" w:eastAsia="신명조" w:hAnsi="Times New Roman"/>
                <w:b w:val="false"/>
                <w:bCs w:val="false"/>
                <w:strike w:val="false"/>
                <w:sz w:val="20"/>
                <w:szCs w:val="20"/>
              </w:rPr>
              <w:t xml:space="preserve">17 (0–29)</w:t>
            </w:r>
          </w:p>
        </w:tc>
        <w:tc>
          <w:p>
            <w:r>
              <w:rPr>
                <w:rFonts w:ascii="Times New Roman" w:cs="신명조" w:eastAsia="신명조" w:hAnsi="Times New Roman"/>
                <w:b w:val="false"/>
                <w:bCs w:val="false"/>
                <w:strike w:val="false"/>
                <w:sz w:val="20"/>
                <w:szCs w:val="20"/>
              </w:rPr>
              <w:t xml:space="preserve">4 (4–4)</w:t>
            </w:r>
          </w:p>
        </w:tc>
      </w:tr>
      <w:tr>
        <w:tc>
          <w:p>
            <w:r>
              <w:rPr>
                <w:rFonts w:ascii="Times New Roman" w:cs="신명조" w:eastAsia="신명조" w:hAnsi="Times New Roman"/>
                <w:b w:val="false"/>
                <w:bCs w:val="false"/>
                <w:strike w:val="false"/>
                <w:sz w:val="20"/>
                <w:szCs w:val="20"/>
              </w:rPr>
              <w:t xml:space="preserve">경영학</w:t>
            </w:r>
          </w:p>
        </w:tc>
        <w:tc>
          <w:p>
            <w:r>
              <w:rPr>
                <w:rFonts w:ascii="Times New Roman" w:cs="신명조" w:eastAsia="신명조" w:hAnsi="Times New Roman"/>
                <w:b w:val="false"/>
                <w:bCs w:val="false"/>
                <w:strike w:val="false"/>
                <w:sz w:val="20"/>
                <w:szCs w:val="20"/>
              </w:rPr>
              <w:t xml:space="preserve">15</w:t>
            </w:r>
          </w:p>
        </w:tc>
        <w:tc>
          <w:p>
            <w:r>
              <w:rPr>
                <w:rFonts w:ascii="Times New Roman" w:cs="신명조" w:eastAsia="신명조" w:hAnsi="Times New Roman"/>
                <w:b w:val="false"/>
                <w:bCs w:val="false"/>
                <w:strike w:val="false"/>
                <w:sz w:val="20"/>
                <w:szCs w:val="20"/>
              </w:rPr>
              <w:t xml:space="preserve">27 (27–47)</w:t>
            </w:r>
          </w:p>
        </w:tc>
        <w:tc>
          <w:p>
            <w:r>
              <w:rPr>
                <w:rFonts w:ascii="Times New Roman" w:cs="신명조" w:eastAsia="신명조" w:hAnsi="Times New Roman"/>
                <w:b w:val="false"/>
                <w:bCs w:val="false"/>
                <w:strike w:val="false"/>
                <w:sz w:val="20"/>
                <w:szCs w:val="20"/>
              </w:rPr>
              <w:t xml:space="preserve">27 (20–27)</w:t>
            </w:r>
          </w:p>
        </w:tc>
        <w:tc>
          <w:p>
            <w:r>
              <w:rPr>
                <w:rFonts w:ascii="Times New Roman" w:cs="신명조" w:eastAsia="신명조" w:hAnsi="Times New Roman"/>
                <w:b w:val="false"/>
                <w:bCs w:val="false"/>
                <w:strike w:val="false"/>
                <w:sz w:val="20"/>
                <w:szCs w:val="20"/>
              </w:rPr>
              <w:t xml:space="preserve">13 (0–13)</w:t>
            </w:r>
          </w:p>
        </w:tc>
        <w:tc>
          <w:p>
            <w:r>
              <w:rPr>
                <w:rFonts w:ascii="Times New Roman" w:cs="신명조" w:eastAsia="신명조" w:hAnsi="Times New Roman"/>
                <w:b w:val="false"/>
                <w:bCs w:val="false"/>
                <w:strike w:val="false"/>
                <w:sz w:val="20"/>
                <w:szCs w:val="20"/>
              </w:rPr>
              <w:t xml:space="preserve">33 (27–47)</w:t>
            </w:r>
          </w:p>
        </w:tc>
      </w:tr>
      <w:tr>
        <w:tc>
          <w:p>
            <w:r>
              <w:rPr>
                <w:rFonts w:ascii="Times New Roman" w:cs="신명조" w:eastAsia="신명조" w:hAnsi="Times New Roman"/>
                <w:b w:val="false"/>
                <w:bCs w:val="false"/>
                <w:strike w:val="false"/>
                <w:sz w:val="20"/>
                <w:szCs w:val="20"/>
              </w:rPr>
              <w:t xml:space="preserve">군사학</w:t>
            </w:r>
          </w:p>
        </w:tc>
        <w:tc>
          <w:p>
            <w:r>
              <w:rPr>
                <w:rFonts w:ascii="Times New Roman" w:cs="신명조" w:eastAsia="신명조" w:hAnsi="Times New Roman"/>
                <w:b w:val="false"/>
                <w:bCs w:val="false"/>
                <w:strike w:val="false"/>
                <w:sz w:val="20"/>
                <w:szCs w:val="20"/>
              </w:rPr>
              <w:t xml:space="preserve">14</w:t>
            </w:r>
          </w:p>
        </w:tc>
        <w:tc>
          <w:p>
            <w:r>
              <w:rPr>
                <w:rFonts w:ascii="Times New Roman" w:cs="신명조" w:eastAsia="신명조" w:hAnsi="Times New Roman"/>
                <w:b w:val="false"/>
                <w:bCs w:val="false"/>
                <w:strike w:val="false"/>
                <w:sz w:val="20"/>
                <w:szCs w:val="20"/>
              </w:rPr>
              <w:t xml:space="preserve">86 (57–86)</w:t>
            </w:r>
          </w:p>
        </w:tc>
        <w:tc>
          <w:p>
            <w:r>
              <w:rPr>
                <w:rFonts w:ascii="Times New Roman" w:cs="신명조" w:eastAsia="신명조" w:hAnsi="Times New Roman"/>
                <w:b w:val="false"/>
                <w:bCs w:val="false"/>
                <w:strike w:val="false"/>
                <w:sz w:val="20"/>
                <w:szCs w:val="20"/>
              </w:rPr>
              <w:t xml:space="preserve">0 (0–7)</w:t>
            </w:r>
          </w:p>
        </w:tc>
        <w:tc>
          <w:p>
            <w:r>
              <w:rPr>
                <w:rFonts w:ascii="Times New Roman" w:cs="신명조" w:eastAsia="신명조" w:hAnsi="Times New Roman"/>
                <w:b w:val="false"/>
                <w:bCs w:val="false"/>
                <w:strike w:val="false"/>
                <w:sz w:val="20"/>
                <w:szCs w:val="20"/>
              </w:rPr>
              <w:t xml:space="preserve">14 (7–21)</w:t>
            </w:r>
          </w:p>
        </w:tc>
        <w:tc>
          <w:p>
            <w:r>
              <w:rPr>
                <w:rFonts w:ascii="Times New Roman" w:cs="신명조" w:eastAsia="신명조" w:hAnsi="Times New Roman"/>
                <w:b w:val="false"/>
                <w:bCs w:val="false"/>
                <w:strike w:val="false"/>
                <w:sz w:val="20"/>
                <w:szCs w:val="20"/>
              </w:rPr>
              <w:t xml:space="preserve">0 (0–29)</w:t>
            </w:r>
          </w:p>
        </w:tc>
      </w:tr>
      <w:tr>
        <w:tc>
          <w:p>
            <w:r>
              <w:rPr>
                <w:rFonts w:ascii="Times New Roman" w:cs="신명조" w:eastAsia="신명조" w:hAnsi="Times New Roman"/>
                <w:b w:val="false"/>
                <w:bCs w:val="false"/>
                <w:strike w:val="false"/>
                <w:sz w:val="20"/>
                <w:szCs w:val="20"/>
              </w:rPr>
              <w:t xml:space="preserve">학제간연구</w:t>
            </w:r>
          </w:p>
        </w:tc>
        <w:tc>
          <w:p>
            <w:r>
              <w:rPr>
                <w:rFonts w:ascii="Times New Roman" w:cs="신명조" w:eastAsia="신명조" w:hAnsi="Times New Roman"/>
                <w:b w:val="false"/>
                <w:bCs w:val="false"/>
                <w:strike w:val="false"/>
                <w:sz w:val="20"/>
                <w:szCs w:val="20"/>
              </w:rPr>
              <w:t xml:space="preserve">13</w:t>
            </w:r>
          </w:p>
        </w:tc>
        <w:tc>
          <w:p>
            <w:r>
              <w:rPr>
                <w:rFonts w:ascii="Times New Roman" w:cs="신명조" w:eastAsia="신명조" w:hAnsi="Times New Roman"/>
                <w:b w:val="false"/>
                <w:bCs w:val="false"/>
                <w:strike w:val="false"/>
                <w:sz w:val="20"/>
                <w:szCs w:val="20"/>
              </w:rPr>
              <w:t xml:space="preserve">54 (54–62)</w:t>
            </w:r>
          </w:p>
        </w:tc>
        <w:tc>
          <w:p>
            <w:r>
              <w:rPr>
                <w:rFonts w:ascii="Times New Roman" w:cs="신명조" w:eastAsia="신명조" w:hAnsi="Times New Roman"/>
                <w:b w:val="false"/>
                <w:bCs w:val="false"/>
                <w:strike w:val="false"/>
                <w:sz w:val="20"/>
                <w:szCs w:val="20"/>
              </w:rPr>
              <w:t xml:space="preserve">8 (8–8)</w:t>
            </w:r>
          </w:p>
        </w:tc>
        <w:tc>
          <w:p>
            <w:r>
              <w:rPr>
                <w:rFonts w:ascii="Times New Roman" w:cs="신명조" w:eastAsia="신명조" w:hAnsi="Times New Roman"/>
                <w:b w:val="false"/>
                <w:bCs w:val="false"/>
                <w:strike w:val="false"/>
                <w:sz w:val="20"/>
                <w:szCs w:val="20"/>
              </w:rPr>
              <w:t xml:space="preserve">31 (15–31)</w:t>
            </w:r>
          </w:p>
        </w:tc>
        <w:tc>
          <w:p>
            <w:r>
              <w:rPr>
                <w:rFonts w:ascii="Times New Roman" w:cs="신명조" w:eastAsia="신명조" w:hAnsi="Times New Roman"/>
                <w:b w:val="false"/>
                <w:bCs w:val="false"/>
                <w:strike w:val="false"/>
                <w:sz w:val="20"/>
                <w:szCs w:val="20"/>
              </w:rPr>
              <w:t xml:space="preserve">8 (8–23)</w:t>
            </w:r>
          </w:p>
        </w:tc>
      </w:tr>
      <w:tr>
        <w:tc>
          <w:p>
            <w:r>
              <w:rPr>
                <w:rFonts w:ascii="Times New Roman" w:cs="신명조" w:eastAsia="신명조" w:hAnsi="Times New Roman"/>
                <w:b w:val="false"/>
                <w:bCs w:val="false"/>
                <w:strike w:val="false"/>
                <w:sz w:val="20"/>
                <w:szCs w:val="20"/>
              </w:rPr>
              <w:t xml:space="preserve">정책학</w:t>
            </w:r>
          </w:p>
        </w:tc>
        <w:tc>
          <w:p>
            <w:r>
              <w:rPr>
                <w:rFonts w:ascii="Times New Roman" w:cs="신명조" w:eastAsia="신명조" w:hAnsi="Times New Roman"/>
                <w:b w:val="false"/>
                <w:bCs w:val="false"/>
                <w:strike w:val="false"/>
                <w:sz w:val="20"/>
                <w:szCs w:val="20"/>
              </w:rPr>
              <w:t xml:space="preserve">12</w:t>
            </w:r>
          </w:p>
        </w:tc>
        <w:tc>
          <w:p>
            <w:r>
              <w:rPr>
                <w:rFonts w:ascii="Times New Roman" w:cs="신명조" w:eastAsia="신명조" w:hAnsi="Times New Roman"/>
                <w:b w:val="false"/>
                <w:bCs w:val="false"/>
                <w:strike w:val="false"/>
                <w:sz w:val="20"/>
                <w:szCs w:val="20"/>
              </w:rPr>
              <w:t xml:space="preserve">92 (67–92)</w:t>
            </w:r>
          </w:p>
        </w:tc>
        <w:tc>
          <w:p>
            <w:r>
              <w:rPr>
                <w:rFonts w:ascii="Times New Roman" w:cs="신명조" w:eastAsia="신명조" w:hAnsi="Times New Roman"/>
                <w:b w:val="false"/>
                <w:bCs w:val="false"/>
                <w:strike w:val="false"/>
                <w:sz w:val="20"/>
                <w:szCs w:val="20"/>
              </w:rPr>
              <w:t xml:space="preserve">0 (0–0)</w:t>
            </w:r>
          </w:p>
        </w:tc>
        <w:tc>
          <w:p>
            <w:r>
              <w:rPr>
                <w:rFonts w:ascii="Times New Roman" w:cs="신명조" w:eastAsia="신명조" w:hAnsi="Times New Roman"/>
                <w:b w:val="false"/>
                <w:bCs w:val="false"/>
                <w:strike w:val="false"/>
                <w:sz w:val="20"/>
                <w:szCs w:val="20"/>
              </w:rPr>
              <w:t xml:space="preserve">8 (0–8)</w:t>
            </w:r>
          </w:p>
        </w:tc>
        <w:tc>
          <w:p>
            <w:r>
              <w:rPr>
                <w:rFonts w:ascii="Times New Roman" w:cs="신명조" w:eastAsia="신명조" w:hAnsi="Times New Roman"/>
                <w:b w:val="false"/>
                <w:bCs w:val="false"/>
                <w:strike w:val="false"/>
                <w:sz w:val="20"/>
                <w:szCs w:val="20"/>
              </w:rPr>
              <w:t xml:space="preserve">0 (0–25)</w:t>
            </w:r>
          </w:p>
        </w:tc>
      </w:tr>
      <w:tr>
        <w:tc>
          <w:p>
            <w:r>
              <w:rPr>
                <w:rFonts w:ascii="Times New Roman" w:cs="신명조" w:eastAsia="신명조" w:hAnsi="Times New Roman"/>
                <w:b w:val="false"/>
                <w:bCs w:val="false"/>
                <w:strike w:val="false"/>
                <w:sz w:val="20"/>
                <w:szCs w:val="20"/>
              </w:rPr>
              <w:t xml:space="preserve">사회과학일반</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60 (40–60)</w:t>
            </w:r>
          </w:p>
        </w:tc>
        <w:tc>
          <w:p>
            <w:r>
              <w:rPr>
                <w:rFonts w:ascii="Times New Roman" w:cs="신명조" w:eastAsia="신명조" w:hAnsi="Times New Roman"/>
                <w:b w:val="false"/>
                <w:bCs w:val="false"/>
                <w:strike w:val="false"/>
                <w:sz w:val="20"/>
                <w:szCs w:val="20"/>
              </w:rPr>
              <w:t xml:space="preserve">0 (0–10)</w:t>
            </w:r>
          </w:p>
        </w:tc>
        <w:tc>
          <w:p>
            <w:r>
              <w:rPr>
                <w:rFonts w:ascii="Times New Roman" w:cs="신명조" w:eastAsia="신명조" w:hAnsi="Times New Roman"/>
                <w:b w:val="false"/>
                <w:bCs w:val="false"/>
                <w:strike w:val="false"/>
                <w:sz w:val="20"/>
                <w:szCs w:val="20"/>
              </w:rPr>
              <w:t xml:space="preserve">10 (0–20)</w:t>
            </w:r>
          </w:p>
        </w:tc>
        <w:tc>
          <w:p>
            <w:r>
              <w:rPr>
                <w:rFonts w:ascii="Times New Roman" w:cs="신명조" w:eastAsia="신명조" w:hAnsi="Times New Roman"/>
                <w:b w:val="false"/>
                <w:bCs w:val="false"/>
                <w:strike w:val="false"/>
                <w:sz w:val="20"/>
                <w:szCs w:val="20"/>
              </w:rPr>
              <w:t xml:space="preserve">30 (30–50)</w:t>
            </w:r>
          </w:p>
        </w:tc>
      </w:tr>
      <w:tr>
        <w:tc>
          <w:p>
            <w:r>
              <w:rPr>
                <w:rFonts w:ascii="Times New Roman" w:cs="신명조" w:eastAsia="신명조" w:hAnsi="Times New Roman"/>
                <w:b w:val="false"/>
                <w:bCs w:val="false"/>
                <w:strike w:val="false"/>
                <w:sz w:val="20"/>
                <w:szCs w:val="20"/>
              </w:rPr>
              <w:t xml:space="preserve">교육학</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0 (0–0)</w:t>
            </w:r>
          </w:p>
        </w:tc>
        <w:tc>
          <w:p>
            <w:r>
              <w:rPr>
                <w:rFonts w:ascii="Times New Roman" w:cs="신명조" w:eastAsia="신명조" w:hAnsi="Times New Roman"/>
                <w:b w:val="false"/>
                <w:bCs w:val="false"/>
                <w:strike w:val="false"/>
                <w:sz w:val="20"/>
                <w:szCs w:val="20"/>
              </w:rPr>
              <w:t xml:space="preserve">0 (0–0)</w:t>
            </w:r>
          </w:p>
        </w:tc>
        <w:tc>
          <w:p>
            <w:r>
              <w:rPr>
                <w:rFonts w:ascii="Times New Roman" w:cs="신명조" w:eastAsia="신명조" w:hAnsi="Times New Roman"/>
                <w:b w:val="false"/>
                <w:bCs w:val="false"/>
                <w:strike w:val="false"/>
                <w:sz w:val="20"/>
                <w:szCs w:val="20"/>
              </w:rPr>
              <w:t xml:space="preserve">10 (10–30)</w:t>
            </w:r>
          </w:p>
        </w:tc>
        <w:tc>
          <w:p>
            <w:r>
              <w:rPr>
                <w:rFonts w:ascii="Times New Roman" w:cs="신명조" w:eastAsia="신명조" w:hAnsi="Times New Roman"/>
                <w:b w:val="false"/>
                <w:bCs w:val="false"/>
                <w:strike w:val="false"/>
                <w:sz w:val="20"/>
                <w:szCs w:val="20"/>
              </w:rPr>
              <w:t xml:space="preserve">90 (70–90)</w:t>
            </w:r>
          </w:p>
        </w:tc>
      </w:tr>
      <w:tr>
        <w:tc>
          <w:p>
            <w:r>
              <w:rPr>
                <w:rFonts w:ascii="Times New Roman" w:cs="신명조" w:eastAsia="신명조" w:hAnsi="Times New Roman"/>
                <w:b w:val="false"/>
                <w:bCs w:val="false"/>
                <w:strike w:val="false"/>
                <w:sz w:val="20"/>
                <w:szCs w:val="20"/>
              </w:rPr>
              <w:t xml:space="preserve">기타</w:t>
            </w:r>
          </w:p>
        </w:tc>
        <w:tc>
          <w:p>
            <w:r>
              <w:rPr>
                <w:rFonts w:ascii="Times New Roman" w:cs="신명조" w:eastAsia="신명조" w:hAnsi="Times New Roman"/>
                <w:b w:val="false"/>
                <w:bCs w:val="false"/>
                <w:strike w:val="false"/>
                <w:sz w:val="20"/>
                <w:szCs w:val="20"/>
              </w:rPr>
              <w:t xml:space="preserve">31</w:t>
            </w:r>
          </w:p>
        </w:tc>
        <w:tc>
          <w:p>
            <w:r>
              <w:rPr>
                <w:rFonts w:ascii="Times New Roman" w:cs="신명조" w:eastAsia="신명조" w:hAnsi="Times New Roman"/>
                <w:b w:val="false"/>
                <w:bCs w:val="false"/>
                <w:strike w:val="false"/>
                <w:sz w:val="20"/>
                <w:szCs w:val="20"/>
              </w:rPr>
              <w:t xml:space="preserve">42 (42–55)</w:t>
            </w:r>
          </w:p>
        </w:tc>
        <w:tc>
          <w:p>
            <w:r>
              <w:rPr>
                <w:rFonts w:ascii="Times New Roman" w:cs="신명조" w:eastAsia="신명조" w:hAnsi="Times New Roman"/>
                <w:b w:val="false"/>
                <w:bCs w:val="false"/>
                <w:strike w:val="false"/>
                <w:sz w:val="20"/>
                <w:szCs w:val="20"/>
              </w:rPr>
              <w:t xml:space="preserve">19 (19–19)</w:t>
            </w:r>
          </w:p>
        </w:tc>
        <w:tc>
          <w:p>
            <w:r>
              <w:rPr>
                <w:rFonts w:ascii="Times New Roman" w:cs="신명조" w:eastAsia="신명조" w:hAnsi="Times New Roman"/>
                <w:b w:val="false"/>
                <w:bCs w:val="false"/>
                <w:strike w:val="false"/>
                <w:sz w:val="20"/>
                <w:szCs w:val="20"/>
              </w:rPr>
              <w:t xml:space="preserve">16 (13–16)</w:t>
            </w:r>
          </w:p>
        </w:tc>
        <w:tc>
          <w:p>
            <w:r>
              <w:rPr>
                <w:rFonts w:ascii="Times New Roman" w:cs="신명조" w:eastAsia="신명조" w:hAnsi="Times New Roman"/>
                <w:b w:val="false"/>
                <w:bCs w:val="false"/>
                <w:strike w:val="false"/>
                <w:sz w:val="20"/>
                <w:szCs w:val="20"/>
              </w:rPr>
              <w:t xml:space="preserve">23 (13–26)</w:t>
            </w:r>
          </w:p>
        </w:tc>
      </w:tr>
    </w:tbl>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분야와 프레임의 연관 강도는 Cramér’s V = 0.40(네 설정에서 0.38–0.40)로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주요 발견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(1) 안보·국제정치 계열은 현실 프레임이 지배적이다.</w:t>
      </w:r>
      <w:r>
        <w:rPr>
          <w:rFonts w:ascii="Times New Roman" w:cs="신명조" w:eastAsia="신명조" w:hAnsi="Times New Roman"/>
          <w:b w:val="false"/>
          <w:bCs w:val="false"/>
          <w:strike w:val="false"/>
          <w:sz w:val="22"/>
          <w:szCs w:val="22"/>
        </w:rPr>
        <w:t xml:space="preserve"> 정치외교학(73%), 지역학(74%), 군사학(86%), 정책학(92%)에서 현실 프레임이 70% 안팎 이상이다. 이 가운데 정치외교·군사·지역 세 분야를 합친 계열(n=71)에서는 현실 76%(68–79), 자유 10%(7–10), 구성 14%(13–15)이다.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(2) 법학은 같은 토픽을 자유(제도·규범) 프레임으로 다룬다.</w:t>
      </w:r>
      <w:r>
        <w:rPr>
          <w:rFonts w:ascii="Times New Roman" w:cs="신명조" w:eastAsia="신명조" w:hAnsi="Times New Roman"/>
          <w:b w:val="false"/>
          <w:bCs w:val="false"/>
          <w:strike w:val="false"/>
          <w:sz w:val="22"/>
          <w:szCs w:val="22"/>
        </w:rPr>
        <w:t xml:space="preserve"> 법학 24편 중 자유가 46%(33–62)로 가장 많고 현실은 29%(29–33)에 그친다. 같은 ‘국가 전략·미중 경쟁’ 토픽이라도 법학은 경쟁 자체보다 규제·제도 설계를 논거의 중심에 둔다</w:t>
      </w:r>
      <w:r>
        <w:rPr>
          <w:rFonts w:ascii="Times New Roman" w:cs="신명조" w:eastAsia="신명조" w:hAnsi="Times New Roman"/>
          <w:b w:val="false"/>
          <w:bCs w:val="false"/>
          <w:strike w:val="false"/>
          <w:color w:val="C00000"/>
          <w:sz w:val="22"/>
          <w:szCs w:val="22"/>
        </w:rPr>
        <w:t xml:space="preserve">(윤혜선, 2024; 안준철, 2024)</w:t>
      </w:r>
      <w:r>
        <w:rPr>
          <w:rFonts w:ascii="Times New Roman" w:cs="신명조" w:eastAsia="신명조" w:hAnsi="Times New Roman"/>
          <w:b w:val="false"/>
          <w:bCs w:val="false"/>
          <w:strike w:val="false"/>
          <w:sz w:val="22"/>
          <w:szCs w:val="22"/>
        </w:rPr>
        <w:t xml:space="preserve">. 이 분야 차이의 방향(법학의 현실 비중이 정치외교·지역의 절반 이하)은 네 설정 모두에서 유지되었다.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(3) 경영학과 교육학은 프레임 바깥의 접근이 많다.</w:t>
      </w:r>
      <w:r>
        <w:rPr>
          <w:rFonts w:ascii="Times New Roman" w:cs="신명조" w:eastAsia="신명조" w:hAnsi="Times New Roman"/>
          <w:b w:val="false"/>
          <w:bCs w:val="false"/>
          <w:strike w:val="false"/>
          <w:sz w:val="22"/>
          <w:szCs w:val="22"/>
        </w:rPr>
        <w:t xml:space="preserve"> 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r>
        <w:rPr>
          <w:rFonts w:ascii="Times New Roman" w:cs="신명조" w:eastAsia="신명조" w:hAnsi="Times New Roman"/>
          <w:b w:val="false"/>
          <w:bCs w:val="false"/>
          <w:strike w:val="false"/>
          <w:color w:val="C00000"/>
          <w:sz w:val="22"/>
          <w:szCs w:val="22"/>
        </w:rPr>
        <w:t xml:space="preserve">(김성준, 이중학, 2026; 이호찬, 이상윤, 2025)</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(4) 구성주의 프레임은 학제간 연구에서 상대적으로 높다.</w:t>
      </w:r>
      <w:r>
        <w:rPr>
          <w:rFonts w:ascii="Times New Roman" w:cs="신명조" w:eastAsia="신명조" w:hAnsi="Times New Roman"/>
          <w:b w:val="false"/>
          <w:bCs w:val="false"/>
          <w:strike w:val="false"/>
          <w:sz w:val="22"/>
          <w:szCs w:val="22"/>
        </w:rPr>
        <w:t xml:space="preserve"> 학제간연구의 구성 비중은 31%(15–31)로 전체 평균(15%)의 두 배이나, n=13이고 정의문 변경 시 절반으로 줄어들므로 잠정적 관찰에 그친다.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분류 설정에 대한 강건성(요약)</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분야 간 차이의 큰 방향(정치외교·지역·군사·정책은 현실, 법학은 자유 비중이 가장 큼, 교육학은 해당없음)은 네 가지 분류 설정에서 모두 유지되었다.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반면 군사학(현실 86→57), 정책학(92→67), 경영학(현실 27→47), 법학의 자유(33–62), 구성 비율 전반은 설정에 따라 크게 움직인다. 이들의 절대 수치는 점추정이 아니라 범위로 해석해야 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분야별 반복 분류 일치율은 정치외교 0.93, 군사 0.93, 지역 0.89, 법학 0.83, 경영 0.67로, 일치율이 낮은 분야일수록 위 범위가 넓다.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분류의 안정성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표 2는 1차 분류와 세 가지 재분류(독립 반복, 초록 전체 제공, 정의문 변경)의 일치도이다. 재분류는 모두 이전 라벨을 보지 않은 독립 인스턴스가 수행하였다.</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tblGrid>
      <w:tr>
        <w:tc>
          <w:p>
            <w:r>
              <w:rPr>
                <w:rFonts w:ascii="Times New Roman" w:cs="신명조" w:eastAsia="신명조" w:hAnsi="Times New Roman"/>
                <w:b/>
                <w:bCs/>
                <w:strike w:val="false"/>
                <w:sz w:val="20"/>
                <w:szCs w:val="20"/>
              </w:rPr>
              <w:t xml:space="preserve">비교</w:t>
            </w:r>
          </w:p>
        </w:tc>
        <w:tc>
          <w:p>
            <w:r>
              <w:rPr>
                <w:rFonts w:ascii="Times New Roman" w:cs="신명조" w:eastAsia="신명조" w:hAnsi="Times New Roman"/>
                <w:b/>
                <w:bCs/>
                <w:strike w:val="false"/>
                <w:sz w:val="20"/>
                <w:szCs w:val="20"/>
              </w:rPr>
              <w:t xml:space="preserve">일치율</w:t>
            </w:r>
          </w:p>
        </w:tc>
        <w:tc>
          <w:p>
            <w:r>
              <w:rPr>
                <w:rFonts w:ascii="Times New Roman" w:cs="신명조" w:eastAsia="신명조" w:hAnsi="Times New Roman"/>
                <w:b/>
                <w:bCs/>
                <w:strike w:val="false"/>
                <w:sz w:val="20"/>
                <w:szCs w:val="20"/>
              </w:rPr>
              <w:t xml:space="preserve">κ</w:t>
            </w:r>
          </w:p>
        </w:tc>
      </w:tr>
      <w:tr>
        <w:tc>
          <w:p>
            <w:r>
              <w:rPr>
                <w:rFonts w:ascii="Times New Roman" w:cs="신명조" w:eastAsia="신명조" w:hAnsi="Times New Roman"/>
                <w:b w:val="false"/>
                <w:bCs w:val="false"/>
                <w:strike w:val="false"/>
                <w:sz w:val="20"/>
                <w:szCs w:val="20"/>
              </w:rPr>
              <w:t xml:space="preserve">1차 분류 vs 독립 반복</w:t>
            </w:r>
          </w:p>
        </w:tc>
        <w:tc>
          <w:p>
            <w:r>
              <w:rPr>
                <w:rFonts w:ascii="Times New Roman" w:cs="신명조" w:eastAsia="신명조" w:hAnsi="Times New Roman"/>
                <w:b w:val="false"/>
                <w:bCs w:val="false"/>
                <w:strike w:val="false"/>
                <w:sz w:val="20"/>
                <w:szCs w:val="20"/>
              </w:rPr>
              <w:t xml:space="preserve">0.882</w:t>
            </w:r>
          </w:p>
        </w:tc>
        <w:tc>
          <w:p>
            <w:r>
              <w:rPr>
                <w:rFonts w:ascii="Times New Roman" w:cs="신명조" w:eastAsia="신명조" w:hAnsi="Times New Roman"/>
                <w:b w:val="false"/>
                <w:bCs w:val="false"/>
                <w:strike w:val="false"/>
                <w:sz w:val="20"/>
                <w:szCs w:val="20"/>
              </w:rPr>
              <w:t xml:space="preserve">0.811</w:t>
            </w:r>
          </w:p>
        </w:tc>
      </w:tr>
      <w:tr>
        <w:tc>
          <w:p>
            <w:r>
              <w:rPr>
                <w:rFonts w:ascii="Times New Roman" w:cs="신명조" w:eastAsia="신명조" w:hAnsi="Times New Roman"/>
                <w:b w:val="false"/>
                <w:bCs w:val="false"/>
                <w:strike w:val="false"/>
                <w:sz w:val="20"/>
                <w:szCs w:val="20"/>
              </w:rPr>
              <w:t xml:space="preserve">1차 분류 vs 초록 전체 제공</w:t>
            </w:r>
          </w:p>
        </w:tc>
        <w:tc>
          <w:p>
            <w:r>
              <w:rPr>
                <w:rFonts w:ascii="Times New Roman" w:cs="신명조" w:eastAsia="신명조" w:hAnsi="Times New Roman"/>
                <w:b w:val="false"/>
                <w:bCs w:val="false"/>
                <w:strike w:val="false"/>
                <w:sz w:val="20"/>
                <w:szCs w:val="20"/>
              </w:rPr>
              <w:t xml:space="preserve">0.876</w:t>
            </w:r>
          </w:p>
        </w:tc>
        <w:tc>
          <w:p>
            <w:r>
              <w:rPr>
                <w:rFonts w:ascii="Times New Roman" w:cs="신명조" w:eastAsia="신명조" w:hAnsi="Times New Roman"/>
                <w:b w:val="false"/>
                <w:bCs w:val="false"/>
                <w:strike w:val="false"/>
                <w:sz w:val="20"/>
                <w:szCs w:val="20"/>
              </w:rPr>
              <w:t xml:space="preserve">0.799</w:t>
            </w:r>
          </w:p>
        </w:tc>
      </w:tr>
      <w:tr>
        <w:tc>
          <w:p>
            <w:r>
              <w:rPr>
                <w:rFonts w:ascii="Times New Roman" w:cs="신명조" w:eastAsia="신명조" w:hAnsi="Times New Roman"/>
                <w:b w:val="false"/>
                <w:bCs w:val="false"/>
                <w:strike w:val="false"/>
                <w:sz w:val="20"/>
                <w:szCs w:val="20"/>
              </w:rPr>
              <w:t xml:space="preserve">1차 분류 vs 정의문 변경</w:t>
            </w:r>
          </w:p>
        </w:tc>
        <w:tc>
          <w:p>
            <w:r>
              <w:rPr>
                <w:rFonts w:ascii="Times New Roman" w:cs="신명조" w:eastAsia="신명조" w:hAnsi="Times New Roman"/>
                <w:b w:val="false"/>
                <w:bCs w:val="false"/>
                <w:strike w:val="false"/>
                <w:sz w:val="20"/>
                <w:szCs w:val="20"/>
              </w:rPr>
              <w:t xml:space="preserve">0.817</w:t>
            </w:r>
          </w:p>
        </w:tc>
        <w:tc>
          <w:p>
            <w:r>
              <w:rPr>
                <w:rFonts w:ascii="Times New Roman" w:cs="신명조" w:eastAsia="신명조" w:hAnsi="Times New Roman"/>
                <w:b w:val="false"/>
                <w:bCs w:val="false"/>
                <w:strike w:val="false"/>
                <w:sz w:val="20"/>
                <w:szCs w:val="20"/>
              </w:rPr>
              <w:t xml:space="preserve">0.719</w:t>
            </w:r>
          </w:p>
        </w:tc>
      </w:tr>
      <w:tr>
        <w:tc>
          <w:p>
            <w:r>
              <w:rPr>
                <w:rFonts w:ascii="Times New Roman" w:cs="신명조" w:eastAsia="신명조" w:hAnsi="Times New Roman"/>
                <w:b w:val="false"/>
                <w:bCs w:val="false"/>
                <w:strike w:val="false"/>
                <w:sz w:val="20"/>
                <w:szCs w:val="20"/>
              </w:rPr>
              <w:t xml:space="preserve">초록 전체 제공 vs 정의문 변경</w:t>
            </w:r>
          </w:p>
        </w:tc>
        <w:tc>
          <w:p>
            <w:r>
              <w:rPr>
                <w:rFonts w:ascii="Times New Roman" w:cs="신명조" w:eastAsia="신명조" w:hAnsi="Times New Roman"/>
                <w:b w:val="false"/>
                <w:bCs w:val="false"/>
                <w:strike w:val="false"/>
                <w:sz w:val="20"/>
                <w:szCs w:val="20"/>
              </w:rPr>
              <w:t xml:space="preserve">–</w:t>
            </w:r>
          </w:p>
        </w:tc>
        <w:tc>
          <w:p>
            <w:r>
              <w:rPr>
                <w:rFonts w:ascii="Times New Roman" w:cs="신명조" w:eastAsia="신명조" w:hAnsi="Times New Roman"/>
                <w:b w:val="false"/>
                <w:bCs w:val="false"/>
                <w:strike w:val="false"/>
                <w:sz w:val="20"/>
                <w:szCs w:val="20"/>
              </w:rPr>
              <w:t xml:space="preserve">0.696</w:t>
            </w:r>
          </w:p>
        </w:tc>
      </w:tr>
    </w:tbl>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코드북이 같으면 κ가 0.80 안팎으로 안정적이었으나, 정의문을 바꾸면 ‘구성’ 논문 10편이 ‘자유’로, ’현실’ 논문 11편이 ‘해당없음’으로 옮겨 가 구성 비중이 15%에서 9%로 줄었다. 확신도별 일치율은 ’상’ 97.6%, ‘중’ 88.7%, ‘하’ 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6. 이 결과가 말하지 못하는 것</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주 분석 입력(450자)보다 초록 전체를 줄 때 연구자와의 일치가 더 높았으므로(표본 50편), 초록 길이가 분류 품질에 영향을 줄 수 있다</w:t>
      </w:r>
      <w:r>
        <w:rPr>
          <w:rFonts w:ascii="Times New Roman" w:cs="신명조" w:eastAsia="신명조" w:hAnsi="Times New Roman"/>
          <w:b w:val="false"/>
          <w:bCs w:val="false"/>
          <w:strike w:val="false"/>
          <w:color w:val="C00000"/>
          <w:sz w:val="22"/>
          <w:szCs w:val="22"/>
        </w:rPr>
        <w:t xml:space="preserve">(Sulaiman et al</w:t>
      </w:r>
      <w:r>
        <w:rPr>
          <w:rFonts w:ascii="Times New Roman" w:cs="신명조" w:eastAsia="신명조" w:hAnsi="Times New Roman"/>
          <w:b w:val="false"/>
          <w:bCs w:val="false"/>
          <w:strike w:val="false"/>
          <w:color w:val="C00000"/>
          <w:sz w:val="22"/>
          <w:szCs w:val="22"/>
        </w:rPr>
        <w:t xml:space="preserve">.</w:t>
      </w:r>
      <w:r>
        <w:rPr>
          <w:rFonts w:ascii="Times New Roman" w:cs="신명조" w:eastAsia="신명조" w:hAnsi="Times New Roman"/>
          <w:b w:val="false"/>
          <w:bCs w:val="false"/>
          <w:strike w:val="false"/>
          <w:color w:val="C00000"/>
          <w:sz w:val="22"/>
          <w:szCs w:val="22"/>
        </w:rPr>
        <w:t xml:space="preserve">,</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2025). </w:t>
      </w:r>
      <w:r>
        <w:rPr>
          <w:rFonts w:ascii="Times New Roman" w:cs="신명조" w:eastAsia="신명조" w:hAnsi="Times New Roman"/>
          <w:b w:val="false"/>
          <w:bCs w:val="false"/>
          <w:strike w:val="false"/>
          <w:sz w:val="22"/>
          <w:szCs w:val="22"/>
        </w:rPr>
        <w:t xml:space="preserve">초록 전체 기준 분야별 비율은 표 1의 범위에 이미 포함되어 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사람 기준과의 타당도는 단일 코더 50편에서 κ=0.67(구간 0.50–0.82)로 확인되었으나 표본이 작고 구간 하한이 낮다.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제목·초록 기반 분류이므로 본문 논거와 다를 수 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분야 구분은 KCI가 학술지·논문에 부여한 중분류 기준이며, 논문의 실제 내용 분야와 다를 수 있다.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Ⅴ. 논의 및 결론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발견의 의미</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같은 ‘국가 전략·미중 경쟁’ 토픽 안에서도 학문분야가 논거의 중심을 다르게 설정한다는 점이 확인되었다. 안보·국제정치 계열은 AI를 국가 간 경쟁과 안보의 대상으로 다루는 현실주의 문제틀을 따르고</w:t>
      </w:r>
      <w:r>
        <w:rPr>
          <w:rFonts w:ascii="Times New Roman" w:cs="신명조" w:eastAsia="신명조" w:hAnsi="Times New Roman"/>
          <w:b w:val="false"/>
          <w:bCs w:val="false"/>
          <w:strike w:val="false"/>
          <w:color w:val="C00000"/>
          <w:sz w:val="22"/>
          <w:szCs w:val="22"/>
        </w:rPr>
        <w:t xml:space="preserve">(윤정현</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color w:val="C00000"/>
          <w:sz w:val="22"/>
          <w:szCs w:val="22"/>
        </w:rPr>
        <w:t xml:space="preserve">2026), </w:t>
      </w:r>
      <w:r>
        <w:rPr>
          <w:rFonts w:ascii="Times New Roman" w:cs="신명조" w:eastAsia="신명조" w:hAnsi="Times New Roman"/>
          <w:b w:val="false"/>
          <w:bCs w:val="false"/>
          <w:strike w:val="false"/>
          <w:sz w:val="22"/>
          <w:szCs w:val="22"/>
        </w:rPr>
        <w:t xml:space="preserve">법학은 같은 경쟁 상황을 규제와 제도 설계의 문제로 옮겨 다룬다</w:t>
      </w:r>
      <w:r>
        <w:rPr>
          <w:rFonts w:ascii="Times New Roman" w:cs="신명조" w:eastAsia="신명조" w:hAnsi="Times New Roman"/>
          <w:b w:val="false"/>
          <w:bCs w:val="false"/>
          <w:strike w:val="false"/>
          <w:color w:val="C00000"/>
          <w:sz w:val="22"/>
          <w:szCs w:val="22"/>
        </w:rPr>
        <w:t xml:space="preserve">(김태훈, 이성엽, 2025; 김유정, 2026)</w:t>
      </w:r>
      <w:r>
        <w:rPr>
          <w:rFonts w:ascii="Times New Roman" w:cs="신명조" w:eastAsia="신명조" w:hAnsi="Times New Roman"/>
          <w:b w:val="false"/>
          <w:bCs w:val="false"/>
          <w:strike w:val="false"/>
          <w:sz w:val="22"/>
          <w:szCs w:val="22"/>
        </w:rPr>
        <w:t xml:space="preserve">. 이는 AI 거버넌스 담론이 하나의 공통 논의가 아니라 분야별 문제 정의 위에서 병렬로 전개되고 있음을 시사한다</w:t>
      </w:r>
      <w:r>
        <w:rPr>
          <w:rFonts w:ascii="Times New Roman" w:cs="신명조" w:eastAsia="신명조" w:hAnsi="Times New Roman"/>
          <w:b w:val="false"/>
          <w:bCs w:val="false"/>
          <w:strike w:val="false"/>
          <w:color w:val="C00000"/>
          <w:sz w:val="22"/>
          <w:szCs w:val="22"/>
        </w:rPr>
        <w:t xml:space="preserve">(박선형, 2024)</w:t>
      </w:r>
      <w:r>
        <w:rPr>
          <w:rFonts w:ascii="Times New Roman" w:cs="신명조" w:eastAsia="신명조" w:hAnsi="Times New Roman"/>
          <w:b w:val="false"/>
          <w:bCs w:val="false"/>
          <w:strike w:val="false"/>
          <w:sz w:val="22"/>
          <w:szCs w:val="22"/>
        </w:rPr>
        <w:t xml:space="preserve">. 필자의 별도 원고(투고 준비 중)에서 확인한 뉴스와 학계의 프레임 차이는 학계 내부의 이질성이 부분적 원인일 수 있다는 해석의 단서도 제공하나, 두 연구의 대상과 방법이 다르므로 직접 비교는 하지 않았다 [확인: 별도 원고가 공개되기 전에는 이 문장 삭제 또는 일반화 검토].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정책·학술적 함의</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정책적으로 안보 중심 논의와 제도·규범 중심 논의가 서로 다른 분야에서 생산되므로, 국가 전략을 수립할 때 두 계열의 지식이 연결되는 경로가 필요하다</w:t>
      </w:r>
      <w:r>
        <w:rPr>
          <w:rFonts w:ascii="Times New Roman" w:cs="신명조" w:eastAsia="신명조" w:hAnsi="Times New Roman"/>
          <w:b w:val="false"/>
          <w:bCs w:val="false"/>
          <w:strike w:val="false"/>
          <w:color w:val="C00000"/>
          <w:sz w:val="22"/>
          <w:szCs w:val="22"/>
        </w:rPr>
        <w:t xml:space="preserve">(김지상,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학술적으로 학제간연구에서 구성주의 프레임이 상대적으로 높게 나타난 점은 후속 연구에서 본문 수준 분석으로 확인할 만하다.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방법론적 시사점과 한계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LLM 분류는 같은 코드북에서 안정적이었으나(κ≈0.80) 정의문이 바뀌면 구성주의 경계가 크게 움직였다. 따라서 LLM 기반 프레임 분석은 수치 하나가 아니라 설정별 범위로 보고해야 한다</w:t>
      </w:r>
      <w:r>
        <w:rPr>
          <w:rFonts w:ascii="Times New Roman" w:cs="신명조" w:eastAsia="신명조" w:hAnsi="Times New Roman"/>
          <w:b w:val="false"/>
          <w:bCs w:val="false"/>
          <w:strike w:val="false"/>
          <w:color w:val="C00000"/>
          <w:sz w:val="22"/>
          <w:szCs w:val="22"/>
        </w:rPr>
        <w:t xml:space="preserve">(Demirbaş,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제목·초록 기반 분류이고, KCI 코퍼스와 LDA 배정에 의존하며, 소규모 분야(n&lt;15)의 비율은 불안정하다. 결과는 이 코퍼스에 한정된 기술적 모수이다.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후속 연구는 사람 코더 다수와의 대조, 본문 수준 분석, 복수 모델 비교가 필요하다</w:t>
      </w:r>
      <w:r>
        <w:rPr>
          <w:rFonts w:ascii="Times New Roman" w:cs="신명조" w:eastAsia="신명조" w:hAnsi="Times New Roman"/>
          <w:b w:val="false"/>
          <w:bCs w:val="false"/>
          <w:strike w:val="false"/>
          <w:color w:val="C00000"/>
          <w:sz w:val="22"/>
          <w:szCs w:val="22"/>
        </w:rPr>
        <w:t xml:space="preserve">(Wang &amp; Poenaru,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결론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참고문헌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김상배. 미중 인공지능 패권경쟁과 한국: 국제정치의 전환과 중견국의 국가전략. 『국가전략』, 31(2), 101–132.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유인태. 인공지능과 미·중 전략 경쟁의 국제정치: 글로벌 AI 반도체 공급망과 미국의 경제적 강압을 중심으로. 『국제정치논총』, 65(1), 103–140.</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이재준. 미국과 중국의 군사 기술 경쟁과 세력 전이: 인공지능, 자율무기체계 군사 기술을 중심으로. 『한국과 국제정치』, 38(3), 1–35.</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차정미. 미중 패권경쟁과 인공지능 군사력 경쟁. 『국가전략』, 28(3), 5–31.</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Cihon, P., Maas, M. M., &amp; Kemp, L.. Fragmentation and the future: Investigating architectures for international AI governance. Global Policy, 11(5). [확인: 쪽수·DOI]</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Cohen, J.. A coefficient of agreement for nominal scales. Educational and Psychological Measurement, 20(1), 37–46.</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Entman, R. M.. Framing: Toward clarification of a fractured paradigm. Journal of Communication, 43(4), 51–58.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Finnemore, M., &amp; Sikkink, K.. International norm dynamics and political change. International Organization, 52(4), 887–917.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Gilardi, F., Alizadeh, M., &amp; Kubli, M.. ChatGPT outperforms crowd workers for text-annotation tasks. Proceedings of the National Academy of Sciences, 120(30), e2305016120. https://doi.org/10.1073/pnas.2305016120 [확인: 서지 원문 대조]</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Hagendorff, T.. The ethics of AI ethics: An evaluation of guidelines. Minds and Machines, 30(1), 99–120. https://doi.org/10.1007/s11023-020-09517-8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Horowitz, M. C.. Artificial intelligence, international competition, and the balance of power. Texas National Security Review, 1(3).</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Jobin, A., Ienca, M., &amp; Vayena, E.. The global landscape of AI ethics guidelines. Nature Machine Intelligence, 1, 389–399. https://doi.org/10.1038/s42256-019-0088-2 [확인: 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Landis, J. R., &amp; Koch, G. G.. The measurement of observer agreement for categorical data. Biometrics, 33(1), 159–174.</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Morse, J. C., &amp; Keohane, R. O.. Contested multilateralism. Review of International Organizations, 9(4), 385–412.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Reiss, M. V.. Testing the reliability of ChatGPT for text annotation and classification: A cautionary remark. arXiv:2304.11085. [확인: 프리프린트, 게재본 여부]</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Roberts, H., Cowls, J., Morley, J., Taddeo, M., Wang, V., &amp; Floridi, L.. The Chinese approach to artificial intelligence: An analysis of policy, ethics, and regulation. AI &amp; Society, 36(1), 59–77.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Schmitt, L.. Mapping global AI governance: A nascent regime in a fragmented landscape. AI and Ethics, 2(2), 303–314. https://doi.org/10.1007/s43681-021-00083-y</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Ziems, C., Held, W., Shaikh, O., Chen, J., Zhang, Z., &amp; Yang, D.. Can large language models transform computational social science? Computational Linguistics, 50(1), 237–291. https://doi.org/10.1162/coli_a_00502 [확인: 서지 원문 대조]</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color w:val="C00000"/>
          <w:sz w:val="22"/>
          <w:szCs w:val="22"/>
        </w:rPr>
        <w:t xml:space="preserve">---</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color w:val="C00000"/>
          <w:sz w:val="32"/>
          <w:szCs w:val="32"/>
        </w:rPr>
        <w:t xml:space="preserve">[참고문헌]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color w:val="C00000"/>
          <w:sz w:val="22"/>
          <w:szCs w:val="22"/>
        </w:rPr>
        <w:t xml:space="preserve">구오단양. (2024). Advancing AI Governance and Lawmaking in China -Insights and Strategies-. </w:t>
      </w:r>
      <w:r>
        <w:rPr>
          <w:rFonts w:ascii="Times New Roman" w:cs="신명조" w:eastAsia="신명조" w:hAnsi="Times New Roman"/>
          <w:b/>
          <w:bCs/>
          <w:strike w:val="false"/>
          <w:color w:val="C00000"/>
          <w:sz w:val="22"/>
          <w:szCs w:val="22"/>
        </w:rPr>
        <w:t xml:space="preserve">한중사회과학연구, 22</w:t>
      </w:r>
      <w:r>
        <w:rPr>
          <w:rFonts w:ascii="Times New Roman" w:cs="신명조" w:eastAsia="신명조" w:hAnsi="Times New Roman"/>
          <w:b w:val="false"/>
          <w:bCs w:val="false"/>
          <w:strike w:val="false"/>
          <w:color w:val="C00000"/>
          <w:sz w:val="22"/>
          <w:szCs w:val="22"/>
        </w:rPr>
        <w:t xml:space="preserve">(2), 279-298. http://dx.doi.org/10.36527/KCSSS.22.2.11</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김성준, 이중학. (2026). AI Governance, 조직 및 인사 분야 시사점과 연구제언. </w:t>
      </w:r>
      <w:r>
        <w:rPr>
          <w:rFonts w:ascii="Times New Roman" w:cs="신명조" w:eastAsia="신명조" w:hAnsi="Times New Roman"/>
          <w:b/>
          <w:bCs/>
          <w:strike w:val="false"/>
          <w:color w:val="C00000"/>
          <w:sz w:val="22"/>
          <w:szCs w:val="22"/>
        </w:rPr>
        <w:t xml:space="preserve">조직과 인사관리연구, 50</w:t>
      </w:r>
      <w:r>
        <w:rPr>
          <w:rFonts w:ascii="Times New Roman" w:cs="신명조" w:eastAsia="신명조" w:hAnsi="Times New Roman"/>
          <w:b w:val="false"/>
          <w:bCs w:val="false"/>
          <w:strike w:val="false"/>
          <w:color w:val="C00000"/>
          <w:sz w:val="22"/>
          <w:szCs w:val="22"/>
        </w:rPr>
        <w:t xml:space="preserve">(3), 29-85.</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김유정. (2026). 일본 AI법(人工知能関連技術の研究開発及び 活用の推進に関する法律) 제정 과정에 관한 연구. </w:t>
      </w:r>
      <w:r>
        <w:rPr>
          <w:rFonts w:ascii="Times New Roman" w:cs="신명조" w:eastAsia="신명조" w:hAnsi="Times New Roman"/>
          <w:b/>
          <w:bCs/>
          <w:strike w:val="false"/>
          <w:color w:val="C00000"/>
          <w:sz w:val="22"/>
          <w:szCs w:val="22"/>
        </w:rPr>
        <w:t xml:space="preserve">일본학보</w:t>
      </w:r>
      <w:r>
        <w:rPr>
          <w:rFonts w:ascii="Times New Roman" w:cs="신명조" w:eastAsia="신명조" w:hAnsi="Times New Roman"/>
          <w:b w:val="false"/>
          <w:bCs w:val="false"/>
          <w:strike w:val="false"/>
          <w:color w:val="C00000"/>
          <w:sz w:val="22"/>
          <w:szCs w:val="22"/>
        </w:rPr>
        <w:t xml:space="preserve">(146), 301-317. http://dx.doi.org/10.15532/kaja.2026.02.146.301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김지상. (2026). AI 기본법 너머의 정책 설계 과제- 한국 국가 AI 정책의 방향성과 거버넌스 구조 분석 -. </w:t>
      </w:r>
      <w:r>
        <w:rPr>
          <w:rFonts w:ascii="Times New Roman" w:cs="신명조" w:eastAsia="신명조" w:hAnsi="Times New Roman"/>
          <w:b/>
          <w:bCs/>
          <w:strike w:val="false"/>
          <w:color w:val="C00000"/>
          <w:sz w:val="22"/>
          <w:szCs w:val="22"/>
        </w:rPr>
        <w:t xml:space="preserve">한국정책학회보, 35</w:t>
      </w:r>
      <w:r>
        <w:rPr>
          <w:rFonts w:ascii="Times New Roman" w:cs="신명조" w:eastAsia="신명조" w:hAnsi="Times New Roman"/>
          <w:b w:val="false"/>
          <w:bCs w:val="false"/>
          <w:strike w:val="false"/>
          <w:color w:val="C00000"/>
          <w:sz w:val="22"/>
          <w:szCs w:val="22"/>
        </w:rPr>
        <w:t xml:space="preserve">(3), 577-614. http://dx.doi.org/10.33900/KAPS.2026.35.3.18</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김태훈, 이성엽. (2025). 소버린 AI(Sovereign AI) 구축의 글로벌법제 동향에 관한 연구. </w:t>
      </w:r>
      <w:r>
        <w:rPr>
          <w:rFonts w:ascii="Times New Roman" w:cs="신명조" w:eastAsia="신명조" w:hAnsi="Times New Roman"/>
          <w:b/>
          <w:bCs/>
          <w:strike w:val="false"/>
          <w:color w:val="C00000"/>
          <w:sz w:val="22"/>
          <w:szCs w:val="22"/>
        </w:rPr>
        <w:t xml:space="preserve">경영법률, 36</w:t>
      </w:r>
      <w:r>
        <w:rPr>
          <w:rFonts w:ascii="Times New Roman" w:cs="신명조" w:eastAsia="신명조" w:hAnsi="Times New Roman"/>
          <w:b w:val="false"/>
          <w:bCs w:val="false"/>
          <w:strike w:val="false"/>
          <w:color w:val="C00000"/>
          <w:sz w:val="22"/>
          <w:szCs w:val="22"/>
        </w:rPr>
        <w:t xml:space="preserve">(1), 195-223.</w:t>
      </w:r>
    </w:p>
    <w:p>
      <w:pPr>
        <w:spacing w:after="0" w:line="384"/>
        <w:ind w:left="720" w:hanging="720"/>
      </w:pPr>
      <w:r>
        <w:rPr>
          <w:rFonts w:ascii="Times New Roman" w:cs="신명조" w:eastAsia="신명조" w:hAnsi="Times New Roman"/>
          <w:b w:val="false"/>
          <w:bCs w:val="false"/>
          <w:strike w:val="false"/>
          <w:color w:val="C00000"/>
          <w:sz w:val="22"/>
          <w:szCs w:val="22"/>
        </w:rPr>
        <w:t xml:space="preserve">박선형. (2024). AI 거버넌스의 정의와 쟁점 및 발전 과제: 비판적 관점. </w:t>
      </w:r>
      <w:r>
        <w:rPr>
          <w:rFonts w:ascii="Times New Roman" w:cs="신명조" w:eastAsia="신명조" w:hAnsi="Times New Roman"/>
          <w:b/>
          <w:bCs/>
          <w:strike w:val="false"/>
          <w:color w:val="C00000"/>
          <w:sz w:val="22"/>
          <w:szCs w:val="22"/>
        </w:rPr>
        <w:t xml:space="preserve">교육정치학연구, 31</w:t>
      </w:r>
      <w:r>
        <w:rPr>
          <w:rFonts w:ascii="Times New Roman" w:cs="신명조" w:eastAsia="신명조" w:hAnsi="Times New Roman"/>
          <w:b w:val="false"/>
          <w:bCs w:val="false"/>
          <w:strike w:val="false"/>
          <w:color w:val="C00000"/>
          <w:sz w:val="22"/>
          <w:szCs w:val="22"/>
        </w:rPr>
        <w:t xml:space="preserve">(1), 89-117. http://dx.doi.org/10.52183/KSPE.2024.31.1.89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서요련. (2026). 무지의 베일을 쓴 AI - 롤스적 AI 거버넌스에 관한 비판적 고찰 -. </w:t>
      </w:r>
      <w:r>
        <w:rPr>
          <w:rFonts w:ascii="Times New Roman" w:cs="신명조" w:eastAsia="신명조" w:hAnsi="Times New Roman"/>
          <w:b/>
          <w:bCs/>
          <w:strike w:val="false"/>
          <w:color w:val="C00000"/>
          <w:sz w:val="22"/>
          <w:szCs w:val="22"/>
        </w:rPr>
        <w:t xml:space="preserve">도덕윤리과교육</w:t>
      </w:r>
      <w:r>
        <w:rPr>
          <w:rFonts w:ascii="Times New Roman" w:cs="신명조" w:eastAsia="신명조" w:hAnsi="Times New Roman"/>
          <w:b w:val="false"/>
          <w:bCs w:val="false"/>
          <w:strike w:val="false"/>
          <w:color w:val="C00000"/>
          <w:sz w:val="22"/>
          <w:szCs w:val="22"/>
        </w:rPr>
        <w:t xml:space="preserve">(92), 231-260. http://dx.doi.org/10.18338/kojmee.2026..92.231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안소영. (2025). 기업의 AI 윤리 실천: LG AI연구원의 사례 분석. </w:t>
      </w:r>
      <w:r>
        <w:rPr>
          <w:rFonts w:ascii="Times New Roman" w:cs="신명조" w:eastAsia="신명조" w:hAnsi="Times New Roman"/>
          <w:b/>
          <w:bCs/>
          <w:strike w:val="false"/>
          <w:color w:val="C00000"/>
          <w:sz w:val="22"/>
          <w:szCs w:val="22"/>
        </w:rPr>
        <w:t xml:space="preserve">과학기술과 사회, 8</w:t>
      </w:r>
      <w:r>
        <w:rPr>
          <w:rFonts w:ascii="Times New Roman" w:cs="신명조" w:eastAsia="신명조" w:hAnsi="Times New Roman"/>
          <w:b w:val="false"/>
          <w:bCs w:val="false"/>
          <w:strike w:val="false"/>
          <w:color w:val="C00000"/>
          <w:sz w:val="22"/>
          <w:szCs w:val="22"/>
        </w:rPr>
        <w:t xml:space="preserve">, 63-99.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안준철. (2024). 유럽의 AI 거버넌스와 미디어 책임. </w:t>
      </w:r>
      <w:r>
        <w:rPr>
          <w:rFonts w:ascii="Times New Roman" w:cs="신명조" w:eastAsia="신명조" w:hAnsi="Times New Roman"/>
          <w:b/>
          <w:bCs/>
          <w:strike w:val="false"/>
          <w:color w:val="C00000"/>
          <w:sz w:val="22"/>
          <w:szCs w:val="22"/>
        </w:rPr>
        <w:t xml:space="preserve">통합유럽연구, 15</w:t>
      </w:r>
      <w:r>
        <w:rPr>
          <w:rFonts w:ascii="Times New Roman" w:cs="신명조" w:eastAsia="신명조" w:hAnsi="Times New Roman"/>
          <w:b w:val="false"/>
          <w:bCs w:val="false"/>
          <w:strike w:val="false"/>
          <w:color w:val="C00000"/>
          <w:sz w:val="22"/>
          <w:szCs w:val="22"/>
        </w:rPr>
        <w:t xml:space="preserve">(3), 209-242. http://dx.doi.org/10.32625/KJEI.2024.34.209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윤정현. (2026). 미국의 AI 안보화 담론과 AI 안보 거버넌스의 재구성. </w:t>
      </w:r>
      <w:r>
        <w:rPr>
          <w:rFonts w:ascii="Times New Roman" w:cs="신명조" w:eastAsia="신명조" w:hAnsi="Times New Roman"/>
          <w:b/>
          <w:bCs/>
          <w:strike w:val="false"/>
          <w:color w:val="C00000"/>
          <w:sz w:val="22"/>
          <w:szCs w:val="22"/>
        </w:rPr>
        <w:t xml:space="preserve">대한정치학회보, 34</w:t>
      </w:r>
      <w:r>
        <w:rPr>
          <w:rFonts w:ascii="Times New Roman" w:cs="신명조" w:eastAsia="신명조" w:hAnsi="Times New Roman"/>
          <w:b w:val="false"/>
          <w:bCs w:val="false"/>
          <w:strike w:val="false"/>
          <w:color w:val="C00000"/>
          <w:sz w:val="22"/>
          <w:szCs w:val="22"/>
        </w:rPr>
        <w:t xml:space="preserve">(1), 79-108.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윤혜선. (2024). AI 거버넌스의 새로운 축(軸) ― 영향평가제도에 관한 연구 ―. </w:t>
      </w:r>
      <w:r>
        <w:rPr>
          <w:rFonts w:ascii="Times New Roman" w:cs="신명조" w:eastAsia="신명조" w:hAnsi="Times New Roman"/>
          <w:b/>
          <w:bCs/>
          <w:strike w:val="false"/>
          <w:color w:val="C00000"/>
          <w:sz w:val="22"/>
          <w:szCs w:val="22"/>
        </w:rPr>
        <w:t xml:space="preserve">공법연구, 53</w:t>
      </w:r>
      <w:r>
        <w:rPr>
          <w:rFonts w:ascii="Times New Roman" w:cs="신명조" w:eastAsia="신명조" w:hAnsi="Times New Roman"/>
          <w:b w:val="false"/>
          <w:bCs w:val="false"/>
          <w:strike w:val="false"/>
          <w:color w:val="C00000"/>
          <w:sz w:val="22"/>
          <w:szCs w:val="22"/>
        </w:rPr>
        <w:t xml:space="preserve">(2), 377-424. http://dx.doi.org/10.38176/PublicLaw.2024.12.53.2.377</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이겨레, 임철민. (2026). 토픽모델링(BERTopic)을 활용한 국내 인공지능 정책 관련 언론보도 분석. </w:t>
      </w:r>
      <w:r>
        <w:rPr>
          <w:rFonts w:ascii="Times New Roman" w:cs="신명조" w:eastAsia="신명조" w:hAnsi="Times New Roman"/>
          <w:b/>
          <w:bCs/>
          <w:strike w:val="false"/>
          <w:color w:val="C00000"/>
          <w:sz w:val="22"/>
          <w:szCs w:val="22"/>
        </w:rPr>
        <w:t xml:space="preserve">한국콘텐츠학회 논문지, 26</w:t>
      </w:r>
      <w:r>
        <w:rPr>
          <w:rFonts w:ascii="Times New Roman" w:cs="신명조" w:eastAsia="신명조" w:hAnsi="Times New Roman"/>
          <w:b w:val="false"/>
          <w:bCs w:val="false"/>
          <w:strike w:val="false"/>
          <w:color w:val="C00000"/>
          <w:sz w:val="22"/>
          <w:szCs w:val="22"/>
        </w:rPr>
        <w:t xml:space="preserve">(2), 86-100. http://dx.doi.org/10.5392/JKCA.2026.26.02.086</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이상훈, 권혁진. (2025). 다계층 AI 거버넌스를 통한 AI 윤리 확보 방안 연구: 무기기술 발전과 인간 존엄성을 중심으로. </w:t>
      </w:r>
      <w:r>
        <w:rPr>
          <w:rFonts w:ascii="Times New Roman" w:cs="신명조" w:eastAsia="신명조" w:hAnsi="Times New Roman"/>
          <w:b/>
          <w:bCs/>
          <w:strike w:val="false"/>
          <w:color w:val="C00000"/>
          <w:sz w:val="22"/>
          <w:szCs w:val="22"/>
        </w:rPr>
        <w:t xml:space="preserve">시스템엔지니어링학술지, 21</w:t>
      </w:r>
      <w:r>
        <w:rPr>
          <w:rFonts w:ascii="Times New Roman" w:cs="신명조" w:eastAsia="신명조" w:hAnsi="Times New Roman"/>
          <w:b w:val="false"/>
          <w:bCs w:val="false"/>
          <w:strike w:val="false"/>
          <w:color w:val="C00000"/>
          <w:sz w:val="22"/>
          <w:szCs w:val="22"/>
        </w:rPr>
        <w:t xml:space="preserve">(2), 34-51. http://dx.doi.org/10.14248/JKOSSE.2025.21.2.034</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이재숭. (2022). 중국의 인공지능(AI) 윤리 정책에 관한 연구. </w:t>
      </w:r>
      <w:r>
        <w:rPr>
          <w:rFonts w:ascii="Times New Roman" w:cs="신명조" w:eastAsia="신명조" w:hAnsi="Times New Roman"/>
          <w:b/>
          <w:bCs/>
          <w:strike w:val="false"/>
          <w:color w:val="C00000"/>
          <w:sz w:val="22"/>
          <w:szCs w:val="22"/>
        </w:rPr>
        <w:t xml:space="preserve">중국학</w:t>
      </w:r>
      <w:r>
        <w:rPr>
          <w:rFonts w:ascii="Times New Roman" w:cs="신명조" w:eastAsia="신명조" w:hAnsi="Times New Roman"/>
          <w:b w:val="false"/>
          <w:bCs w:val="false"/>
          <w:strike w:val="false"/>
          <w:color w:val="C00000"/>
          <w:sz w:val="22"/>
          <w:szCs w:val="22"/>
        </w:rPr>
        <w:t xml:space="preserve">(80), 69-87. http://dx.doi.org/10.14378/KACS.2022.80.80.4</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이현주. (2025). AI 시대 화성시 문화예술교육의 현황과 혁신 가능성 제안. </w:t>
      </w:r>
      <w:r>
        <w:rPr>
          <w:rFonts w:ascii="Times New Roman" w:cs="신명조" w:eastAsia="신명조" w:hAnsi="Times New Roman"/>
          <w:b/>
          <w:bCs/>
          <w:strike w:val="false"/>
          <w:color w:val="C00000"/>
          <w:sz w:val="22"/>
          <w:szCs w:val="22"/>
        </w:rPr>
        <w:t xml:space="preserve">브랜드디자인학연구, 23</w:t>
      </w:r>
      <w:r>
        <w:rPr>
          <w:rFonts w:ascii="Times New Roman" w:cs="신명조" w:eastAsia="신명조" w:hAnsi="Times New Roman"/>
          <w:b w:val="false"/>
          <w:bCs w:val="false"/>
          <w:strike w:val="false"/>
          <w:color w:val="C00000"/>
          <w:sz w:val="22"/>
          <w:szCs w:val="22"/>
        </w:rPr>
        <w:t xml:space="preserve">(4), 65-74. http://dx.doi.org/10.18852/bdak.2025.23.4.65</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이호찬, 이상윤. (2025). 적소적재 채용 전략을 위한 AI 정책과 활용 동향 분석 - 국내 사례와 글로벌 트랜드 비교 및 시사점 분석을 중심으로 -. </w:t>
      </w:r>
      <w:r>
        <w:rPr>
          <w:rFonts w:ascii="Times New Roman" w:cs="신명조" w:eastAsia="신명조" w:hAnsi="Times New Roman"/>
          <w:b/>
          <w:bCs/>
          <w:strike w:val="false"/>
          <w:color w:val="C00000"/>
          <w:sz w:val="22"/>
          <w:szCs w:val="22"/>
        </w:rPr>
        <w:t xml:space="preserve">인적자원관리연구, 32</w:t>
      </w:r>
      <w:r>
        <w:rPr>
          <w:rFonts w:ascii="Times New Roman" w:cs="신명조" w:eastAsia="신명조" w:hAnsi="Times New Roman"/>
          <w:b w:val="false"/>
          <w:bCs w:val="false"/>
          <w:strike w:val="false"/>
          <w:color w:val="C00000"/>
          <w:sz w:val="22"/>
          <w:szCs w:val="22"/>
        </w:rPr>
        <w:t xml:space="preserve">(5), 221-239. http://dx.doi.org/10.14396/jhrmr.2025.32.5.221</w:t>
      </w:r>
    </w:p>
    <w:p>
      <w:pPr>
        <w:spacing w:after="0" w:line="384"/>
        <w:ind w:left="720" w:hanging="720"/>
      </w:pPr>
      <w:r>
        <w:rPr>
          <w:rFonts w:ascii="Times New Roman" w:cs="신명조" w:eastAsia="신명조" w:hAnsi="Times New Roman"/>
          <w:b w:val="false"/>
          <w:bCs w:val="false"/>
          <w:strike w:val="false"/>
          <w:color w:val="C00000"/>
          <w:sz w:val="22"/>
          <w:szCs w:val="22"/>
        </w:rPr>
        <w:t xml:space="preserve">최믿음, 조은수. (2024). AI 관련 뉴스기사의 보도 프레임 분석. </w:t>
      </w:r>
      <w:r>
        <w:rPr>
          <w:rFonts w:ascii="Times New Roman" w:cs="신명조" w:eastAsia="신명조" w:hAnsi="Times New Roman"/>
          <w:b/>
          <w:bCs/>
          <w:strike w:val="false"/>
          <w:color w:val="C00000"/>
          <w:sz w:val="22"/>
          <w:szCs w:val="22"/>
        </w:rPr>
        <w:t xml:space="preserve">문화기술의 융합, 10</w:t>
      </w:r>
      <w:r>
        <w:rPr>
          <w:rFonts w:ascii="Times New Roman" w:cs="신명조" w:eastAsia="신명조" w:hAnsi="Times New Roman"/>
          <w:b w:val="false"/>
          <w:bCs w:val="false"/>
          <w:strike w:val="false"/>
          <w:color w:val="C00000"/>
          <w:sz w:val="22"/>
          <w:szCs w:val="22"/>
        </w:rPr>
        <w:t xml:space="preserve">(6), 339-346. http://dx.doi.org/10.17703/JCCT.2024.10.6.339</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하윤빈. (2026). AI 거버넌스와 글로벌 사우스: 배제의 권력 기제와 전략적 대응. </w:t>
      </w:r>
      <w:r>
        <w:rPr>
          <w:rFonts w:ascii="Times New Roman" w:cs="신명조" w:eastAsia="신명조" w:hAnsi="Times New Roman"/>
          <w:b/>
          <w:bCs/>
          <w:strike w:val="false"/>
          <w:color w:val="C00000"/>
          <w:sz w:val="22"/>
          <w:szCs w:val="22"/>
        </w:rPr>
        <w:t xml:space="preserve">세계지역연구논총, 44</w:t>
      </w:r>
      <w:r>
        <w:rPr>
          <w:rFonts w:ascii="Times New Roman" w:cs="신명조" w:eastAsia="신명조" w:hAnsi="Times New Roman"/>
          <w:b w:val="false"/>
          <w:bCs w:val="false"/>
          <w:strike w:val="false"/>
          <w:color w:val="C00000"/>
          <w:sz w:val="22"/>
          <w:szCs w:val="22"/>
        </w:rPr>
        <w:t xml:space="preserve">(3), 55-105.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Carvalho, A. (2026). China's AI Governance Architecture: From State Control to Operational AI Governance. </w:t>
      </w:r>
      <w:r>
        <w:rPr>
          <w:rFonts w:ascii="Times New Roman" w:cs="신명조" w:eastAsia="신명조" w:hAnsi="Times New Roman"/>
          <w:b w:val="false"/>
          <w:bCs w:val="false"/>
          <w:i/>
          <w:iCs/>
          <w:strike w:val="false"/>
          <w:color w:val="C00000"/>
          <w:sz w:val="22"/>
          <w:szCs w:val="22"/>
        </w:rPr>
        <w:t xml:space="preserve">Elsevier BV</w:t>
      </w:r>
      <w:r>
        <w:rPr>
          <w:rFonts w:ascii="Times New Roman" w:cs="신명조" w:eastAsia="신명조" w:hAnsi="Times New Roman"/>
          <w:b w:val="false"/>
          <w:bCs w:val="false"/>
          <w:strike w:val="false"/>
          <w:color w:val="C00000"/>
          <w:sz w:val="22"/>
          <w:szCs w:val="22"/>
        </w:rPr>
        <w:t xml:space="preserve">. https://doi.org/10.2139/ssrn.6656118</w:t>
      </w:r>
    </w:p>
    <w:p>
      <w:pPr>
        <w:spacing w:after="0" w:line="384"/>
        <w:ind w:left="720" w:hanging="720"/>
      </w:pPr>
      <w:r>
        <w:rPr>
          <w:rFonts w:ascii="Times New Roman" w:cs="신명조" w:eastAsia="신명조" w:hAnsi="Times New Roman"/>
          <w:b w:val="false"/>
          <w:bCs w:val="false"/>
          <w:strike w:val="false"/>
          <w:color w:val="C00000"/>
          <w:sz w:val="22"/>
          <w:szCs w:val="22"/>
        </w:rPr>
        <w:t xml:space="preserve">Evans, A., &amp; Singh, A. (2026a). AI Governance Framework Models. </w:t>
      </w:r>
      <w:r>
        <w:rPr>
          <w:rFonts w:ascii="Times New Roman" w:cs="신명조" w:eastAsia="신명조" w:hAnsi="Times New Roman"/>
          <w:b w:val="false"/>
          <w:bCs w:val="false"/>
          <w:i/>
          <w:iCs/>
          <w:strike w:val="false"/>
          <w:color w:val="C00000"/>
          <w:sz w:val="22"/>
          <w:szCs w:val="22"/>
        </w:rPr>
        <w:t xml:space="preserve">AI Governance</w:t>
      </w:r>
      <w:r>
        <w:rPr>
          <w:rFonts w:ascii="Times New Roman" w:cs="신명조" w:eastAsia="신명조" w:hAnsi="Times New Roman"/>
          <w:b w:val="false"/>
          <w:bCs w:val="false"/>
          <w:strike w:val="false"/>
          <w:color w:val="C00000"/>
          <w:sz w:val="22"/>
          <w:szCs w:val="22"/>
        </w:rPr>
        <w:t xml:space="preserve">, 110-128. https://doi.org/10.4324/9781003682530-12</w:t>
      </w:r>
    </w:p>
    <w:p>
      <w:pPr>
        <w:spacing w:after="0" w:line="384"/>
        <w:ind w:left="720" w:hanging="720"/>
      </w:pPr>
      <w:r>
        <w:rPr>
          <w:rFonts w:ascii="Times New Roman" w:cs="신명조" w:eastAsia="신명조" w:hAnsi="Times New Roman"/>
          <w:b w:val="false"/>
          <w:bCs w:val="false"/>
          <w:strike w:val="false"/>
          <w:color w:val="C00000"/>
          <w:sz w:val="22"/>
          <w:szCs w:val="22"/>
        </w:rPr>
        <w:t xml:space="preserve">Stix, C. (2022). The Ghost of AI Governance Past, Present, and Future. </w:t>
      </w:r>
      <w:r>
        <w:rPr>
          <w:rFonts w:ascii="Times New Roman" w:cs="신명조" w:eastAsia="신명조" w:hAnsi="Times New Roman"/>
          <w:b w:val="false"/>
          <w:bCs w:val="false"/>
          <w:i/>
          <w:iCs/>
          <w:strike w:val="false"/>
          <w:color w:val="C00000"/>
          <w:sz w:val="22"/>
          <w:szCs w:val="22"/>
        </w:rPr>
        <w:t xml:space="preserve">The Oxford Handbook of AI Governance</w:t>
      </w:r>
      <w:r>
        <w:rPr>
          <w:rFonts w:ascii="Times New Roman" w:cs="신명조" w:eastAsia="신명조" w:hAnsi="Times New Roman"/>
          <w:b w:val="false"/>
          <w:bCs w:val="false"/>
          <w:strike w:val="false"/>
          <w:color w:val="C00000"/>
          <w:sz w:val="22"/>
          <w:szCs w:val="22"/>
        </w:rPr>
        <w:t xml:space="preserve">, 937-958. https://doi.org/10.1093/oxfordhb/9780197579329.013.56</w:t>
      </w:r>
    </w:p>
    <w:p>
      <w:pPr>
        <w:spacing w:after="0" w:line="384"/>
        <w:ind w:left="720" w:hanging="720"/>
      </w:pPr>
      <w:r>
        <w:rPr>
          <w:rFonts w:ascii="Times New Roman" w:cs="신명조" w:eastAsia="신명조" w:hAnsi="Times New Roman"/>
          <w:b w:val="false"/>
          <w:bCs w:val="false"/>
          <w:strike w:val="false"/>
          <w:color w:val="C00000"/>
          <w:sz w:val="22"/>
          <w:szCs w:val="22"/>
        </w:rPr>
        <w:t xml:space="preserve">Hay, C. (2016). 15. International Relations Theory and Globalization. </w:t>
      </w:r>
      <w:r>
        <w:rPr>
          <w:rFonts w:ascii="Times New Roman" w:cs="신명조" w:eastAsia="신명조" w:hAnsi="Times New Roman"/>
          <w:b w:val="false"/>
          <w:bCs w:val="false"/>
          <w:i/>
          <w:iCs/>
          <w:strike w:val="false"/>
          <w:color w:val="C00000"/>
          <w:sz w:val="22"/>
          <w:szCs w:val="22"/>
        </w:rPr>
        <w:t xml:space="preserve">International Relations Theories</w:t>
      </w:r>
      <w:r>
        <w:rPr>
          <w:rFonts w:ascii="Times New Roman" w:cs="신명조" w:eastAsia="신명조" w:hAnsi="Times New Roman"/>
          <w:b w:val="false"/>
          <w:bCs w:val="false"/>
          <w:strike w:val="false"/>
          <w:color w:val="C00000"/>
          <w:sz w:val="22"/>
          <w:szCs w:val="22"/>
        </w:rPr>
        <w:t xml:space="preserve">. https://doi.org/10.1093/hepl/9780198707561.003.0016</w:t>
      </w:r>
    </w:p>
    <w:p>
      <w:pPr>
        <w:spacing w:after="0" w:line="384"/>
        <w:ind w:left="720" w:hanging="720"/>
      </w:pPr>
      <w:r>
        <w:rPr>
          <w:rFonts w:ascii="Times New Roman" w:cs="신명조" w:eastAsia="신명조" w:hAnsi="Times New Roman"/>
          <w:b w:val="false"/>
          <w:bCs w:val="false"/>
          <w:strike w:val="false"/>
          <w:color w:val="C00000"/>
          <w:sz w:val="22"/>
          <w:szCs w:val="22"/>
        </w:rPr>
        <w:t xml:space="preserve">Demirbaş, D. (2026). Revisiting Trust and Interpretive Authority in LLM-Assisted Qualitative Data Analysis. </w:t>
      </w:r>
      <w:r>
        <w:rPr>
          <w:rFonts w:ascii="Times New Roman" w:cs="신명조" w:eastAsia="신명조" w:hAnsi="Times New Roman"/>
          <w:b w:val="false"/>
          <w:bCs w:val="false"/>
          <w:i/>
          <w:iCs/>
          <w:strike w:val="false"/>
          <w:color w:val="C00000"/>
          <w:sz w:val="22"/>
          <w:szCs w:val="22"/>
        </w:rPr>
        <w:t xml:space="preserve">Springer Science and Business Media LLC</w:t>
      </w:r>
      <w:r>
        <w:rPr>
          <w:rFonts w:ascii="Times New Roman" w:cs="신명조" w:eastAsia="신명조" w:hAnsi="Times New Roman"/>
          <w:b w:val="false"/>
          <w:bCs w:val="false"/>
          <w:strike w:val="false"/>
          <w:color w:val="C00000"/>
          <w:sz w:val="22"/>
          <w:szCs w:val="22"/>
        </w:rPr>
        <w:t xml:space="preserve">. https://doi.org/10.21203/rs.3.rs-9629061/v1</w:t>
      </w:r>
    </w:p>
    <w:p>
      <w:pPr>
        <w:spacing w:after="0" w:line="384"/>
        <w:ind w:left="720" w:hanging="720"/>
      </w:pPr>
      <w:r>
        <w:rPr>
          <w:rFonts w:ascii="Times New Roman" w:cs="신명조" w:eastAsia="신명조" w:hAnsi="Times New Roman"/>
          <w:b w:val="false"/>
          <w:bCs w:val="false"/>
          <w:strike w:val="false"/>
          <w:color w:val="C00000"/>
          <w:sz w:val="22"/>
          <w:szCs w:val="22"/>
        </w:rPr>
        <w:t xml:space="preserve">Sayles, J. (2024). Aligning AI Governance with Other Internal Governance Models for Trustworthy AI: “The Convergence of Governance Frameworks”. </w:t>
      </w:r>
      <w:r>
        <w:rPr>
          <w:rFonts w:ascii="Times New Roman" w:cs="신명조" w:eastAsia="신명조" w:hAnsi="Times New Roman"/>
          <w:b w:val="false"/>
          <w:bCs w:val="false"/>
          <w:i/>
          <w:iCs/>
          <w:strike w:val="false"/>
          <w:color w:val="C00000"/>
          <w:sz w:val="22"/>
          <w:szCs w:val="22"/>
        </w:rPr>
        <w:t xml:space="preserve">Principles of AI Governance and Model Risk Management</w:t>
      </w:r>
      <w:r>
        <w:rPr>
          <w:rFonts w:ascii="Times New Roman" w:cs="신명조" w:eastAsia="신명조" w:hAnsi="Times New Roman"/>
          <w:b w:val="false"/>
          <w:bCs w:val="false"/>
          <w:strike w:val="false"/>
          <w:color w:val="C00000"/>
          <w:sz w:val="22"/>
          <w:szCs w:val="22"/>
        </w:rPr>
        <w:t xml:space="preserve">, 113-172. https://doi.org/10.1007/979-8-8688-0983-5_5</w:t>
      </w:r>
    </w:p>
    <w:p>
      <w:pPr>
        <w:spacing w:after="0" w:line="384"/>
        <w:ind w:left="720" w:hanging="720"/>
      </w:pPr>
      <w:r>
        <w:rPr>
          <w:rFonts w:ascii="Times New Roman" w:cs="신명조" w:eastAsia="신명조" w:hAnsi="Times New Roman"/>
          <w:b w:val="false"/>
          <w:bCs w:val="false"/>
          <w:strike w:val="false"/>
          <w:color w:val="C00000"/>
          <w:sz w:val="22"/>
          <w:szCs w:val="22"/>
        </w:rPr>
        <w:t xml:space="preserve">Wang, L., &amp; Poenaru, D. (2026). Evaluative Stance Toward Artificial Intelligence in High-Quartile Medical Journals (2021– 2026): Large-Scale LLM-Assisted Computational Content Analysis. </w:t>
      </w:r>
      <w:r>
        <w:rPr>
          <w:rFonts w:ascii="Times New Roman" w:cs="신명조" w:eastAsia="신명조" w:hAnsi="Times New Roman"/>
          <w:b w:val="false"/>
          <w:bCs w:val="false"/>
          <w:i/>
          <w:iCs/>
          <w:strike w:val="false"/>
          <w:color w:val="C00000"/>
          <w:sz w:val="22"/>
          <w:szCs w:val="22"/>
        </w:rPr>
        <w:t xml:space="preserve">openRxiv</w:t>
      </w:r>
      <w:r>
        <w:rPr>
          <w:rFonts w:ascii="Times New Roman" w:cs="신명조" w:eastAsia="신명조" w:hAnsi="Times New Roman"/>
          <w:b w:val="false"/>
          <w:bCs w:val="false"/>
          <w:strike w:val="false"/>
          <w:color w:val="C00000"/>
          <w:sz w:val="22"/>
          <w:szCs w:val="22"/>
        </w:rPr>
        <w:t xml:space="preserve">. https://doi.org/10.64898/2026.07.23.26358815</w:t>
      </w:r>
    </w:p>
    <w:p>
      <w:pPr>
        <w:spacing w:after="0" w:line="384"/>
        <w:ind w:left="720" w:hanging="720"/>
      </w:pPr>
      <w:r>
        <w:rPr>
          <w:rFonts w:ascii="Times New Roman" w:cs="신명조" w:eastAsia="신명조" w:hAnsi="Times New Roman"/>
          <w:b w:val="false"/>
          <w:bCs w:val="false"/>
          <w:strike w:val="false"/>
          <w:color w:val="C00000"/>
          <w:sz w:val="22"/>
          <w:szCs w:val="22"/>
        </w:rPr>
        <w:t xml:space="preserve">Sulaiman, M. H., Muda, N., &amp; Razak, F. A. (2025). Impact of Data Types on Machine Learning Performance in LLM-Assisted Content Analysis (LACA) of Hospital Online Reviews (Preprint). </w:t>
      </w:r>
      <w:r>
        <w:rPr>
          <w:rFonts w:ascii="Times New Roman" w:cs="신명조" w:eastAsia="신명조" w:hAnsi="Times New Roman"/>
          <w:b w:val="false"/>
          <w:bCs w:val="false"/>
          <w:i/>
          <w:iCs/>
          <w:strike w:val="false"/>
          <w:color w:val="C00000"/>
          <w:sz w:val="22"/>
          <w:szCs w:val="22"/>
        </w:rPr>
        <w:t xml:space="preserve">JMIR Publications Inc.</w:t>
      </w:r>
      <w:r>
        <w:rPr>
          <w:rFonts w:ascii="Times New Roman" w:cs="신명조" w:eastAsia="신명조" w:hAnsi="Times New Roman"/>
          <w:b w:val="false"/>
          <w:bCs w:val="false"/>
          <w:strike w:val="false"/>
          <w:color w:val="C00000"/>
          <w:sz w:val="22"/>
          <w:szCs w:val="22"/>
        </w:rPr>
        <w:t xml:space="preserve">. https://doi.org/10.2196/preprints.73984</w:t>
      </w:r>
    </w:p>
    <w:p>
      <w:pPr>
        <w:spacing w:after="0" w:line="384"/>
        <w:ind w:left="720" w:hanging="720"/>
      </w:pPr>
      <w:r>
        <w:rPr>
          <w:rFonts w:ascii="Times New Roman" w:cs="신명조" w:eastAsia="신명조" w:hAnsi="Times New Roman"/>
          <w:b w:val="false"/>
          <w:bCs w:val="false"/>
          <w:strike w:val="false"/>
          <w:color w:val="C00000"/>
          <w:sz w:val="22"/>
          <w:szCs w:val="22"/>
        </w:rPr>
        <w:t xml:space="preserve">Sazzed, S. (2026). Eating disorder-related content in Reddit suicidal ideation posts: an LLM-assisted analysis of mental health comorbidities, substance use, and demographic patterns. </w:t>
      </w:r>
      <w:r>
        <w:rPr>
          <w:rFonts w:ascii="Times New Roman" w:cs="신명조" w:eastAsia="신명조" w:hAnsi="Times New Roman"/>
          <w:b w:val="false"/>
          <w:bCs w:val="false"/>
          <w:i/>
          <w:iCs/>
          <w:strike w:val="false"/>
          <w:color w:val="C00000"/>
          <w:sz w:val="22"/>
          <w:szCs w:val="22"/>
        </w:rPr>
        <w:t xml:space="preserve">Social Network Analysis and Mining</w:t>
      </w:r>
      <w:r>
        <w:rPr>
          <w:rFonts w:ascii="Times New Roman" w:cs="신명조" w:eastAsia="신명조" w:hAnsi="Times New Roman"/>
          <w:b w:val="false"/>
          <w:bCs w:val="false"/>
          <w:strike w:val="false"/>
          <w:color w:val="C00000"/>
          <w:sz w:val="22"/>
          <w:szCs w:val="22"/>
        </w:rPr>
        <w:t xml:space="preserve">. https://doi.org/10.1007/s13278-026-01647-8</w:t>
      </w:r>
    </w:p>
    <w:p>
      <w:pPr>
        <w:spacing w:after="0" w:line="384"/>
        <w:ind w:left="720" w:hanging="720"/>
      </w:pPr>
      <w:r>
        <w:rPr>
          <w:rFonts w:ascii="Times New Roman" w:cs="신명조" w:eastAsia="신명조" w:hAnsi="Times New Roman"/>
          <w:b w:val="false"/>
          <w:bCs w:val="false"/>
          <w:strike w:val="false"/>
          <w:color w:val="C00000"/>
          <w:sz w:val="22"/>
          <w:szCs w:val="22"/>
        </w:rPr>
        <w:t xml:space="preserve">Erskine, T. (2016). 13. Normative International Relations Theory. </w:t>
      </w:r>
      <w:r>
        <w:rPr>
          <w:rFonts w:ascii="Times New Roman" w:cs="신명조" w:eastAsia="신명조" w:hAnsi="Times New Roman"/>
          <w:b w:val="false"/>
          <w:bCs w:val="false"/>
          <w:i/>
          <w:iCs/>
          <w:strike w:val="false"/>
          <w:color w:val="C00000"/>
          <w:sz w:val="22"/>
          <w:szCs w:val="22"/>
        </w:rPr>
        <w:t xml:space="preserve">International Relations Theories</w:t>
      </w:r>
      <w:r>
        <w:rPr>
          <w:rFonts w:ascii="Times New Roman" w:cs="신명조" w:eastAsia="신명조" w:hAnsi="Times New Roman"/>
          <w:b w:val="false"/>
          <w:bCs w:val="false"/>
          <w:strike w:val="false"/>
          <w:color w:val="C00000"/>
          <w:sz w:val="22"/>
          <w:szCs w:val="22"/>
        </w:rPr>
        <w:t xml:space="preserve">. https://doi.org/10.1093/hepl/9780198707561.003.0014</w:t>
      </w:r>
    </w:p>
    <w:p>
      <w:pPr>
        <w:spacing w:after="0" w:line="384"/>
        <w:ind w:left="720" w:hanging="720"/>
      </w:pPr>
      <w:r>
        <w:rPr>
          <w:rFonts w:ascii="Times New Roman" w:cs="신명조" w:eastAsia="신명조" w:hAnsi="Times New Roman"/>
          <w:b w:val="false"/>
          <w:bCs w:val="false"/>
          <w:strike w:val="false"/>
          <w:color w:val="C00000"/>
          <w:sz w:val="22"/>
          <w:szCs w:val="22"/>
        </w:rPr>
        <w:t xml:space="preserve">Erskine, T. (2024). 15. Normative International Relations Theory. </w:t>
      </w:r>
      <w:r>
        <w:rPr>
          <w:rFonts w:ascii="Times New Roman" w:cs="신명조" w:eastAsia="신명조" w:hAnsi="Times New Roman"/>
          <w:b w:val="false"/>
          <w:bCs w:val="false"/>
          <w:i/>
          <w:iCs/>
          <w:strike w:val="false"/>
          <w:color w:val="C00000"/>
          <w:sz w:val="22"/>
          <w:szCs w:val="22"/>
        </w:rPr>
        <w:t xml:space="preserve">International Relations Theories</w:t>
      </w:r>
      <w:r>
        <w:rPr>
          <w:rFonts w:ascii="Times New Roman" w:cs="신명조" w:eastAsia="신명조" w:hAnsi="Times New Roman"/>
          <w:b w:val="false"/>
          <w:bCs w:val="false"/>
          <w:strike w:val="false"/>
          <w:color w:val="C00000"/>
          <w:sz w:val="22"/>
          <w:szCs w:val="22"/>
        </w:rPr>
        <w:t xml:space="preserve">, 264-291. https://doi.org/10.1093/hepl/9780192866455.003.0015</w:t>
      </w:r>
    </w:p>
    <w:p>
      <w:pPr>
        <w:spacing w:after="0" w:line="384"/>
        <w:ind w:left="720" w:hanging="720"/>
      </w:pPr>
      <w:r>
        <w:rPr>
          <w:rFonts w:ascii="Times New Roman" w:cs="신명조" w:eastAsia="신명조" w:hAnsi="Times New Roman"/>
          <w:b w:val="false"/>
          <w:bCs w:val="false"/>
          <w:strike w:val="false"/>
          <w:color w:val="C00000"/>
          <w:sz w:val="22"/>
          <w:szCs w:val="22"/>
        </w:rPr>
        <w:t xml:space="preserve">Dan, V. (2017a). An Introduction to Integrative Framing Analysis. </w:t>
      </w:r>
      <w:r>
        <w:rPr>
          <w:rFonts w:ascii="Times New Roman" w:cs="신명조" w:eastAsia="신명조" w:hAnsi="Times New Roman"/>
          <w:b w:val="false"/>
          <w:bCs w:val="false"/>
          <w:i/>
          <w:iCs/>
          <w:strike w:val="false"/>
          <w:color w:val="C00000"/>
          <w:sz w:val="22"/>
          <w:szCs w:val="22"/>
        </w:rPr>
        <w:t xml:space="preserve">Integrative Framing Analysis</w:t>
      </w:r>
      <w:r>
        <w:rPr>
          <w:rFonts w:ascii="Times New Roman" w:cs="신명조" w:eastAsia="신명조" w:hAnsi="Times New Roman"/>
          <w:b w:val="false"/>
          <w:bCs w:val="false"/>
          <w:strike w:val="false"/>
          <w:color w:val="C00000"/>
          <w:sz w:val="22"/>
          <w:szCs w:val="22"/>
        </w:rPr>
        <w:t xml:space="preserve">, 41-51. https://doi.org/10.4324/9781315171456-5</w:t>
      </w:r>
    </w:p>
    <w:p>
      <w:pPr>
        <w:spacing w:after="0" w:line="384"/>
        <w:ind w:left="720" w:hanging="720"/>
      </w:pPr>
      <w:r>
        <w:rPr>
          <w:rFonts w:ascii="Times New Roman" w:cs="신명조" w:eastAsia="신명조" w:hAnsi="Times New Roman"/>
          <w:b w:val="false"/>
          <w:bCs w:val="false"/>
          <w:strike w:val="false"/>
          <w:color w:val="C00000"/>
          <w:sz w:val="22"/>
          <w:szCs w:val="22"/>
        </w:rPr>
        <w:t xml:space="preserve">Dan, V. (2017c). Integrative Framing Analysis. </w:t>
      </w:r>
      <w:r>
        <w:rPr>
          <w:rFonts w:ascii="Times New Roman" w:cs="신명조" w:eastAsia="신명조" w:hAnsi="Times New Roman"/>
          <w:b w:val="false"/>
          <w:bCs w:val="false"/>
          <w:i/>
          <w:iCs/>
          <w:strike w:val="false"/>
          <w:color w:val="C00000"/>
          <w:sz w:val="22"/>
          <w:szCs w:val="22"/>
        </w:rPr>
        <w:t xml:space="preserve">Routledge</w:t>
      </w:r>
      <w:r>
        <w:rPr>
          <w:rFonts w:ascii="Times New Roman" w:cs="신명조" w:eastAsia="신명조" w:hAnsi="Times New Roman"/>
          <w:b w:val="false"/>
          <w:bCs w:val="false"/>
          <w:strike w:val="false"/>
          <w:color w:val="C00000"/>
          <w:sz w:val="22"/>
          <w:szCs w:val="22"/>
        </w:rPr>
        <w:t xml:space="preserve">. https://doi.org/10.4324/9781315171456</w:t>
      </w:r>
    </w:p>
    <w:p>
      <w:pPr>
        <w:spacing w:after="0" w:line="384"/>
        <w:ind w:left="720" w:hanging="720"/>
      </w:pPr>
      <w:r>
        <w:rPr>
          <w:rFonts w:ascii="Times New Roman" w:cs="신명조" w:eastAsia="신명조" w:hAnsi="Times New Roman"/>
          <w:b w:val="false"/>
          <w:bCs w:val="false"/>
          <w:strike w:val="false"/>
          <w:color w:val="C00000"/>
          <w:sz w:val="22"/>
          <w:szCs w:val="22"/>
        </w:rPr>
        <w:t xml:space="preserve">Dan, V. (2017e). Factors Influencing the Act of Framing. </w:t>
      </w:r>
      <w:r>
        <w:rPr>
          <w:rFonts w:ascii="Times New Roman" w:cs="신명조" w:eastAsia="신명조" w:hAnsi="Times New Roman"/>
          <w:b w:val="false"/>
          <w:bCs w:val="false"/>
          <w:i/>
          <w:iCs/>
          <w:strike w:val="false"/>
          <w:color w:val="C00000"/>
          <w:sz w:val="22"/>
          <w:szCs w:val="22"/>
        </w:rPr>
        <w:t xml:space="preserve">Integrative Framing Analysis</w:t>
      </w:r>
      <w:r>
        <w:rPr>
          <w:rFonts w:ascii="Times New Roman" w:cs="신명조" w:eastAsia="신명조" w:hAnsi="Times New Roman"/>
          <w:b w:val="false"/>
          <w:bCs w:val="false"/>
          <w:strike w:val="false"/>
          <w:color w:val="C00000"/>
          <w:sz w:val="22"/>
          <w:szCs w:val="22"/>
        </w:rPr>
        <w:t xml:space="preserve">, 33-40. https://doi.org/10.4324/9781315171456-4</w:t>
      </w:r>
    </w:p>
    <w:p>
      <w:pPr>
        <w:spacing w:after="0" w:line="384"/>
        <w:ind w:left="720" w:hanging="720"/>
      </w:pPr>
      <w:r>
        <w:rPr>
          <w:rFonts w:ascii="Times New Roman" w:cs="신명조" w:eastAsia="신명조" w:hAnsi="Times New Roman"/>
          <w:b w:val="false"/>
          <w:bCs w:val="false"/>
          <w:strike w:val="false"/>
          <w:color w:val="C00000"/>
          <w:sz w:val="22"/>
          <w:szCs w:val="22"/>
        </w:rPr>
        <w:t xml:space="preserve">Li, W., Shanahan, J., &amp; Liu, Y. (2026). Psychological distance and efficacy: analyzing the framing of climate change on US agricultural news websites using LLM-assisted content analysis. </w:t>
      </w:r>
      <w:r>
        <w:rPr>
          <w:rFonts w:ascii="Times New Roman" w:cs="신명조" w:eastAsia="신명조" w:hAnsi="Times New Roman"/>
          <w:b w:val="false"/>
          <w:bCs w:val="false"/>
          <w:i/>
          <w:iCs/>
          <w:strike w:val="false"/>
          <w:color w:val="C00000"/>
          <w:sz w:val="22"/>
          <w:szCs w:val="22"/>
        </w:rPr>
        <w:t xml:space="preserve">Frontiers in Communication, 11</w:t>
      </w:r>
      <w:r>
        <w:rPr>
          <w:rFonts w:ascii="Times New Roman" w:cs="신명조" w:eastAsia="신명조" w:hAnsi="Times New Roman"/>
          <w:b w:val="false"/>
          <w:bCs w:val="false"/>
          <w:strike w:val="false"/>
          <w:color w:val="C00000"/>
          <w:sz w:val="22"/>
          <w:szCs w:val="22"/>
        </w:rPr>
        <w:t xml:space="preserve">. https://doi.org/10.3389/fcomm.2026.1759296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신명조" w:cs="신명조" w:eastAsia="신명조" w:hAnsi="신명조"/>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2026-10-14T14:42:43.001Z</dcterms:created>
  <dcterms:modified xsi:type="dcterms:W3CDTF">2026-10-14T14:42:43.001Z</dcterms:modified>
</cp:coreProperties>
</file>

<file path=docProps/custom.xml><?xml version="1.0" encoding="utf-8"?>
<Properties xmlns="http://schemas.openxmlformats.org/officeDocument/2006/custom-properties" xmlns:vt="http://schemas.openxmlformats.org/officeDocument/2006/docPropsVTypes"/>
</file>