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84"/>
      </w:pPr>
      <w:r>
        <w:rPr>
          <w:rFonts w:ascii="Times New Roman" w:cs="신명조" w:eastAsia="신명조" w:hAnsi="Times New Roman"/>
          <w:b w:val="false"/>
          <w:bCs w:val="false"/>
          <w:strike w:val="false"/>
          <w:sz w:val="22"/>
          <w:szCs w:val="22"/>
        </w:rPr>
        <w:t xml:space="preserve">한국 언론과 학계의 AI 글로벌 거버넌스 담론 비교: 토픽 모형과 국제정치 이론 프레임 분석</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『인문사회과학연구』(국제인문사회연구학회, KCI 등재후보) 투고 후보용 편집본 v2. 투고규정은 확인하지 못해 일반 KCI 양식(APA식 인용)을 적용했다. 인문사회 일반 독자를 고려해 이론 개념 설명을 보강했다. 서론은 이번에 새로 쓴 초안이며 나머지 절은 각 초안을 합친 것이다. [확인] 표시는 저자가 결정하거나 원문을 확인해야 하는 곳이다. 표·그림 번호와 절 번호는 투고본에서 다시 매긴다.</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초록</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본 연구는 2019년 OECD AI 원칙 이후 2026년 9월까지 한국 언론과 학계가 AI 글로벌 거버넌스를 어떻게 다루었는지 비교하였다. 전국일간지 기사 4,631건과 KCI 논문 669편을 선별해 학술논문에 LDA 토픽모형(K=7)을 추정하고 뉴스에 투영한 뒤, 토픽별 층화 표본 180건을 현실주의·자유주의·구성주의 프레임으로 코딩하여 층 크기로 가중해 비중을 추정하였다. 현실주의 프레임의 비중은 뉴스 54%, 학계 21%였고 이 격차는 모든 연도와 코더, 토픽 수, 코퍼스 범위에서 유지되었다. 학계는 자유주의(33%)와 구성주의(36%)로 나뉘었으며 연도 변화가 작았고, 뉴스의 변화는 수출통제, 딥시크, 정상회담 같은 사건에 따른 토픽 구성의 변화와 겹쳤다. 다만 프레임 코딩의 독립 일치도(κ 0.51)가 보통 수준이고 층별 표본이 작아 토픽별 대응은 잠정적이다.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주제어</w:t>
      </w:r>
      <w:r>
        <w:rPr>
          <w:rFonts w:ascii="Times New Roman" w:cs="신명조" w:eastAsia="신명조" w:hAnsi="Times New Roman"/>
          <w:b w:val="false"/>
          <w:bCs w:val="false"/>
          <w:strike w:val="false"/>
          <w:sz w:val="22"/>
          <w:szCs w:val="22"/>
        </w:rPr>
        <w:t xml:space="preserve">: AI 거버넌스, 토픽모델링, 프레임 분석, 국제정치이론, 언론</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Abstract</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This study compares how Korean news media and academia discussed global AI governance from the adoption of the OECD AI Principles to September 2026. Using a frame-neutral relevance criterion, we selected 4,631 articles from 11 national dailies and 669 papers from KCI-indexed journals. We estimated an LDA topic model (K = 7) on the papers and projected the articles onto it, so that both discourses share one topic axis. A stratified sample of 180 documents across 18 topic strata was coded as realist, liberal, or constructivist frames, and frame shares were estimated with stratum-size weights. Of the news articles, 78.7% fell into the national-strategy and US-China competition topic, whereas the papers were spread across legal and institutional topics. The realist frame accounted for 54% of news but 21% of academic discourse, a gap that held across years, coders, topic numbers, and corpus definitions. Academic discourse split between liberal (33%) and constructivist (36%) frames with little change over time, whereas change in news coincided with event-driven shifts in topic composition. Inter-coder agreement on frames was moderate (kappa = 0.51) and strata samples were small, so topic-to-frame mappings are tentative.</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Keywords</w:t>
      </w:r>
      <w:r>
        <w:rPr>
          <w:rFonts w:ascii="Times New Roman" w:cs="신명조" w:eastAsia="신명조" w:hAnsi="Times New Roman"/>
          <w:b w:val="false"/>
          <w:bCs w:val="false"/>
          <w:strike w:val="false"/>
          <w:sz w:val="22"/>
          <w:szCs w:val="22"/>
        </w:rPr>
        <w:t xml:space="preserve">: AI governance, topic modeling, framing, international relations theory, news media</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Ⅰ. 서론</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연구 배경과 목적</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인공지능(AI)을 어떻게 규율할 것인가는 기술 정책의 문제를 넘어 국제정치의 문제가 되었다</w:t>
      </w:r>
      <w:r>
        <w:rPr>
          <w:rFonts w:ascii="Times New Roman" w:cs="신명조" w:eastAsia="신명조" w:hAnsi="Times New Roman"/>
          <w:b w:val="false"/>
          <w:bCs w:val="false"/>
          <w:strike w:val="false"/>
          <w:color w:val="C00000"/>
          <w:sz w:val="22"/>
          <w:szCs w:val="22"/>
        </w:rPr>
        <w:t xml:space="preserve"> (Yilma, 2025; Tallberg, 2026)</w:t>
      </w:r>
      <w:r>
        <w:rPr>
          <w:rFonts w:ascii="Times New Roman" w:cs="신명조" w:eastAsia="신명조" w:hAnsi="Times New Roman"/>
          <w:b w:val="false"/>
          <w:bCs w:val="false"/>
          <w:strike w:val="false"/>
          <w:sz w:val="22"/>
          <w:szCs w:val="22"/>
        </w:rPr>
        <w:t xml:space="preserve">. 2019년 OECD가 AI 원칙을 채택한 뒤 유럽연합은 2024년에 포괄적 AI 규제법을 제정했고</w:t>
      </w:r>
      <w:r>
        <w:rPr>
          <w:rFonts w:ascii="Times New Roman" w:cs="신명조" w:eastAsia="신명조" w:hAnsi="Times New Roman"/>
          <w:b w:val="false"/>
          <w:bCs w:val="false"/>
          <w:strike w:val="false"/>
          <w:color w:val="C00000"/>
          <w:sz w:val="22"/>
          <w:szCs w:val="22"/>
        </w:rPr>
        <w:t xml:space="preserve"> (안준철, 2024), </w:t>
      </w:r>
      <w:r>
        <w:rPr>
          <w:rFonts w:ascii="Times New Roman" w:cs="신명조" w:eastAsia="신명조" w:hAnsi="Times New Roman"/>
          <w:b w:val="false"/>
          <w:bCs w:val="false"/>
          <w:strike w:val="false"/>
          <w:sz w:val="22"/>
          <w:szCs w:val="22"/>
        </w:rPr>
        <w:t xml:space="preserve">미국과 중국은 반도체 수출통제와 기술 표준, 군사 활용을 둘러싸고 경쟁하고 있으며</w:t>
      </w:r>
      <w:r>
        <w:rPr>
          <w:rFonts w:ascii="Times New Roman" w:cs="신명조" w:eastAsia="신명조" w:hAnsi="Times New Roman"/>
          <w:b w:val="false"/>
          <w:bCs w:val="false"/>
          <w:strike w:val="false"/>
          <w:color w:val="C00000"/>
          <w:sz w:val="22"/>
          <w:szCs w:val="22"/>
        </w:rPr>
        <w:t xml:space="preserve"> (Cheng &amp; Zeng, 2022; 윤정현, 2026), </w:t>
      </w:r>
      <w:r>
        <w:rPr>
          <w:rFonts w:ascii="Times New Roman" w:cs="신명조" w:eastAsia="신명조" w:hAnsi="Times New Roman"/>
          <w:b w:val="false"/>
          <w:bCs w:val="false"/>
          <w:strike w:val="false"/>
          <w:sz w:val="22"/>
          <w:szCs w:val="22"/>
        </w:rPr>
        <w:t xml:space="preserve">유엔과 G7 등 다자 무대에서도 AI 규범 논의가 이어졌다</w:t>
      </w:r>
      <w:r>
        <w:rPr>
          <w:rFonts w:ascii="Times New Roman" w:cs="신명조" w:eastAsia="신명조" w:hAnsi="Times New Roman"/>
          <w:b w:val="false"/>
          <w:bCs w:val="false"/>
          <w:strike w:val="false"/>
          <w:color w:val="C00000"/>
          <w:sz w:val="22"/>
          <w:szCs w:val="22"/>
        </w:rPr>
        <w:t xml:space="preserve"> (Hasan, 2026; Maas, 2025)</w:t>
      </w:r>
      <w:r>
        <w:rPr>
          <w:rFonts w:ascii="Times New Roman" w:cs="신명조" w:eastAsia="신명조" w:hAnsi="Times New Roman"/>
          <w:b w:val="false"/>
          <w:bCs w:val="false"/>
          <w:strike w:val="false"/>
          <w:sz w:val="22"/>
          <w:szCs w:val="22"/>
        </w:rPr>
        <w:t xml:space="preserve">. 한국은 2024년 5월 영국과 함께 AI 서울 정상회의를 공동 개최하였고, 2025년 1월 21일 인공지능 기본법을 공포하였다</w:t>
      </w:r>
      <w:r>
        <w:rPr>
          <w:rFonts w:ascii="Times New Roman" w:cs="신명조" w:eastAsia="신명조" w:hAnsi="Times New Roman"/>
          <w:b w:val="false"/>
          <w:bCs w:val="false"/>
          <w:strike w:val="false"/>
          <w:color w:val="C00000"/>
          <w:sz w:val="22"/>
          <w:szCs w:val="22"/>
        </w:rPr>
        <w:t xml:space="preserve"> [확인: 국가법령정보센터 원문] (김지상, 2026)</w:t>
      </w:r>
      <w:r>
        <w:rPr>
          <w:rFonts w:ascii="Times New Roman" w:cs="신명조" w:eastAsia="신명조" w:hAnsi="Times New Roman"/>
          <w:b w:val="false"/>
          <w:bCs w:val="false"/>
          <w:strike w:val="false"/>
          <w:sz w:val="22"/>
          <w:szCs w:val="22"/>
        </w:rPr>
        <w:t xml:space="preserve">. 이런 흐름 속에서 한국의 언론과 학계는 AI 글로벌 거버넌스를 서로 같은 방식으로 다루고 있는가. 언론은 사건과 경쟁을 중심으로, 학계는 제도와 규범을 중심으로 다루리라는 짐작은 있으나 이를 같은 기준으로 비교한 연구는 확인하지 못했다 [확인: 학술DB 직접 검색 필요].</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본 연구는 2019년 5월부터 2026년 9월까지 한국 전국일간지 기사와 KCI 등재지·등재후보지 논문을 대상으로 AI 글로벌 거버넌스 담론의 주제와 프레임을 비교한다. 먼저 학술논문에서 LDA 토픽모형을 추정하고 이를 뉴스에 투영해 두 담론을 같은 주제 축 위에 놓는다</w:t>
      </w:r>
      <w:r>
        <w:rPr>
          <w:rFonts w:ascii="Times New Roman" w:cs="신명조" w:eastAsia="신명조" w:hAnsi="Times New Roman"/>
          <w:b w:val="false"/>
          <w:bCs w:val="false"/>
          <w:strike w:val="false"/>
          <w:color w:val="C00000"/>
          <w:sz w:val="22"/>
          <w:szCs w:val="22"/>
        </w:rPr>
        <w:t xml:space="preserve"> (Dami &amp; Madadi, 2022; Zhao et al., 2023). </w:t>
      </w:r>
      <w:r>
        <w:rPr>
          <w:rFonts w:ascii="Times New Roman" w:cs="신명조" w:eastAsia="신명조" w:hAnsi="Times New Roman"/>
          <w:b w:val="false"/>
          <w:bCs w:val="false"/>
          <w:strike w:val="false"/>
          <w:sz w:val="22"/>
          <w:szCs w:val="22"/>
        </w:rPr>
        <w:t xml:space="preserve">이어 토픽별 표본을 국제정치학의 세 이론 전통(현실주의, 자유주의, 구성주의)에 비추어 코딩하여 토픽을 프레임으로 재해석하고 두 담론의 프레임 비중을 추정한다</w:t>
      </w:r>
      <w:r>
        <w:rPr>
          <w:rFonts w:ascii="Times New Roman" w:cs="신명조" w:eastAsia="신명조" w:hAnsi="Times New Roman"/>
          <w:b w:val="false"/>
          <w:bCs w:val="false"/>
          <w:strike w:val="false"/>
          <w:color w:val="C00000"/>
          <w:sz w:val="22"/>
          <w:szCs w:val="22"/>
        </w:rPr>
        <w:t xml:space="preserve"> (McCourt, 2022a; Borah, 2018)</w:t>
      </w:r>
      <w:r>
        <w:rPr>
          <w:rFonts w:ascii="Times New Roman" w:cs="신명조" w:eastAsia="신명조" w:hAnsi="Times New Roman"/>
          <w:b w:val="false"/>
          <w:bCs w:val="false"/>
          <w:strike w:val="false"/>
          <w:sz w:val="22"/>
          <w:szCs w:val="22"/>
        </w:rPr>
        <w:t xml:space="preserve">. 연구 문제는 두 가지이다. 언론과 학계는 어떤 정책 주제를 얼마나 다루는가(연구 문제 1), 두 담론은 어떤 이론 프레임으로 구성되며 시기에 따라 어떻게 달라지는가(연구 문제 2).</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논문의 구성</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이하 Ⅱ장에서 AI 거버넌스에 대한 이론과 선행연구를 검토하고, Ⅲ장에서 자료와 분석 방법을, Ⅳ장에서 결과를 제시한다. Ⅴ장에서는 결과를 해석하고 한계와 후속 연구를 논의한다.</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Ⅱ. 이론적 배경</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AI 거버넌스의 국제정치적 성격</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인공지능(AI)을 규율하는 국제 규범은 하나의 조약이나 기구가 아니라 여러 기구와 문서가 겹쳐 있는 형태로 발전해 왔다</w:t>
      </w:r>
      <w:r>
        <w:rPr>
          <w:rFonts w:ascii="Times New Roman" w:cs="신명조" w:eastAsia="신명조" w:hAnsi="Times New Roman"/>
          <w:b w:val="false"/>
          <w:bCs w:val="false"/>
          <w:strike w:val="false"/>
          <w:color w:val="C00000"/>
          <w:sz w:val="22"/>
          <w:szCs w:val="22"/>
        </w:rPr>
        <w:t xml:space="preserve"> (Maas, 2025; Schmitt, 2021). Raustiala와 Victor</w:t>
      </w:r>
      <w:r>
        <w:rPr>
          <w:rFonts w:ascii="Times New Roman" w:cs="신명조" w:eastAsia="신명조" w:hAnsi="Times New Roman"/>
          <w:b w:val="false"/>
          <w:bCs w:val="false"/>
          <w:strike w:val="false"/>
          <w:sz w:val="22"/>
          <w:szCs w:val="22"/>
        </w:rPr>
        <w:t xml:space="preserve">는 부분적으로 겹치는 비위계적 레짐의 집합을 레짐 복합체로 개념화하고, 이런 복합체에서는 한 레짐의 규칙이 인접 레짐의 규칙과 충분히 조율되지 않아 법적 불일치가 생기기 쉽다고 보았다. AI 분야에서도 Cihon, Maas와 Kemp가 국제 AI 거버넌스를 분절 상태로 둘지 중앙집중할지의 문제를 환경·무역·안보 레짐의 사례에 비추어 논의하며, 당분간은 분절이 이어질 가능성이 높다고 전망하였다</w:t>
      </w:r>
      <w:r>
        <w:rPr>
          <w:rFonts w:ascii="Times New Roman" w:cs="신명조" w:eastAsia="신명조" w:hAnsi="Times New Roman"/>
          <w:b w:val="false"/>
          <w:bCs w:val="false"/>
          <w:strike w:val="false"/>
          <w:color w:val="C00000"/>
          <w:sz w:val="22"/>
          <w:szCs w:val="22"/>
        </w:rPr>
        <w:t xml:space="preserve"> (Roberts et al., 2024). Schmitt</w:t>
      </w:r>
      <w:r>
        <w:rPr>
          <w:rFonts w:ascii="Times New Roman" w:cs="신명조" w:eastAsia="신명조" w:hAnsi="Times New Roman"/>
          <w:b w:val="false"/>
          <w:bCs w:val="false"/>
          <w:strike w:val="false"/>
          <w:sz w:val="22"/>
          <w:szCs w:val="22"/>
        </w:rPr>
        <w:t xml:space="preserve">는 이 분절된 지형을 행위자 유형과 기존 거버넌스 구조 내 여부로 분류하고, 국제기구가 예상보다 독립적으로 움직이며 OECD를 중심으로 다중심적 레짐이 형성되고 있다고 보았다</w:t>
      </w:r>
      <w:r>
        <w:rPr>
          <w:rFonts w:ascii="Times New Roman" w:cs="신명조" w:eastAsia="신명조" w:hAnsi="Times New Roman"/>
          <w:b w:val="false"/>
          <w:bCs w:val="false"/>
          <w:strike w:val="false"/>
          <w:color w:val="C00000"/>
          <w:sz w:val="22"/>
          <w:szCs w:val="22"/>
        </w:rPr>
        <w:t xml:space="preserve"> (Schmitt, 2021)</w:t>
      </w:r>
      <w:r>
        <w:rPr>
          <w:rFonts w:ascii="Times New Roman" w:cs="신명조" w:eastAsia="신명조" w:hAnsi="Times New Roman"/>
          <w:b w:val="false"/>
          <w:bCs w:val="false"/>
          <w:strike w:val="false"/>
          <w:sz w:val="22"/>
          <w:szCs w:val="22"/>
        </w:rPr>
        <w:t xml:space="preserve">. 본 연구가 2019년 OECD AI 원칙 채택 이후를 분석 기간으로 삼는 것은 이러한 레짐 형성의 출발점을 고려한 것이다.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이 지형은 협력만으로 구성되지 않는다. Morse와 Keohane은 국가, 국제기구, 비국가 행위자가 다자 제도를 이용해 기존 제도의 규칙과 관행에 도전하는 경합적 다자주의를 제시하고, 이를 기존 레짐의 변화를 이해하는 틀로 활용하였다. 이 틀에 따르면 AI 규범은 합의된 원칙의 집합이라기보다 여러 행위자가 서로 다른 기구와 문서를 통해 규칙의 주도권을 다투는 장이다</w:t>
      </w:r>
      <w:r>
        <w:rPr>
          <w:rFonts w:ascii="Times New Roman" w:cs="신명조" w:eastAsia="신명조" w:hAnsi="Times New Roman"/>
          <w:b w:val="false"/>
          <w:bCs w:val="false"/>
          <w:strike w:val="false"/>
          <w:color w:val="C00000"/>
          <w:sz w:val="22"/>
          <w:szCs w:val="22"/>
        </w:rPr>
        <w:t xml:space="preserve"> (Hasan, 2026; 하윤빈, 2026)</w:t>
      </w:r>
      <w:r>
        <w:rPr>
          <w:rFonts w:ascii="Times New Roman" w:cs="신명조" w:eastAsia="신명조" w:hAnsi="Times New Roman"/>
          <w:b w:val="false"/>
          <w:bCs w:val="false"/>
          <w:strike w:val="false"/>
          <w:sz w:val="22"/>
          <w:szCs w:val="22"/>
        </w:rPr>
        <w:t xml:space="preserve">. 따라서 같은 사건도 어떤 행위자에게는 제도 설계의 문제로, 다른 행위자에게는 경쟁과 안보의 문제로 해석될 수 있다. 이것이 본 연구가 언론과 학계의 담론을 단일한 ‘국제 규범’ 담론으로 보지 않고 이론 전통별 프레임으로 구분해 비교하는 이유이다.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세 이론 전통과 AI 담론</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국제정치학의 세 이론 전통은 같은 현상을 서로 다른 질문으로 본다</w:t>
      </w:r>
      <w:r>
        <w:rPr>
          <w:rFonts w:ascii="Times New Roman" w:cs="신명조" w:eastAsia="신명조" w:hAnsi="Times New Roman"/>
          <w:b w:val="false"/>
          <w:bCs w:val="false"/>
          <w:strike w:val="false"/>
          <w:color w:val="C00000"/>
          <w:sz w:val="22"/>
          <w:szCs w:val="22"/>
        </w:rPr>
        <w:t xml:space="preserve"> (Tallberg, 2026)</w:t>
      </w:r>
      <w:r>
        <w:rPr>
          <w:rFonts w:ascii="Times New Roman" w:cs="신명조" w:eastAsia="신명조" w:hAnsi="Times New Roman"/>
          <w:b w:val="false"/>
          <w:bCs w:val="false"/>
          <w:strike w:val="false"/>
          <w:sz w:val="22"/>
          <w:szCs w:val="22"/>
        </w:rPr>
        <w:t xml:space="preserve">. 현실주의는 국가 간 힘의 분포와 안보, 경쟁에 주목하고, 자유주의는 국제기구와 규칙, 협력이 국가 행동을 바꾸는 방식에 주목하며, 구성주의는 규범과 가치, 정체성이 무엇을 정당한 행동으로 만드는지에 주목한다</w:t>
      </w:r>
      <w:r>
        <w:rPr>
          <w:rFonts w:ascii="Times New Roman" w:cs="신명조" w:eastAsia="신명조" w:hAnsi="Times New Roman"/>
          <w:b w:val="false"/>
          <w:bCs w:val="false"/>
          <w:strike w:val="false"/>
          <w:color w:val="C00000"/>
          <w:sz w:val="22"/>
          <w:szCs w:val="22"/>
        </w:rPr>
        <w:t xml:space="preserve"> (McCourt, 2022b; McCourt, 2022f)</w:t>
      </w:r>
      <w:r>
        <w:rPr>
          <w:rFonts w:ascii="Times New Roman" w:cs="신명조" w:eastAsia="신명조" w:hAnsi="Times New Roman"/>
          <w:b w:val="false"/>
          <w:bCs w:val="false"/>
          <w:strike w:val="false"/>
          <w:sz w:val="22"/>
          <w:szCs w:val="22"/>
        </w:rPr>
        <w:t xml:space="preserve">. 본 연구는 이 세 전통을 AI 담론이 문제를 규정하고 처방을 정당화하는 논거의 유형으로 조작화해 쓴다.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2.1 현실주의: 힘, 경쟁, 안보</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현실주의적 시각에서 AI는 국가 간 힘의 분포에 영향을 주는 기술이다</w:t>
      </w:r>
      <w:r>
        <w:rPr>
          <w:rFonts w:ascii="Times New Roman" w:cs="신명조" w:eastAsia="신명조" w:hAnsi="Times New Roman"/>
          <w:b w:val="false"/>
          <w:bCs w:val="false"/>
          <w:strike w:val="false"/>
          <w:color w:val="C00000"/>
          <w:sz w:val="22"/>
          <w:szCs w:val="22"/>
        </w:rPr>
        <w:t xml:space="preserve"> (윤정현, 2026). Horowitz</w:t>
      </w:r>
      <w:r>
        <w:rPr>
          <w:rFonts w:ascii="Times New Roman" w:cs="신명조" w:eastAsia="신명조" w:hAnsi="Times New Roman"/>
          <w:b w:val="false"/>
          <w:bCs w:val="false"/>
          <w:strike w:val="false"/>
          <w:sz w:val="22"/>
          <w:szCs w:val="22"/>
        </w:rPr>
        <w:t xml:space="preserve">는 AI를 전기나 내연기관처럼 다양한 영역에 퍼지는 촉진 기술로 보고, 그것이 군사력과 국제정치에 미칠 영향과 선발자 이익이 생기는지를 논의하였다. 국내에서도 AI 반도체 공급망과 미국의 수출통제</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sz w:val="22"/>
          <w:szCs w:val="22"/>
        </w:rPr>
        <w:t xml:space="preserve">기술·플랫폼 경쟁과 규제·담론 경쟁, 외교·군비 경쟁의 세 차원에서 본 미중 AI 패권경쟁</w:t>
      </w:r>
      <w:r>
        <w:rPr>
          <w:rFonts w:ascii="Times New Roman" w:cs="신명조" w:eastAsia="신명조" w:hAnsi="Times New Roman"/>
          <w:b w:val="false"/>
          <w:bCs w:val="false"/>
          <w:strike w:val="false"/>
          <w:color w:val="C00000"/>
          <w:sz w:val="22"/>
          <w:szCs w:val="22"/>
        </w:rPr>
        <w:t xml:space="preserve">, AI 군사력 경쟁과 군사 규범 경쟁, </w:t>
      </w:r>
      <w:r>
        <w:rPr>
          <w:rFonts w:ascii="Times New Roman" w:cs="신명조" w:eastAsia="신명조" w:hAnsi="Times New Roman"/>
          <w:b w:val="false"/>
          <w:bCs w:val="false"/>
          <w:strike w:val="false"/>
          <w:sz w:val="22"/>
          <w:szCs w:val="22"/>
        </w:rPr>
        <w:t xml:space="preserve">AI·자율무기체계를 중심으로 본 세력 전이</w:t>
      </w:r>
      <w:r>
        <w:rPr>
          <w:rFonts w:ascii="Times New Roman" w:cs="신명조" w:eastAsia="신명조" w:hAnsi="Times New Roman"/>
          <w:b w:val="false"/>
          <w:bCs w:val="false"/>
          <w:strike w:val="false"/>
          <w:color w:val="C00000"/>
          <w:sz w:val="22"/>
          <w:szCs w:val="22"/>
        </w:rPr>
        <w:t xml:space="preserve">가 연구되었다 (이상훈, 권혁진, 2025)</w:t>
      </w:r>
      <w:r>
        <w:rPr>
          <w:rFonts w:ascii="Times New Roman" w:cs="신명조" w:eastAsia="신명조" w:hAnsi="Times New Roman"/>
          <w:b w:val="false"/>
          <w:bCs w:val="false"/>
          <w:strike w:val="false"/>
          <w:sz w:val="22"/>
          <w:szCs w:val="22"/>
        </w:rPr>
        <w:t xml:space="preserve">. 이 계열의 담론은 수출통제, 군사 활용, 기술 패권, 산업 육성과 경쟁력 확보를 문제 정의와 처방의 중심에 둔다</w:t>
      </w:r>
      <w:r>
        <w:rPr>
          <w:rFonts w:ascii="Times New Roman" w:cs="신명조" w:eastAsia="신명조" w:hAnsi="Times New Roman"/>
          <w:b w:val="false"/>
          <w:bCs w:val="false"/>
          <w:strike w:val="false"/>
          <w:color w:val="C00000"/>
          <w:sz w:val="22"/>
          <w:szCs w:val="22"/>
        </w:rPr>
        <w:t xml:space="preserve"> (김태훈, 이성엽, 2025)</w:t>
      </w:r>
      <w:r>
        <w:rPr>
          <w:rFonts w:ascii="Times New Roman" w:cs="신명조" w:eastAsia="신명조" w:hAnsi="Times New Roman"/>
          <w:b w:val="false"/>
          <w:bCs w:val="false"/>
          <w:strike w:val="false"/>
          <w:sz w:val="22"/>
          <w:szCs w:val="22"/>
        </w:rPr>
        <w:t xml:space="preserve">. 본 연구는 이러한 논거를 현실주의 프레임으로 조작화한다.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2.2 자유주의: 제도, 규칙, 협력</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자유주의적 시각은 AI 문제를 규칙과 제도의 설계, 조화, 협력으로 풀려는 접근에 초점을 둔다</w:t>
      </w:r>
      <w:r>
        <w:rPr>
          <w:rFonts w:ascii="Times New Roman" w:cs="신명조" w:eastAsia="신명조" w:hAnsi="Times New Roman"/>
          <w:b w:val="false"/>
          <w:bCs w:val="false"/>
          <w:strike w:val="false"/>
          <w:color w:val="C00000"/>
          <w:sz w:val="22"/>
          <w:szCs w:val="22"/>
        </w:rPr>
        <w:t xml:space="preserve"> (Pasupuleti, 2024)</w:t>
      </w:r>
      <w:r>
        <w:rPr>
          <w:rFonts w:ascii="Times New Roman" w:cs="신명조" w:eastAsia="신명조" w:hAnsi="Times New Roman"/>
          <w:b w:val="false"/>
          <w:bCs w:val="false"/>
          <w:strike w:val="false"/>
          <w:sz w:val="22"/>
          <w:szCs w:val="22"/>
        </w:rPr>
        <w:t xml:space="preserve">. 국제기구와 다자 협의체가 AI 정책의 조율 장치로 기능한다는 점과 분절된 거버넌스를 조정할 제도 설계의 쟁점</w:t>
      </w:r>
      <w:r>
        <w:rPr>
          <w:rFonts w:ascii="Times New Roman" w:cs="신명조" w:eastAsia="신명조" w:hAnsi="Times New Roman"/>
          <w:b w:val="false"/>
          <w:bCs w:val="false"/>
          <w:strike w:val="false"/>
          <w:color w:val="C00000"/>
          <w:sz w:val="22"/>
          <w:szCs w:val="22"/>
        </w:rPr>
        <w:t xml:space="preserve">이 이 시각의 관심사이다 (Albert, 2026). 규제의 역외 확산을 논하는 연구</w:t>
      </w:r>
      <w:r>
        <w:rPr>
          <w:rFonts w:ascii="Times New Roman" w:cs="신명조" w:eastAsia="신명조" w:hAnsi="Times New Roman"/>
          <w:b w:val="false"/>
          <w:bCs w:val="false"/>
          <w:strike w:val="false"/>
          <w:sz w:val="22"/>
          <w:szCs w:val="22"/>
        </w:rPr>
        <w:t xml:space="preserve">도 규제 체계의 설계와 조화라는 관점에서 이 범주와 연결된다</w:t>
      </w:r>
      <w:r>
        <w:rPr>
          <w:rFonts w:ascii="Times New Roman" w:cs="신명조" w:eastAsia="신명조" w:hAnsi="Times New Roman"/>
          <w:b w:val="false"/>
          <w:bCs w:val="false"/>
          <w:strike w:val="false"/>
          <w:color w:val="C00000"/>
          <w:sz w:val="22"/>
          <w:szCs w:val="22"/>
        </w:rPr>
        <w:t xml:space="preserve"> (안준철, 2024)</w:t>
      </w:r>
      <w:r>
        <w:rPr>
          <w:rFonts w:ascii="Times New Roman" w:cs="신명조" w:eastAsia="신명조" w:hAnsi="Times New Roman"/>
          <w:b w:val="false"/>
          <w:bCs w:val="false"/>
          <w:strike w:val="false"/>
          <w:sz w:val="22"/>
          <w:szCs w:val="22"/>
        </w:rPr>
        <w:t xml:space="preserve">. 학계에서 EU AI Act와 각국 입법을 비교하는 법·정책 연구가 많다는 점을 고려하면, 이 프레임은 학계 담론에서 비중이 클 가능성이 있다</w:t>
      </w:r>
      <w:r>
        <w:rPr>
          <w:rFonts w:ascii="Times New Roman" w:cs="신명조" w:eastAsia="신명조" w:hAnsi="Times New Roman"/>
          <w:b w:val="false"/>
          <w:bCs w:val="false"/>
          <w:strike w:val="false"/>
          <w:color w:val="C00000"/>
          <w:sz w:val="22"/>
          <w:szCs w:val="22"/>
        </w:rPr>
        <w:t xml:space="preserve"> (김동휴, 박희진, 2025; 김유정, 2026)</w:t>
      </w:r>
      <w:r>
        <w:rPr>
          <w:rFonts w:ascii="Times New Roman" w:cs="신명조" w:eastAsia="신명조" w:hAnsi="Times New Roman"/>
          <w:b w:val="false"/>
          <w:bCs w:val="false"/>
          <w:strike w:val="false"/>
          <w:sz w:val="22"/>
          <w:szCs w:val="22"/>
        </w:rPr>
        <w:t xml:space="preserve">. 본 연구는 규칙과 제도의 설계·정합·조화·협력·표준을 논거로 하는 담론을 자유주의 프레임으로 분류한다.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2.3 구성주의: 규범, 가치, 정당성</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구성주의는 규범이 행위자의 정체성과 이익을 구성하며 규범이 생애주기를 거쳐 확산·내면화된다고 본다</w:t>
      </w:r>
      <w:r>
        <w:rPr>
          <w:rFonts w:ascii="Times New Roman" w:cs="신명조" w:eastAsia="신명조" w:hAnsi="Times New Roman"/>
          <w:b w:val="false"/>
          <w:bCs w:val="false"/>
          <w:strike w:val="false"/>
          <w:color w:val="C00000"/>
          <w:sz w:val="22"/>
          <w:szCs w:val="22"/>
        </w:rPr>
        <w:t xml:space="preserve"> (McCourt, 2022e</w:t>
      </w:r>
      <w:r>
        <w:rPr>
          <w:rFonts w:ascii="Times New Roman" w:cs="신명조" w:eastAsia="신명조" w:hAnsi="Times New Roman"/>
          <w:b w:val="false"/>
          <w:bCs w:val="false"/>
          <w:strike w:val="false"/>
          <w:sz w:val="22"/>
          <w:szCs w:val="22"/>
        </w:rPr>
        <w:t xml:space="preserve">). AI 윤리 지침을 검토한 연구들은 투명성, 정의·공정성, 비해악, 책임, 프라이버시의 다섯 원칙으로 지침이 수렴하되 해석과 이행 방식은 크게 갈린다고 보고하였고</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sz w:val="22"/>
          <w:szCs w:val="22"/>
        </w:rPr>
        <w:t xml:space="preserve">지침이 실제 연구와 개발 관행에서 얼마나 구현되는지에 대한 비판적 평가도 있다</w:t>
      </w:r>
      <w:r>
        <w:rPr>
          <w:rFonts w:ascii="Times New Roman" w:cs="신명조" w:eastAsia="신명조" w:hAnsi="Times New Roman"/>
          <w:b w:val="false"/>
          <w:bCs w:val="false"/>
          <w:strike w:val="false"/>
          <w:color w:val="C00000"/>
          <w:sz w:val="22"/>
          <w:szCs w:val="22"/>
        </w:rPr>
        <w:t xml:space="preserve"> (안소영, 2025; 박선형, 2024</w:t>
      </w:r>
      <w:r>
        <w:rPr>
          <w:rFonts w:ascii="Times New Roman" w:cs="신명조" w:eastAsia="신명조" w:hAnsi="Times New Roman"/>
          <w:b w:val="false"/>
          <w:bCs w:val="false"/>
          <w:strike w:val="false"/>
          <w:sz w:val="22"/>
          <w:szCs w:val="22"/>
        </w:rPr>
        <w:t xml:space="preserve">). 중국의 AI 정책과 윤리·규제를 분석한 연구는 규범과 윤리 담론이 국가마다 다른 정치적 맥락에서 만들어짐을 보여 준다</w:t>
      </w:r>
      <w:r>
        <w:rPr>
          <w:rFonts w:ascii="Times New Roman" w:cs="신명조" w:eastAsia="신명조" w:hAnsi="Times New Roman"/>
          <w:b w:val="false"/>
          <w:bCs w:val="false"/>
          <w:strike w:val="false"/>
          <w:color w:val="C00000"/>
          <w:sz w:val="22"/>
          <w:szCs w:val="22"/>
        </w:rPr>
        <w:t xml:space="preserve"> (이재숭, 2022; 구오단양, 2024)</w:t>
      </w:r>
      <w:r>
        <w:rPr>
          <w:rFonts w:ascii="Times New Roman" w:cs="신명조" w:eastAsia="신명조" w:hAnsi="Times New Roman"/>
          <w:b w:val="false"/>
          <w:bCs w:val="false"/>
          <w:strike w:val="false"/>
          <w:sz w:val="22"/>
          <w:szCs w:val="22"/>
        </w:rPr>
        <w:t xml:space="preserve">. 본 연구는 권리, 윤리, 책임, 가치, 정당성을 논거로 하는 담론을 구성주의 프레임으로 분류한다</w:t>
      </w:r>
      <w:r>
        <w:rPr>
          <w:rFonts w:ascii="Times New Roman" w:cs="신명조" w:eastAsia="신명조" w:hAnsi="Times New Roman"/>
          <w:b w:val="false"/>
          <w:bCs w:val="false"/>
          <w:strike w:val="false"/>
          <w:color w:val="C00000"/>
          <w:sz w:val="22"/>
          <w:szCs w:val="22"/>
        </w:rPr>
        <w:t xml:space="preserve"> (윤혜선, 2024; 서요련, 2026)</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3. 뉴스와 학계 담론에 대한 선행연구</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AI에 대한 뉴스 프레이밍 연구는 주로 미국 신문을 대상으로 이루어졌다</w:t>
      </w:r>
      <w:r>
        <w:rPr>
          <w:rFonts w:ascii="Times New Roman" w:cs="신명조" w:eastAsia="신명조" w:hAnsi="Times New Roman"/>
          <w:b w:val="false"/>
          <w:bCs w:val="false"/>
          <w:strike w:val="false"/>
          <w:color w:val="C00000"/>
          <w:sz w:val="22"/>
          <w:szCs w:val="22"/>
        </w:rPr>
        <w:t xml:space="preserve"> (Song, 2024; Parveen &amp; Showkat, 2020). Chuan, Tsai와 Cho</w:t>
      </w:r>
      <w:r>
        <w:rPr>
          <w:rFonts w:ascii="Times New Roman" w:cs="신명조" w:eastAsia="신명조" w:hAnsi="Times New Roman"/>
          <w:b w:val="false"/>
          <w:bCs w:val="false"/>
          <w:strike w:val="false"/>
          <w:sz w:val="22"/>
          <w:szCs w:val="22"/>
        </w:rPr>
        <w:t xml:space="preserve">는 미국 5개 일간지 기사에서 비즈니스와 기술 주제가 주를 이루고, 이익이 위험보다 더 자주 언급되지만 위험은 더 구체적으로 서술된다고 보고하였다. Cools, Van Gorp와 Opgenhaffen은 1985~2020년 두 신문 기사에 LDA 토픽모델링과 귀납적 프레임 분석을 결합해, 일·예술·교육 주제가 두드러지고 전반적으로 낙관적이며 디스토피아 프레임은 윤리 문제에 주목한다고 하였다</w:t>
      </w:r>
      <w:r>
        <w:rPr>
          <w:rFonts w:ascii="Times New Roman" w:cs="신명조" w:eastAsia="신명조" w:hAnsi="Times New Roman"/>
          <w:b w:val="false"/>
          <w:bCs w:val="false"/>
          <w:strike w:val="false"/>
          <w:color w:val="C00000"/>
          <w:sz w:val="22"/>
          <w:szCs w:val="22"/>
        </w:rPr>
        <w:t xml:space="preserve"> (Ozyurt et al., 2024). </w:t>
      </w:r>
      <w:r>
        <w:rPr>
          <w:rFonts w:ascii="Times New Roman" w:cs="신명조" w:eastAsia="신명조" w:hAnsi="Times New Roman"/>
          <w:b w:val="false"/>
          <w:bCs w:val="false"/>
          <w:strike w:val="false"/>
          <w:sz w:val="22"/>
          <w:szCs w:val="22"/>
        </w:rPr>
        <w:t xml:space="preserve">본 연구도 토픽모델링과 프레임 해석을 결합하지만, 낙관·비관의 가치 프레임이 아니라 국제정치 이론에 기반한 프레임을 쓴다는 점에서 구별된다</w:t>
      </w:r>
      <w:r>
        <w:rPr>
          <w:rFonts w:ascii="Times New Roman" w:cs="신명조" w:eastAsia="신명조" w:hAnsi="Times New Roman"/>
          <w:b w:val="false"/>
          <w:bCs w:val="false"/>
          <w:strike w:val="false"/>
          <w:color w:val="C00000"/>
          <w:sz w:val="22"/>
          <w:szCs w:val="22"/>
        </w:rPr>
        <w:t xml:space="preserve"> (Harrison, 2020; Borah, 2018)</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국내 연구는 AI 보도의 발전·위기 가치 프레임과 인간 통제 가능성의 귀인 프레임을 분석하거나, 보도 내용과 이익·손실 프레임을 시기별로 비교하였고</w:t>
      </w:r>
      <w:r>
        <w:rPr>
          <w:rFonts w:ascii="Times New Roman" w:cs="신명조" w:eastAsia="신명조" w:hAnsi="Times New Roman"/>
          <w:b w:val="false"/>
          <w:bCs w:val="false"/>
          <w:strike w:val="false"/>
          <w:color w:val="C00000"/>
          <w:sz w:val="22"/>
          <w:szCs w:val="22"/>
        </w:rPr>
        <w:t xml:space="preserve">, </w:t>
      </w:r>
      <w:r>
        <w:rPr>
          <w:rFonts w:ascii="Times New Roman" w:cs="신명조" w:eastAsia="신명조" w:hAnsi="Times New Roman"/>
          <w:b w:val="false"/>
          <w:bCs w:val="false"/>
          <w:strike w:val="false"/>
          <w:sz w:val="22"/>
          <w:szCs w:val="22"/>
        </w:rPr>
        <w:t xml:space="preserve">한국과 미국의 AI 보도 주제를 토픽모델링으로 비교하였다</w:t>
      </w:r>
      <w:r>
        <w:rPr>
          <w:rFonts w:ascii="Times New Roman" w:cs="신명조" w:eastAsia="신명조" w:hAnsi="Times New Roman"/>
          <w:b w:val="false"/>
          <w:bCs w:val="false"/>
          <w:strike w:val="false"/>
          <w:color w:val="C00000"/>
          <w:sz w:val="22"/>
          <w:szCs w:val="22"/>
        </w:rPr>
        <w:t xml:space="preserve"> (이겨레, 임철민, 2026)</w:t>
      </w:r>
      <w:r>
        <w:rPr>
          <w:rFonts w:ascii="Times New Roman" w:cs="신명조" w:eastAsia="신명조" w:hAnsi="Times New Roman"/>
          <w:b w:val="false"/>
          <w:bCs w:val="false"/>
          <w:strike w:val="false"/>
          <w:sz w:val="22"/>
          <w:szCs w:val="22"/>
        </w:rPr>
        <w:t xml:space="preserve">. 이 비교 연구에 따르면 한국 언론은 4차 산업혁명 전략과 플랫폼 구축, 인재 양성을, 미국 언론은 기술 패권 경쟁과 기술의 명암을 상대적으로 많이 다루었다 [확인: 저자·학술지·연도]. 이는 한국 언론이 AI를 주로 국내 산업·전략의 문제로 다룬다는 점을 시사하지만, 국제 거버넌스 담론에 한정해 언론과 학계를 비교한 것은 아니다.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유성열은 네이버 뉴스 2022년 6,337건과 2024년 14,612건에 LDA 토픽모델링을 적용해 AI 윤리 담론이 2022년의 규제·위험 대응 중심의 통합적 구조에서 2024년의 산업 활용, 거버넌스, 글로벌 규범 대응으로 분화된 구조로 바뀌었다고 보고하였다 [확인: 전문 확인 후 인용]</w:t>
      </w:r>
      <w:r>
        <w:rPr>
          <w:rFonts w:ascii="Times New Roman" w:cs="신명조" w:eastAsia="신명조" w:hAnsi="Times New Roman"/>
          <w:b w:val="false"/>
          <w:bCs w:val="false"/>
          <w:strike w:val="false"/>
          <w:color w:val="C00000"/>
          <w:sz w:val="22"/>
          <w:szCs w:val="22"/>
        </w:rPr>
        <w:t xml:space="preserve"> (설진아, 2026)</w:t>
      </w:r>
      <w:r>
        <w:rPr>
          <w:rFonts w:ascii="Times New Roman" w:cs="신명조" w:eastAsia="신명조" w:hAnsi="Times New Roman"/>
          <w:b w:val="false"/>
          <w:bCs w:val="false"/>
          <w:strike w:val="false"/>
          <w:sz w:val="22"/>
          <w:szCs w:val="22"/>
        </w:rPr>
        <w:t xml:space="preserve">. 이 연구는 토픽모델링으로 뉴스 담론의 구조 변화를 본다는 점에서 본 연구와 가깝지만, 두 시점의 뉴스 담론에 한정되어 있고 학계 담론과 비교하지 않으며 이론 프레임으로 해석하지 않는다.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4. 연구 공백과 연구 문제</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정리하면 국제정치이론은 AI 거버넌스를 분절된 레짐 복합체와 규범 경쟁으로 설명해 왔고</w:t>
      </w:r>
      <w:r>
        <w:rPr>
          <w:rFonts w:ascii="Times New Roman" w:cs="신명조" w:eastAsia="신명조" w:hAnsi="Times New Roman"/>
          <w:b w:val="false"/>
          <w:bCs w:val="false"/>
          <w:strike w:val="false"/>
          <w:color w:val="C00000"/>
          <w:sz w:val="22"/>
          <w:szCs w:val="22"/>
        </w:rPr>
        <w:t xml:space="preserve"> (Schmitt, 2021; Hasan, 2026), </w:t>
      </w:r>
      <w:r>
        <w:rPr>
          <w:rFonts w:ascii="Times New Roman" w:cs="신명조" w:eastAsia="신명조" w:hAnsi="Times New Roman"/>
          <w:b w:val="false"/>
          <w:bCs w:val="false"/>
          <w:strike w:val="false"/>
          <w:sz w:val="22"/>
          <w:szCs w:val="22"/>
        </w:rPr>
        <w:t xml:space="preserve">현실주의 계열 연구는 AI를 국가 간 경쟁과 안보의 문제로 다루어 왔으며</w:t>
      </w:r>
      <w:r>
        <w:rPr>
          <w:rFonts w:ascii="Times New Roman" w:cs="신명조" w:eastAsia="신명조" w:hAnsi="Times New Roman"/>
          <w:b w:val="false"/>
          <w:bCs w:val="false"/>
          <w:strike w:val="false"/>
          <w:color w:val="C00000"/>
          <w:sz w:val="22"/>
          <w:szCs w:val="22"/>
        </w:rPr>
        <w:t xml:space="preserve"> (Cheng &amp; Zeng, 2022), </w:t>
      </w:r>
      <w:r>
        <w:rPr>
          <w:rFonts w:ascii="Times New Roman" w:cs="신명조" w:eastAsia="신명조" w:hAnsi="Times New Roman"/>
          <w:b w:val="false"/>
          <w:bCs w:val="false"/>
          <w:strike w:val="false"/>
          <w:sz w:val="22"/>
          <w:szCs w:val="22"/>
        </w:rPr>
        <w:t xml:space="preserve">뉴스 프레이밍 연구는 주로 가치 프레임과 주제 구성에 집중해 왔다</w:t>
      </w:r>
      <w:r>
        <w:rPr>
          <w:rFonts w:ascii="Times New Roman" w:cs="신명조" w:eastAsia="신명조" w:hAnsi="Times New Roman"/>
          <w:b w:val="false"/>
          <w:bCs w:val="false"/>
          <w:strike w:val="false"/>
          <w:color w:val="C00000"/>
          <w:sz w:val="22"/>
          <w:szCs w:val="22"/>
        </w:rPr>
        <w:t xml:space="preserve"> (Borah, 2018; Song, 2024)</w:t>
      </w:r>
      <w:r>
        <w:rPr>
          <w:rFonts w:ascii="Times New Roman" w:cs="신명조" w:eastAsia="신명조" w:hAnsi="Times New Roman"/>
          <w:b w:val="false"/>
          <w:bCs w:val="false"/>
          <w:strike w:val="false"/>
          <w:sz w:val="22"/>
          <w:szCs w:val="22"/>
        </w:rPr>
        <w:t xml:space="preserve">. 뉴스의 AI 윤리 담론에 토픽모델링을 적용한 연구는 있으나, 이번 검토에서 한국 언론과 학계의 AI 글로벌 거버넌스 담론을 같은 기간과 같은 주제 축에서 국제정치 이론 프레임으로 비교한 연구는 확인하지 못했다 [확인: 학술DB 직접 검색 필요]. 이에 본 연구는 2019년 OECD AI 원칙 이후 한국 언론과 학계의 담론을 같은 토픽 모형 위에서 비교하고, 토픽을 현실주의·자유주의·구성주의 프레임으로 해석하여 다음 연구 문제를 검토한다.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연구 문제 1. 한국 언론과 학계는 AI 글로벌 거버넌스와 관련해 어떤 정책 주제를 얼마나 다루는가.</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연구 문제 2. 두 담론은 어떤 국제정치 이론 프레임으로 구성되며, 그 비중은 시기에 따라 어떻게 달라지는가.</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연구 설계 단계에서 설정한 가설은 언론이 지정학(현실주의) 프레임에 치우치고 학계는 제도·규범(자유주의·구성주의) 논의에 머문다는 것이다. 이는 언론이 국가 간 경쟁과 사건 중심의 소재를 부각하고 학계는 규제 체계와 권리·책임 논의를 상대적으로 많이 다룬다는 선행연구의 시사점에 근거한다</w:t>
      </w:r>
      <w:r>
        <w:rPr>
          <w:rFonts w:ascii="Times New Roman" w:cs="신명조" w:eastAsia="신명조" w:hAnsi="Times New Roman"/>
          <w:b w:val="false"/>
          <w:bCs w:val="false"/>
          <w:strike w:val="false"/>
          <w:color w:val="C00000"/>
          <w:sz w:val="22"/>
          <w:szCs w:val="22"/>
        </w:rPr>
        <w:t xml:space="preserve"> (Fielding, 2024)</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Ⅲ. 연구 방법</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연구 설계</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분석은 (1) 두 코퍼스 수집, (2) 프레임 중립적 관련성 판정, (3) 학계 코퍼스의 LDA 토픽모형 추정과 뉴스 투영, (4) 토픽별 층화 표본의 프레임 코딩과 비율 추정의 순서로 수행하였다</w:t>
      </w:r>
      <w:r>
        <w:rPr>
          <w:rFonts w:ascii="Times New Roman" w:cs="신명조" w:eastAsia="신명조" w:hAnsi="Times New Roman"/>
          <w:b w:val="false"/>
          <w:bCs w:val="false"/>
          <w:strike w:val="false"/>
          <w:color w:val="C00000"/>
          <w:sz w:val="22"/>
          <w:szCs w:val="22"/>
        </w:rPr>
        <w:t xml:space="preserve"> (Jeon &amp; Choi, 2023)</w:t>
      </w:r>
      <w:r>
        <w:rPr>
          <w:rFonts w:ascii="Times New Roman" w:cs="신명조" w:eastAsia="신명조" w:hAnsi="Times New Roman"/>
          <w:b w:val="false"/>
          <w:bCs w:val="false"/>
          <w:strike w:val="false"/>
          <w:sz w:val="22"/>
          <w:szCs w:val="22"/>
        </w:rPr>
        <w:t xml:space="preserve">. 프레임 어휘(규범, 윤리, 안보, 패권 등)는 수집 단계의 검색식에 넣지 않았다. 그렇게 하면 결과를 미리 정하게 되기 때문이다. 두 코퍼스에는 같은 검색 논리와 같은 관련성 기준을 적용하였고, 선택마다 대안 코퍼스(기본·확장)를 두어 민감도를 확인하였다. 분석 기간은 2019년 5월 1일부터 2026년 9월 30일까지이다.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자료 수집과 코퍼스 확정</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학술논문.</w:t>
      </w:r>
      <w:r>
        <w:rPr>
          <w:rFonts w:ascii="Times New Roman" w:cs="신명조" w:eastAsia="신명조" w:hAnsi="Times New Roman"/>
          <w:b w:val="false"/>
          <w:bCs w:val="false"/>
          <w:strike w:val="false"/>
          <w:sz w:val="22"/>
          <w:szCs w:val="22"/>
        </w:rPr>
        <w:t xml:space="preserve"> KCI 등재지·등재후보지 논문을 대상으로, 제목에 인공지능, 생성형 AI, Generative AI, 챗GPT, ChatGPT, AI, Artificial Intelligence가 있는 논문을 수집하였다. 처음에는 앞의 다섯 검색어만 사용했으나 파일럿에서 AI·Artificial Intelligence 질의로만 잡히는 논문이 확인되어 이 두 검색어를 보충하고 KCI 논문 ID로 병합하였다. 두 번의 수집으로 포획-재포획 추정을 하면 병합본이 전체의 약 99.8%를 포함하는 것으로 추정되나, 두 수집의 독립을 가정한 값이므로 실제 누락은 더 클 수 있다. 고유 논문 19,263편에서 월 필터와 등재구분 필터 후 18,821편이 남았고, 제목·초록·키워드에 국제적 맥락어(미국, 중국, EU, 국제기구 등)가 있는 후보 2,272편에서 공학·의약학 대분류 225편을 제외한 2,047편을 판정 대상으로 하였다. 영문 초록만 있는 논문은 번역하여 포함하였다.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신문기사.</w:t>
      </w:r>
      <w:r>
        <w:rPr>
          <w:rFonts w:ascii="Times New Roman" w:cs="신명조" w:eastAsia="신명조" w:hAnsi="Times New Roman"/>
          <w:b w:val="false"/>
          <w:bCs w:val="false"/>
          <w:strike w:val="false"/>
          <w:sz w:val="22"/>
          <w:szCs w:val="22"/>
        </w:rPr>
        <w:t xml:space="preserve"> BIGKinds에서 전국일간지 11개(경향, 국민, 내일, 동아, 문화, 서울, 세계, 조선, 중앙, 한겨레, 한국)의 기사 가운데 제목에 인공지능, AI, 생성형AI, 챗GPT, ChatGPT가 있는 기사를 수집하였다</w:t>
      </w:r>
      <w:r>
        <w:rPr>
          <w:rFonts w:ascii="Times New Roman" w:cs="신명조" w:eastAsia="신명조" w:hAnsi="Times New Roman"/>
          <w:b w:val="false"/>
          <w:bCs w:val="false"/>
          <w:strike w:val="false"/>
          <w:color w:val="C00000"/>
          <w:sz w:val="22"/>
          <w:szCs w:val="22"/>
        </w:rPr>
        <w:t xml:space="preserve"> (한송이, 김태종, 2021a; 이수연, 김태종, 2020)</w:t>
      </w:r>
      <w:r>
        <w:rPr>
          <w:rFonts w:ascii="Times New Roman" w:cs="신명조" w:eastAsia="신명조" w:hAnsi="Times New Roman"/>
          <w:b w:val="false"/>
          <w:bCs w:val="false"/>
          <w:strike w:val="false"/>
          <w:sz w:val="22"/>
          <w:szCs w:val="22"/>
        </w:rPr>
        <w:t xml:space="preserve">. 고유 기사 75,720건에서 노이즈와 인사·부고·포토 기사를 제거해 72,489건을 남기고, 같은 국제적 맥락어 규칙으로 후보 28,657건을 얻었다. BIGKinds 내보내기의 본문은 앞 200자뿐이고 키워드는 기사 전체에서 추출한 명사이므로 뉴스는 제목, 본문 앞 200자, 키워드를 분석 텍스트로 사용하였다.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관련성 판정.</w:t>
      </w:r>
      <w:r>
        <w:rPr>
          <w:rFonts w:ascii="Times New Roman" w:cs="신명조" w:eastAsia="신명조" w:hAnsi="Times New Roman"/>
          <w:b w:val="false"/>
          <w:bCs w:val="false"/>
          <w:strike w:val="false"/>
          <w:sz w:val="22"/>
          <w:szCs w:val="22"/>
        </w:rPr>
        <w:t xml:space="preserve"> 문서가 AI의 정책·규제·거버넌스·전략·경쟁을 주제로 하며 국제적 수준(국제기구, 다국가 비교, 글로벌 규범·경쟁과 연결된 주요국 정책)에 해당하면 관련으로, 그렇지 않으면 비관련으로 판정하였다. 논문 2,047편은 이 기준으로 판정해 관련 669편을 기본 코퍼스로, 여기에 근거 유형이 국내인 비관련 229편을 더한 898편을 확장 코퍼스로 두었다. 연구자와 AI 보조 코더의 독립 판정 일치도는 κ 0.282(95% CI 0.145~0.428)였고, 연구자 수정 판정 기준 재현율은 79.5%(95% CI 0.66~0.91)였다. 기사는 후보 중 층화 표본 2,500건을 판정해 TF-IDF 로지스틱 회귀 분류기를 학습하였다(5겹 교차검증 AUC 0.98, 정밀도 0.84, 재현율 0.82). 학습에 쓰지 않은 기사 100건을 연구자가 블라인드로 판정한 결과 일치도는 κ 0.211, 분류기 관련 예측의 정밀도는 0.80이었고 경계 구간의 비관련 예측 중 약 35%를 연구자가 관련으로 보았다. 재확인 후 값(정밀도 0.90)은 판정을 본 뒤의 수정이므로 독립 신뢰도가 아니다. 연구자 판정을 학습 데이터에 더해 분류기를 재학습하고, 관련 확률 0.5 이상을 기본 코퍼스(4,631건), 0.3 이상을 확장 코퍼스(5,945건)로 확정하였다. 기사 분류기의 재현율은 측정하지 못했다. 기본 코퍼스의 연도별 규모는 뉴스 2019~2022년 연 47~66건, 2023년 711건, 2024년 798건, 2025년 1,225건, 2026년 1,679건이고 논문은 2019년 12편에서 2025년 199편, 2026년 196편이다. 초기 연도의 표본이 작아 2019~2022년을 묶어 제시한다.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3. 토픽모형</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형태소 분석은 Kiwi(kiwipiepy)로 하였다. 일반명사·고유명사·외국어 토큰 중 길이 2 이상인 것을 사용하고 범용어와 뉴스 상투어를 불용어로 처리하였으며, AI와 인공지능 표기를 통일한 뒤 검색어 자체는 제거하였다</w:t>
      </w:r>
      <w:r>
        <w:rPr>
          <w:rFonts w:ascii="Times New Roman" w:cs="신명조" w:eastAsia="신명조" w:hAnsi="Times New Roman"/>
          <w:b w:val="false"/>
          <w:bCs w:val="false"/>
          <w:strike w:val="false"/>
          <w:color w:val="C00000"/>
          <w:sz w:val="22"/>
          <w:szCs w:val="22"/>
        </w:rPr>
        <w:t xml:space="preserve"> (문성현 외, 2018)</w:t>
      </w:r>
      <w:r>
        <w:rPr>
          <w:rFonts w:ascii="Times New Roman" w:cs="신명조" w:eastAsia="신명조" w:hAnsi="Times New Roman"/>
          <w:b w:val="false"/>
          <w:bCs w:val="false"/>
          <w:strike w:val="false"/>
          <w:sz w:val="22"/>
          <w:szCs w:val="22"/>
        </w:rPr>
        <w:t xml:space="preserve">. 논문의 분석 텍스트는 논문명, 저자 키워드, 초록을 합쳤고, 학계 어휘는 5문서 미만 또는 50% 초과 문서에 나타난 단어를 제외해 1,608개이다. 학계 코퍼스(669편)에 LDA를 적용해 K=4~16을 시드 3개의 평균 c_v 일관성으로 비교했고, K=5~9가 고원이며 K=7이 0.462로 가장 높아 K=7을 선택하였다</w:t>
      </w:r>
      <w:r>
        <w:rPr>
          <w:rFonts w:ascii="Times New Roman" w:cs="신명조" w:eastAsia="신명조" w:hAnsi="Times New Roman"/>
          <w:b w:val="false"/>
          <w:bCs w:val="false"/>
          <w:strike w:val="false"/>
          <w:color w:val="C00000"/>
          <w:sz w:val="22"/>
          <w:szCs w:val="22"/>
        </w:rPr>
        <w:t xml:space="preserve"> (김선영, 2021)</w:t>
      </w:r>
      <w:r>
        <w:rPr>
          <w:rFonts w:ascii="Times New Roman" w:cs="신명조" w:eastAsia="신명조" w:hAnsi="Times New Roman"/>
          <w:b w:val="false"/>
          <w:bCs w:val="false"/>
          <w:strike w:val="false"/>
          <w:sz w:val="22"/>
          <w:szCs w:val="22"/>
        </w:rPr>
        <w:t xml:space="preserve">. 토픽 이름은 상위 단어와 대표 논문을 읽고 붙였다</w:t>
      </w:r>
      <w:r>
        <w:rPr>
          <w:rFonts w:ascii="Times New Roman" w:cs="신명조" w:eastAsia="신명조" w:hAnsi="Times New Roman"/>
          <w:b w:val="false"/>
          <w:bCs w:val="false"/>
          <w:strike w:val="false"/>
          <w:color w:val="C00000"/>
          <w:sz w:val="22"/>
          <w:szCs w:val="22"/>
        </w:rPr>
        <w:t xml:space="preserve"> (현지우, 임동완, 2023)</w:t>
      </w:r>
      <w:r>
        <w:rPr>
          <w:rFonts w:ascii="Times New Roman" w:cs="신명조" w:eastAsia="신명조" w:hAnsi="Times New Roman"/>
          <w:b w:val="false"/>
          <w:bCs w:val="false"/>
          <w:strike w:val="false"/>
          <w:sz w:val="22"/>
          <w:szCs w:val="22"/>
        </w:rPr>
        <w:t xml:space="preserve">. 뉴스는 학계 모형에 투영해(문서별 지배 토픽) 두 코퍼스를 같은 주제 축 위에 놓았다. 투영 결과 뉴스의 78.7%가 하나의 토픽(국가 전략·미중 경쟁)에 몰려 이질적 기사가 섞였으므로, 해당 기사 3,643건에는 별도 LDA(K=6)를 추정해 하위 토픽을 얻었고 학계의 해당 토픽 186편도 같은 모형에 투영하였다. 뉴스의 특허 토픽(17건)은 표본이 작아 프레임 분석에서 제외하였다. 토픽 수 K=5~9에서 구조의 안정성을 확인하였다.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4. 프레임 코딩과 비율 추정</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프레임은 Entman의 구성요소(문제 정의, 인과 귀속, 처방)에 따라 문서의 핵심 논거로 판단하였다</w:t>
      </w:r>
      <w:r>
        <w:rPr>
          <w:rFonts w:ascii="Times New Roman" w:cs="신명조" w:eastAsia="신명조" w:hAnsi="Times New Roman"/>
          <w:b w:val="false"/>
          <w:bCs w:val="false"/>
          <w:strike w:val="false"/>
          <w:color w:val="C00000"/>
          <w:sz w:val="22"/>
          <w:szCs w:val="22"/>
        </w:rPr>
        <w:t xml:space="preserve"> (Dekavalla, 2018; Sakti &amp; Kukuh, 2023)</w:t>
      </w:r>
      <w:r>
        <w:rPr>
          <w:rFonts w:ascii="Times New Roman" w:cs="신명조" w:eastAsia="신명조" w:hAnsi="Times New Roman"/>
          <w:b w:val="false"/>
          <w:bCs w:val="false"/>
          <w:strike w:val="false"/>
          <w:sz w:val="22"/>
          <w:szCs w:val="22"/>
        </w:rPr>
        <w:t xml:space="preserve">. 현실주의는 국가의 힘·경쟁력·안보·자립(수출통제, 군사 역량, 산업 육성과 경쟁력, AI 주권)을, 자유주의는 규칙과 제도의 설계·정합·조화·협력·표준(규제 체계 설계, 입법 비교, 다자 협의체)을, 구성주의는 권리·윤리·책임·가치·정당성(기본권, 책임 귀속, 인간 창작성, 위험 규범)을 논거로 하는 문서이며, 논거나 처방이 없는 현황 소개와 거버넌스와 무관한 이슈는 해당없음으로 두었다. 코퍼스의 큰 부분이 법리 논문이므로 법리·정책 문서도 이 논거 기준으로 프레임을 배정하였다. 이는 이론 전통을 논거 유형으로 조작화한 것이어서 법리 문서의 프레임이 이론적 의미의 현실주의·자유주의·구성주의와 같다고 주장하지 않는다.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토픽별 층화 표본은 학계 7개, 뉴스 T1 하위 6개, 뉴스 5개의 18개 층에서 층당 10건, 모두 180건이다. 이 중 60건은 연구자와 AI 보조 코더(대규모 언어모델)가 서로의 코딩을 보지 않고 독립 코딩한 파일럿 문서이며, 두 차례 코딩 후 기준을 개정한 뒤 프레임 κ는 0.544(95% CI 0.30~0.75)와 0.459(95% CI 0.21~0.70), 합산 60건에서 일치율 65%, κ 0.51이었다. 나머지 120건은 AI 보조 코더가 먼저 프레임을 제안하고 연구자가 전체를 검토해 21건(17.5%)을 수정하였다. 이 값은 제안을 본 뒤의 판단이므로 독립 신뢰도가 아닌 수정률로만 보고한다. 최종 프레임은 파일럿 60건은 연구자의 독립 코딩, 본 코딩 120건은 검토 후 값이다.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표본에서 같은 프레임이 60% 이상인 층은 그 프레임으로 대응시키고 그렇지 않으면 혼합으로 두었다. 뉴스와 학계의 프레임 비율은 층 크기로 가중(사후층화)해 추정하고 신뢰구간은 층 내 재추출 부트스트랩(2,000회)으로 구하였다. 연도별 추이는 층의 표본 프레임 비율이 연도에 무관하다는 가정 아래 층의 연도별 문서 수로 합산하였고, 이 신뢰구간은 층 내 표본 오차만 반영한다. 확장 코퍼스에는 추가분을 같은 모형에 투영하고 같은 층의 표본 비율을 적용해 다시 추정하였다.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5. 인공지능 활용 고지</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관련성 판정(논문과 기사), 독일어 초록 2편의 번역, 프레임 코딩의 1차 제안에 대규모 언어모델 기반 AI 보조 코더를 사용하였다. 모든 최종 판정은 연구자가 검토하였고, 연구자와 언어모델의 독립 일치도(κ)는 위에 보고한 값이다. 언어모델의 제안을 본 뒤의 수정은 독립 신뢰도로 보고하지 않는다. [확인: 학술지 규정의 AI 활용 고지 문구]</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Ⅳ. 연구 결과</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코퍼스 개요</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분석 대상은 2019년 5월부터 2026년 9월까지의 학술논문 669편(기본 코퍼스)과 신문기사 4,631건(기본 코퍼스)이다. 두 코퍼스 모두 2023년 이후 급증하였다. 논문은 2019년 12편, 2020년 31편, 2021년 37편, 2022년 38편에서 2023년 51편, 2024년 105편, 2025년 199편, 2026년 196편으로 늘었고, 기사는 2019~2022년 연 47~66건에서 2023년 711건, 2024년 798건, 2025년 1,225건, 2026년 1,679건으로 늘었다. 2019~2022년 구간은 건수가 적어 하나로 묶어 제시한다.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주제 비교</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2.1 학계 토픽</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학계 코퍼스에 K=7 LDA 모형을 추정하였다(표 1). 가장 큰 토픽은 국가 전략·미중 경쟁(186편, 27.8%)이며, 데이터·개인정보·알고리즘 규제(146편, 21.8%)와 EU 입법(91편, 13.6%)이 뒤를 잇는다. 윤리·국제규범(87편, 13.0%), 저작권(86편, 12.9%), 책임·제조물책임(44편, 6.6%), 특허·발명자성(29편, 4.3%)이 나머지를 이룬다. 학계 토픽 7개 가운데 저작권, 책임, 특허를 합하면 약 24%이며, 이 토픽들은 국내 법리 논의의 성격이 강하다.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표 1. 학계 토픽 (K=7)</w:t>
      </w:r>
    </w:p>
    <w:p>
      <w:pPr>
        <w:spacing w:line="384"/>
      </w:pPr>
      <w:r>
        <w:rPr>
          <w:rFonts w:ascii="신명조" w:cs="신명조" w:eastAsia="신명조" w:hAnsi="신명조"/>
          <w:b w:val="false"/>
          <w:bCs w:val="false"/>
          <w:sz w:val="22"/>
          <w:szCs w:val="22"/>
        </w:rPr>
        <w:t xml:space="preserve"/>
      </w:r>
    </w:p>
    <w:tbl>
      <w:tblPr>
        <w:tblW w:type="pct" w:w="100%"/>
        <w:tblBorders>
          <w:top w:val="single" w:color="000000" w:sz="4"/>
          <w:left w:val="none" w:color="FFFFFF" w:sz="0"/>
          <w:bottom w:val="single" w:color="000000" w:sz="4"/>
          <w:right w:val="none" w:color="FFFFFF" w:sz="0"/>
          <w:insideH w:val="single" w:color="000000" w:sz="2"/>
          <w:insideV w:val="none" w:color="FFFFFF" w:sz="0"/>
        </w:tblBorders>
      </w:tblPr>
      <w:tblGrid>
        <w:gridCol w:w="100"/>
        <w:gridCol w:w="100"/>
        <w:gridCol w:w="100"/>
        <w:gridCol w:w="100"/>
      </w:tblGrid>
      <w:tr>
        <w:tc>
          <w:p>
            <w:r>
              <w:rPr>
                <w:rFonts w:ascii="Times New Roman" w:cs="신명조" w:eastAsia="신명조" w:hAnsi="Times New Roman"/>
                <w:b/>
                <w:bCs/>
                <w:strike w:val="false"/>
                <w:sz w:val="20"/>
                <w:szCs w:val="20"/>
              </w:rPr>
              <w:t xml:space="preserve">토픽</w:t>
            </w:r>
          </w:p>
        </w:tc>
        <w:tc>
          <w:p>
            <w:r>
              <w:rPr>
                <w:rFonts w:ascii="Times New Roman" w:cs="신명조" w:eastAsia="신명조" w:hAnsi="Times New Roman"/>
                <w:b/>
                <w:bCs/>
                <w:strike w:val="false"/>
                <w:sz w:val="20"/>
                <w:szCs w:val="20"/>
              </w:rPr>
              <w:t xml:space="preserve">문서 수</w:t>
            </w:r>
          </w:p>
        </w:tc>
        <w:tc>
          <w:p>
            <w:r>
              <w:rPr>
                <w:rFonts w:ascii="Times New Roman" w:cs="신명조" w:eastAsia="신명조" w:hAnsi="Times New Roman"/>
                <w:b/>
                <w:bCs/>
                <w:strike w:val="false"/>
                <w:sz w:val="20"/>
                <w:szCs w:val="20"/>
              </w:rPr>
              <w:t xml:space="preserve">비중</w:t>
            </w:r>
          </w:p>
        </w:tc>
        <w:tc>
          <w:p>
            <w:r>
              <w:rPr>
                <w:rFonts w:ascii="Times New Roman" w:cs="신명조" w:eastAsia="신명조" w:hAnsi="Times New Roman"/>
                <w:b/>
                <w:bCs/>
                <w:strike w:val="false"/>
                <w:sz w:val="20"/>
                <w:szCs w:val="20"/>
              </w:rPr>
              <w:t xml:space="preserve">주요 단어</w:t>
            </w:r>
          </w:p>
        </w:tc>
      </w:tr>
      <w:tr>
        <w:tc>
          <w:p>
            <w:r>
              <w:rPr>
                <w:rFonts w:ascii="Times New Roman" w:cs="신명조" w:eastAsia="신명조" w:hAnsi="Times New Roman"/>
                <w:b w:val="false"/>
                <w:bCs w:val="false"/>
                <w:strike w:val="false"/>
                <w:sz w:val="20"/>
                <w:szCs w:val="20"/>
              </w:rPr>
              <w:t xml:space="preserve">국가 전략·미중 경쟁</w:t>
            </w:r>
          </w:p>
        </w:tc>
        <w:tc>
          <w:p>
            <w:r>
              <w:rPr>
                <w:rFonts w:ascii="Times New Roman" w:cs="신명조" w:eastAsia="신명조" w:hAnsi="Times New Roman"/>
                <w:b w:val="false"/>
                <w:bCs w:val="false"/>
                <w:strike w:val="false"/>
                <w:sz w:val="20"/>
                <w:szCs w:val="20"/>
              </w:rPr>
              <w:t xml:space="preserve">186</w:t>
            </w:r>
          </w:p>
        </w:tc>
        <w:tc>
          <w:p>
            <w:r>
              <w:rPr>
                <w:rFonts w:ascii="Times New Roman" w:cs="신명조" w:eastAsia="신명조" w:hAnsi="Times New Roman"/>
                <w:b w:val="false"/>
                <w:bCs w:val="false"/>
                <w:strike w:val="false"/>
                <w:sz w:val="20"/>
                <w:szCs w:val="20"/>
              </w:rPr>
              <w:t xml:space="preserve">27.8%</w:t>
            </w:r>
          </w:p>
        </w:tc>
        <w:tc>
          <w:p>
            <w:r>
              <w:rPr>
                <w:rFonts w:ascii="Times New Roman" w:cs="신명조" w:eastAsia="신명조" w:hAnsi="Times New Roman"/>
                <w:b w:val="false"/>
                <w:bCs w:val="false"/>
                <w:strike w:val="false"/>
                <w:sz w:val="20"/>
                <w:szCs w:val="20"/>
              </w:rPr>
              <w:t xml:space="preserve">국가, 중국, 전략, 산업, 거버넌스, 안보, 경쟁</w:t>
            </w:r>
          </w:p>
        </w:tc>
      </w:tr>
      <w:tr>
        <w:tc>
          <w:p>
            <w:r>
              <w:rPr>
                <w:rFonts w:ascii="Times New Roman" w:cs="신명조" w:eastAsia="신명조" w:hAnsi="Times New Roman"/>
                <w:b w:val="false"/>
                <w:bCs w:val="false"/>
                <w:strike w:val="false"/>
                <w:sz w:val="20"/>
                <w:szCs w:val="20"/>
              </w:rPr>
              <w:t xml:space="preserve">데이터·개인정보·알고리즘 규제</w:t>
            </w:r>
          </w:p>
        </w:tc>
        <w:tc>
          <w:p>
            <w:r>
              <w:rPr>
                <w:rFonts w:ascii="Times New Roman" w:cs="신명조" w:eastAsia="신명조" w:hAnsi="Times New Roman"/>
                <w:b w:val="false"/>
                <w:bCs w:val="false"/>
                <w:strike w:val="false"/>
                <w:sz w:val="20"/>
                <w:szCs w:val="20"/>
              </w:rPr>
              <w:t xml:space="preserve">146</w:t>
            </w:r>
          </w:p>
        </w:tc>
        <w:tc>
          <w:p>
            <w:r>
              <w:rPr>
                <w:rFonts w:ascii="Times New Roman" w:cs="신명조" w:eastAsia="신명조" w:hAnsi="Times New Roman"/>
                <w:b w:val="false"/>
                <w:bCs w:val="false"/>
                <w:strike w:val="false"/>
                <w:sz w:val="20"/>
                <w:szCs w:val="20"/>
              </w:rPr>
              <w:t xml:space="preserve">21.8%</w:t>
            </w:r>
          </w:p>
        </w:tc>
        <w:tc>
          <w:p>
            <w:r>
              <w:rPr>
                <w:rFonts w:ascii="Times New Roman" w:cs="신명조" w:eastAsia="신명조" w:hAnsi="Times New Roman"/>
                <w:b w:val="false"/>
                <w:bCs w:val="false"/>
                <w:strike w:val="false"/>
                <w:sz w:val="20"/>
                <w:szCs w:val="20"/>
              </w:rPr>
              <w:t xml:space="preserve">데이터, 정보, 개인, 보호, 규제, 알고리즘, 위험</w:t>
            </w:r>
          </w:p>
        </w:tc>
      </w:tr>
      <w:tr>
        <w:tc>
          <w:p>
            <w:r>
              <w:rPr>
                <w:rFonts w:ascii="Times New Roman" w:cs="신명조" w:eastAsia="신명조" w:hAnsi="Times New Roman"/>
                <w:b w:val="false"/>
                <w:bCs w:val="false"/>
                <w:strike w:val="false"/>
                <w:sz w:val="20"/>
                <w:szCs w:val="20"/>
              </w:rPr>
              <w:t xml:space="preserve">EU 입법</w:t>
            </w:r>
          </w:p>
        </w:tc>
        <w:tc>
          <w:p>
            <w:r>
              <w:rPr>
                <w:rFonts w:ascii="Times New Roman" w:cs="신명조" w:eastAsia="신명조" w:hAnsi="Times New Roman"/>
                <w:b w:val="false"/>
                <w:bCs w:val="false"/>
                <w:strike w:val="false"/>
                <w:sz w:val="20"/>
                <w:szCs w:val="20"/>
              </w:rPr>
              <w:t xml:space="preserve">91</w:t>
            </w:r>
          </w:p>
        </w:tc>
        <w:tc>
          <w:p>
            <w:r>
              <w:rPr>
                <w:rFonts w:ascii="Times New Roman" w:cs="신명조" w:eastAsia="신명조" w:hAnsi="Times New Roman"/>
                <w:b w:val="false"/>
                <w:bCs w:val="false"/>
                <w:strike w:val="false"/>
                <w:sz w:val="20"/>
                <w:szCs w:val="20"/>
              </w:rPr>
              <w:t xml:space="preserve">13.6%</w:t>
            </w:r>
          </w:p>
        </w:tc>
        <w:tc>
          <w:p>
            <w:r>
              <w:rPr>
                <w:rFonts w:ascii="Times New Roman" w:cs="신명조" w:eastAsia="신명조" w:hAnsi="Times New Roman"/>
                <w:b w:val="false"/>
                <w:bCs w:val="false"/>
                <w:strike w:val="false"/>
                <w:sz w:val="20"/>
                <w:szCs w:val="20"/>
              </w:rPr>
              <w:t xml:space="preserve">규제, EU, 기본법, 위험, 입법, 법안</w:t>
            </w:r>
          </w:p>
        </w:tc>
      </w:tr>
      <w:tr>
        <w:tc>
          <w:p>
            <w:r>
              <w:rPr>
                <w:rFonts w:ascii="Times New Roman" w:cs="신명조" w:eastAsia="신명조" w:hAnsi="Times New Roman"/>
                <w:b w:val="false"/>
                <w:bCs w:val="false"/>
                <w:strike w:val="false"/>
                <w:sz w:val="20"/>
                <w:szCs w:val="20"/>
              </w:rPr>
              <w:t xml:space="preserve">윤리·국제규범</w:t>
            </w:r>
          </w:p>
        </w:tc>
        <w:tc>
          <w:p>
            <w:r>
              <w:rPr>
                <w:rFonts w:ascii="Times New Roman" w:cs="신명조" w:eastAsia="신명조" w:hAnsi="Times New Roman"/>
                <w:b w:val="false"/>
                <w:bCs w:val="false"/>
                <w:strike w:val="false"/>
                <w:sz w:val="20"/>
                <w:szCs w:val="20"/>
              </w:rPr>
              <w:t xml:space="preserve">87</w:t>
            </w:r>
          </w:p>
        </w:tc>
        <w:tc>
          <w:p>
            <w:r>
              <w:rPr>
                <w:rFonts w:ascii="Times New Roman" w:cs="신명조" w:eastAsia="신명조" w:hAnsi="Times New Roman"/>
                <w:b w:val="false"/>
                <w:bCs w:val="false"/>
                <w:strike w:val="false"/>
                <w:sz w:val="20"/>
                <w:szCs w:val="20"/>
              </w:rPr>
              <w:t xml:space="preserve">13.0%</w:t>
            </w:r>
          </w:p>
        </w:tc>
        <w:tc>
          <w:p>
            <w:r>
              <w:rPr>
                <w:rFonts w:ascii="Times New Roman" w:cs="신명조" w:eastAsia="신명조" w:hAnsi="Times New Roman"/>
                <w:b w:val="false"/>
                <w:bCs w:val="false"/>
                <w:strike w:val="false"/>
                <w:sz w:val="20"/>
                <w:szCs w:val="20"/>
              </w:rPr>
              <w:t xml:space="preserve">윤리, 위험, 원칙, 규범, 책임, 투명, 국제</w:t>
            </w:r>
          </w:p>
        </w:tc>
      </w:tr>
      <w:tr>
        <w:tc>
          <w:p>
            <w:r>
              <w:rPr>
                <w:rFonts w:ascii="Times New Roman" w:cs="신명조" w:eastAsia="신명조" w:hAnsi="Times New Roman"/>
                <w:b w:val="false"/>
                <w:bCs w:val="false"/>
                <w:strike w:val="false"/>
                <w:sz w:val="20"/>
                <w:szCs w:val="20"/>
              </w:rPr>
              <w:t xml:space="preserve">저작권</w:t>
            </w:r>
          </w:p>
        </w:tc>
        <w:tc>
          <w:p>
            <w:r>
              <w:rPr>
                <w:rFonts w:ascii="Times New Roman" w:cs="신명조" w:eastAsia="신명조" w:hAnsi="Times New Roman"/>
                <w:b w:val="false"/>
                <w:bCs w:val="false"/>
                <w:strike w:val="false"/>
                <w:sz w:val="20"/>
                <w:szCs w:val="20"/>
              </w:rPr>
              <w:t xml:space="preserve">86</w:t>
            </w:r>
          </w:p>
        </w:tc>
        <w:tc>
          <w:p>
            <w:r>
              <w:rPr>
                <w:rFonts w:ascii="Times New Roman" w:cs="신명조" w:eastAsia="신명조" w:hAnsi="Times New Roman"/>
                <w:b w:val="false"/>
                <w:bCs w:val="false"/>
                <w:strike w:val="false"/>
                <w:sz w:val="20"/>
                <w:szCs w:val="20"/>
              </w:rPr>
              <w:t xml:space="preserve">12.9%</w:t>
            </w:r>
          </w:p>
        </w:tc>
        <w:tc>
          <w:p>
            <w:r>
              <w:rPr>
                <w:rFonts w:ascii="Times New Roman" w:cs="신명조" w:eastAsia="신명조" w:hAnsi="Times New Roman"/>
                <w:b w:val="false"/>
                <w:bCs w:val="false"/>
                <w:strike w:val="false"/>
                <w:sz w:val="20"/>
                <w:szCs w:val="20"/>
              </w:rPr>
              <w:t xml:space="preserve">저작, 생성형, 학습, 저작물, 공정, 침해</w:t>
            </w:r>
          </w:p>
        </w:tc>
      </w:tr>
      <w:tr>
        <w:tc>
          <w:p>
            <w:r>
              <w:rPr>
                <w:rFonts w:ascii="Times New Roman" w:cs="신명조" w:eastAsia="신명조" w:hAnsi="Times New Roman"/>
                <w:b w:val="false"/>
                <w:bCs w:val="false"/>
                <w:strike w:val="false"/>
                <w:sz w:val="20"/>
                <w:szCs w:val="20"/>
              </w:rPr>
              <w:t xml:space="preserve">책임·제조물책임</w:t>
            </w:r>
          </w:p>
        </w:tc>
        <w:tc>
          <w:p>
            <w:r>
              <w:rPr>
                <w:rFonts w:ascii="Times New Roman" w:cs="신명조" w:eastAsia="신명조" w:hAnsi="Times New Roman"/>
                <w:b w:val="false"/>
                <w:bCs w:val="false"/>
                <w:strike w:val="false"/>
                <w:sz w:val="20"/>
                <w:szCs w:val="20"/>
              </w:rPr>
              <w:t xml:space="preserve">44</w:t>
            </w:r>
          </w:p>
        </w:tc>
        <w:tc>
          <w:p>
            <w:r>
              <w:rPr>
                <w:rFonts w:ascii="Times New Roman" w:cs="신명조" w:eastAsia="신명조" w:hAnsi="Times New Roman"/>
                <w:b w:val="false"/>
                <w:bCs w:val="false"/>
                <w:strike w:val="false"/>
                <w:sz w:val="20"/>
                <w:szCs w:val="20"/>
              </w:rPr>
              <w:t xml:space="preserve">6.6%</w:t>
            </w:r>
          </w:p>
        </w:tc>
        <w:tc>
          <w:p>
            <w:r>
              <w:rPr>
                <w:rFonts w:ascii="Times New Roman" w:cs="신명조" w:eastAsia="신명조" w:hAnsi="Times New Roman"/>
                <w:b w:val="false"/>
                <w:bCs w:val="false"/>
                <w:strike w:val="false"/>
                <w:sz w:val="20"/>
                <w:szCs w:val="20"/>
              </w:rPr>
              <w:t xml:space="preserve">책임, 제조, 의료, 지침, 의무, 결함</w:t>
            </w:r>
          </w:p>
        </w:tc>
      </w:tr>
      <w:tr>
        <w:tc>
          <w:p>
            <w:r>
              <w:rPr>
                <w:rFonts w:ascii="Times New Roman" w:cs="신명조" w:eastAsia="신명조" w:hAnsi="Times New Roman"/>
                <w:b w:val="false"/>
                <w:bCs w:val="false"/>
                <w:strike w:val="false"/>
                <w:sz w:val="20"/>
                <w:szCs w:val="20"/>
              </w:rPr>
              <w:t xml:space="preserve">특허·발명자성</w:t>
            </w:r>
          </w:p>
        </w:tc>
        <w:tc>
          <w:p>
            <w:r>
              <w:rPr>
                <w:rFonts w:ascii="Times New Roman" w:cs="신명조" w:eastAsia="신명조" w:hAnsi="Times New Roman"/>
                <w:b w:val="false"/>
                <w:bCs w:val="false"/>
                <w:strike w:val="false"/>
                <w:sz w:val="20"/>
                <w:szCs w:val="20"/>
              </w:rPr>
              <w:t xml:space="preserve">29</w:t>
            </w:r>
          </w:p>
        </w:tc>
        <w:tc>
          <w:p>
            <w:r>
              <w:rPr>
                <w:rFonts w:ascii="Times New Roman" w:cs="신명조" w:eastAsia="신명조" w:hAnsi="Times New Roman"/>
                <w:b w:val="false"/>
                <w:bCs w:val="false"/>
                <w:strike w:val="false"/>
                <w:sz w:val="20"/>
                <w:szCs w:val="20"/>
              </w:rPr>
              <w:t xml:space="preserve">4.3%</w:t>
            </w:r>
          </w:p>
        </w:tc>
        <w:tc>
          <w:p>
            <w:r>
              <w:rPr>
                <w:rFonts w:ascii="Times New Roman" w:cs="신명조" w:eastAsia="신명조" w:hAnsi="Times New Roman"/>
                <w:b w:val="false"/>
                <w:bCs w:val="false"/>
                <w:strike w:val="false"/>
                <w:sz w:val="20"/>
                <w:szCs w:val="20"/>
              </w:rPr>
              <w:t xml:space="preserve">특허, 발명, 판단, 인간, 진보</w:t>
            </w:r>
          </w:p>
        </w:tc>
      </w:tr>
    </w:tbl>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2.2 뉴스의 주제 분포</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뉴스는 위 학계 모형에 투영하였다. 기사의 78.7%가 국가 전략·미중 경쟁 토픽에 할당되었고, EU 입법 9.2%, 데이터·개인정보 6.2%, 윤리·국제규범 3.9%, 저작권 1.2% 순이었다. 책임과 특허 토픽은 각각 0.4%였다. 학계와 뉴스의 토픽 분포 거리(Jensen-Shannon divergence)는 0.156이다. 학계 토픽 가운데 저작권(12.9% 대 1.2%), 윤리·국제규범(13.0% 대 3.9%), 데이터·개인정보(21.8% 대 6.2%)는 뉴스에서 훨씬 작게 나타났다.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다만 이 78.7%에는 학계 모형에서 하나의 토픽으로 합쳐진 이질적 기사가 섞여 있다. 무작위로 읽은 기사 30건에는 반도체 수출통제, 전쟁 AI, 정상 외교, 산업 육성, 국제회의가 함께 들어 있었다. 이를 풀기 위해 해당 기사 3,643건에 별도 LDA(K=6)를 추정하였다</w:t>
      </w:r>
      <w:r>
        <w:rPr>
          <w:rFonts w:ascii="Times New Roman" w:cs="신명조" w:eastAsia="신명조" w:hAnsi="Times New Roman"/>
          <w:b w:val="false"/>
          <w:bCs w:val="false"/>
          <w:strike w:val="false"/>
          <w:color w:val="C00000"/>
          <w:sz w:val="22"/>
          <w:szCs w:val="22"/>
        </w:rPr>
        <w:t xml:space="preserve"> (안형준, 2022)</w:t>
      </w:r>
      <w:r>
        <w:rPr>
          <w:rFonts w:ascii="Times New Roman" w:cs="신명조" w:eastAsia="신명조" w:hAnsi="Times New Roman"/>
          <w:b w:val="false"/>
          <w:bCs w:val="false"/>
          <w:strike w:val="false"/>
          <w:sz w:val="22"/>
          <w:szCs w:val="22"/>
        </w:rPr>
        <w:t xml:space="preserve">. 반도체 수출통제(17.8%), 군사·전쟁 AI(18.3%), 미중·트럼프 정상 외교(16.4%), 딥시크·중국 오픈소스(16.4%), 국가 AI 경쟁력·인재(17.8%), 국제회의·거버넌스(13.3%)의 여섯 하위 토픽이 비슷한 비중으로 나타났다. 같은 모형에 투영한 학계의 해당 토픽 186편은 65.1%가 국가 AI 경쟁력·인재 하위 토픽에 속하고 군사·전쟁 AI가 20.4%이며, 반도체 수출통제(1.1%)와 정상 외교(1.6%)는 거의 없었다. 즉 학계의 국가 전략 논의는 뉴스의 지정학 소재(수출통제, 정상 외교)보다 국가 경쟁력과 산업 정책 쪽에 놓여 있다.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2.3 시기별 변화</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학계에서는 EU 입법 토픽이 2023~2024년에 가장 컸고(각 19.6%, 21.9%) 2025년에 7.5%로 줄었다. 저작권 토픽은 2019~2022년 4.2%에서 2024년 19.0%로 커졌으며, 데이터·개인정보 토픽은 2025~2026년에 25% 안팎으로 증가했다. 국가 전략·미중 경쟁 토픽은 2019~2022년 32.2%에서 2023~2024년 약 20%로 낮아졌다가 2025~2026년 약 30%로 돌아왔다.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뉴스에서는 국가 전략·미중 경쟁 토픽의 비중이 2019~2022년 68.8%, 2023년 59.5%, 2024년 70.9%에서 2025년 89.2%, 2026년 84.0%로 커졌다. EU 입법 토픽은 2023년 23.3%, 2024년 14.8%에서 2025년 4.5%, 2026년 4.7%로 줄었다. 하위 토픽으로는 2019~2022년에 국가 AI 경쟁력·인재가 44.0%로 가장 컸고(150건 기준), 2025년에는 딥시크·중국 오픈소스가 24.2%로 커졌으며, 2026년에는 정상 외교(29.8%)와 군사·전쟁 AI(26.4%)가 두드러졌다. 이들 토픽은 특정 사건</w:t>
      </w:r>
      <w:r>
        <w:rPr>
          <w:rFonts w:ascii="Times New Roman" w:cs="신명조" w:eastAsia="신명조" w:hAnsi="Times New Roman"/>
          <w:b w:val="false"/>
          <w:bCs w:val="false"/>
          <w:strike w:val="false"/>
          <w:color w:val="C00000"/>
          <w:sz w:val="22"/>
          <w:szCs w:val="22"/>
        </w:rPr>
        <w:t xml:space="preserve">과 시기가 겹친다 (이원재 외, 2024)</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3. 프레임 비교</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3.1 코딩 신뢰도</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프레임 코딩의 독립 일치도는 합산 60건에서 κ 0.51이고, 본 코딩 120건 중 21건(17.5%)이 연구자 검토에서 수정되었다(방법 4절). 가장 많이 수정된 방향은 구성에서 현실로(7건)로, 미국 정부·국방부·기업이 얽힌 위험·윤리 기사를 현실로 본 경우였다.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3.2 토픽별 프레임</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층(토픽)별 표본 10건에서 같은 프레임이 60% 이상이면 그 프레임으로 대응시켰다(표 3). 18개 층 중 9개가 대응되었다. 뉴스에서는 군사·전쟁 AI(60%), 국가 AI 경쟁력·인재(70%), 반도체 수출통제(80%), 딥시크·중국 오픈소스(100%)가 현실주의로 대응되었고, 저작권 토픽(60%)은 구성주의로 대응되었다. 학계에서는 EU 입법이 자유주의(70%), 윤리·국제규범과 책임·제조물책임이 구성주의(각 70%), 특허가 구성주의(60%)로 대응되었다. 학계의 국가 전략·미중 경쟁 토픽은 현실주의가 40%뿐이고 해당없음이 30%여서 혼합으로 남았다. 학계에서 국가 전략이라는 이름의 토픽이 지정학 프레임으로 구성된 것은 아니었다.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표 3. 층별 프레임 비율 (%, 연구자 최종, 층당 n=10)</w:t>
      </w:r>
    </w:p>
    <w:p>
      <w:pPr>
        <w:spacing w:line="384"/>
      </w:pPr>
      <w:r>
        <w:rPr>
          <w:rFonts w:ascii="신명조" w:cs="신명조" w:eastAsia="신명조" w:hAnsi="신명조"/>
          <w:b w:val="false"/>
          <w:bCs w:val="false"/>
          <w:sz w:val="22"/>
          <w:szCs w:val="22"/>
        </w:rPr>
        <w:t xml:space="preserve"/>
      </w:r>
    </w:p>
    <w:tbl>
      <w:tblPr>
        <w:tblW w:type="pct" w:w="100%"/>
        <w:tblBorders>
          <w:top w:val="single" w:color="000000" w:sz="4"/>
          <w:left w:val="none" w:color="FFFFFF" w:sz="0"/>
          <w:bottom w:val="single" w:color="000000" w:sz="4"/>
          <w:right w:val="none" w:color="FFFFFF" w:sz="0"/>
          <w:insideH w:val="single" w:color="000000" w:sz="2"/>
          <w:insideV w:val="none" w:color="FFFFFF" w:sz="0"/>
        </w:tblBorders>
      </w:tblPr>
      <w:tblGrid>
        <w:gridCol w:w="100"/>
        <w:gridCol w:w="100"/>
        <w:gridCol w:w="100"/>
        <w:gridCol w:w="100"/>
        <w:gridCol w:w="100"/>
        <w:gridCol w:w="100"/>
      </w:tblGrid>
      <w:tr>
        <w:tc>
          <w:p>
            <w:r>
              <w:rPr>
                <w:rFonts w:ascii="Times New Roman" w:cs="신명조" w:eastAsia="신명조" w:hAnsi="Times New Roman"/>
                <w:b/>
                <w:bCs/>
                <w:strike w:val="false"/>
                <w:sz w:val="20"/>
                <w:szCs w:val="20"/>
              </w:rPr>
              <w:t xml:space="preserve">층</w:t>
            </w:r>
          </w:p>
        </w:tc>
        <w:tc>
          <w:p>
            <w:r>
              <w:rPr>
                <w:rFonts w:ascii="Times New Roman" w:cs="신명조" w:eastAsia="신명조" w:hAnsi="Times New Roman"/>
                <w:b/>
                <w:bCs/>
                <w:strike w:val="false"/>
                <w:sz w:val="20"/>
                <w:szCs w:val="20"/>
              </w:rPr>
              <w:t xml:space="preserve">현실</w:t>
            </w:r>
          </w:p>
        </w:tc>
        <w:tc>
          <w:p>
            <w:r>
              <w:rPr>
                <w:rFonts w:ascii="Times New Roman" w:cs="신명조" w:eastAsia="신명조" w:hAnsi="Times New Roman"/>
                <w:b/>
                <w:bCs/>
                <w:strike w:val="false"/>
                <w:sz w:val="20"/>
                <w:szCs w:val="20"/>
              </w:rPr>
              <w:t xml:space="preserve">자유</w:t>
            </w:r>
          </w:p>
        </w:tc>
        <w:tc>
          <w:p>
            <w:r>
              <w:rPr>
                <w:rFonts w:ascii="Times New Roman" w:cs="신명조" w:eastAsia="신명조" w:hAnsi="Times New Roman"/>
                <w:b/>
                <w:bCs/>
                <w:strike w:val="false"/>
                <w:sz w:val="20"/>
                <w:szCs w:val="20"/>
              </w:rPr>
              <w:t xml:space="preserve">구성</w:t>
            </w:r>
          </w:p>
        </w:tc>
        <w:tc>
          <w:p>
            <w:r>
              <w:rPr>
                <w:rFonts w:ascii="Times New Roman" w:cs="신명조" w:eastAsia="신명조" w:hAnsi="Times New Roman"/>
                <w:b/>
                <w:bCs/>
                <w:strike w:val="false"/>
                <w:sz w:val="20"/>
                <w:szCs w:val="20"/>
              </w:rPr>
              <w:t xml:space="preserve">해당없음</w:t>
            </w:r>
          </w:p>
        </w:tc>
        <w:tc>
          <w:p>
            <w:r>
              <w:rPr>
                <w:rFonts w:ascii="Times New Roman" w:cs="신명조" w:eastAsia="신명조" w:hAnsi="Times New Roman"/>
                <w:b/>
                <w:bCs/>
                <w:strike w:val="false"/>
                <w:sz w:val="20"/>
                <w:szCs w:val="20"/>
              </w:rPr>
              <w:t xml:space="preserve">대응</w:t>
            </w:r>
          </w:p>
        </w:tc>
      </w:tr>
      <w:tr>
        <w:tc>
          <w:p>
            <w:r>
              <w:rPr>
                <w:rFonts w:ascii="Times New Roman" w:cs="신명조" w:eastAsia="신명조" w:hAnsi="Times New Roman"/>
                <w:b w:val="false"/>
                <w:bCs w:val="false"/>
                <w:strike w:val="false"/>
                <w:sz w:val="20"/>
                <w:szCs w:val="20"/>
              </w:rPr>
              <w:t xml:space="preserve">학계 특허</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60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구성</w:t>
            </w:r>
          </w:p>
        </w:tc>
      </w:tr>
      <w:tr>
        <w:tc>
          <w:p>
            <w:r>
              <w:rPr>
                <w:rFonts w:ascii="Times New Roman" w:cs="신명조" w:eastAsia="신명조" w:hAnsi="Times New Roman"/>
                <w:b w:val="false"/>
                <w:bCs w:val="false"/>
                <w:strike w:val="false"/>
                <w:sz w:val="20"/>
                <w:szCs w:val="20"/>
              </w:rPr>
              <w:t xml:space="preserve">학계 국가 전략·미중 경쟁</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혼합(현실)</w:t>
            </w:r>
          </w:p>
        </w:tc>
      </w:tr>
      <w:tr>
        <w:tc>
          <w:p>
            <w:r>
              <w:rPr>
                <w:rFonts w:ascii="Times New Roman" w:cs="신명조" w:eastAsia="신명조" w:hAnsi="Times New Roman"/>
                <w:b w:val="false"/>
                <w:bCs w:val="false"/>
                <w:strike w:val="false"/>
                <w:sz w:val="20"/>
                <w:szCs w:val="20"/>
              </w:rPr>
              <w:t xml:space="preserve">학계 EU 입법</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70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자유</w:t>
            </w:r>
          </w:p>
        </w:tc>
      </w:tr>
      <w:tr>
        <w:tc>
          <w:p>
            <w:r>
              <w:rPr>
                <w:rFonts w:ascii="Times New Roman" w:cs="신명조" w:eastAsia="신명조" w:hAnsi="Times New Roman"/>
                <w:b w:val="false"/>
                <w:bCs w:val="false"/>
                <w:strike w:val="false"/>
                <w:sz w:val="20"/>
                <w:szCs w:val="20"/>
              </w:rPr>
              <w:t xml:space="preserve">학계 윤리·국제규범</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70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구성</w:t>
            </w:r>
          </w:p>
        </w:tc>
      </w:tr>
      <w:tr>
        <w:tc>
          <w:p>
            <w:r>
              <w:rPr>
                <w:rFonts w:ascii="Times New Roman" w:cs="신명조" w:eastAsia="신명조" w:hAnsi="Times New Roman"/>
                <w:b w:val="false"/>
                <w:bCs w:val="false"/>
                <w:strike w:val="false"/>
                <w:sz w:val="20"/>
                <w:szCs w:val="20"/>
              </w:rPr>
              <w:t xml:space="preserve">학계 저작권</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50</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혼합(구성)</w:t>
            </w:r>
          </w:p>
        </w:tc>
      </w:tr>
      <w:tr>
        <w:tc>
          <w:p>
            <w:r>
              <w:rPr>
                <w:rFonts w:ascii="Times New Roman" w:cs="신명조" w:eastAsia="신명조" w:hAnsi="Times New Roman"/>
                <w:b w:val="false"/>
                <w:bCs w:val="false"/>
                <w:strike w:val="false"/>
                <w:sz w:val="20"/>
                <w:szCs w:val="20"/>
              </w:rPr>
              <w:t xml:space="preserve">학계 책임·제조물책임</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70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구성</w:t>
            </w:r>
          </w:p>
        </w:tc>
      </w:tr>
      <w:tr>
        <w:tc>
          <w:p>
            <w:r>
              <w:rPr>
                <w:rFonts w:ascii="Times New Roman" w:cs="신명조" w:eastAsia="신명조" w:hAnsi="Times New Roman"/>
                <w:b w:val="false"/>
                <w:bCs w:val="false"/>
                <w:strike w:val="false"/>
                <w:sz w:val="20"/>
                <w:szCs w:val="20"/>
              </w:rPr>
              <w:t xml:space="preserve">학계 데이터·개인정보</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혼합(자유)</w:t>
            </w:r>
          </w:p>
        </w:tc>
      </w:tr>
      <w:tr>
        <w:tc>
          <w:p>
            <w:r>
              <w:rPr>
                <w:rFonts w:ascii="Times New Roman" w:cs="신명조" w:eastAsia="신명조" w:hAnsi="Times New Roman"/>
                <w:b w:val="false"/>
                <w:bCs w:val="false"/>
                <w:strike w:val="false"/>
                <w:sz w:val="20"/>
                <w:szCs w:val="20"/>
              </w:rPr>
              <w:t xml:space="preserve">뉴스 정상 외교</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혼합(현실)</w:t>
            </w:r>
          </w:p>
        </w:tc>
      </w:tr>
      <w:tr>
        <w:tc>
          <w:p>
            <w:r>
              <w:rPr>
                <w:rFonts w:ascii="Times New Roman" w:cs="신명조" w:eastAsia="신명조" w:hAnsi="Times New Roman"/>
                <w:b w:val="false"/>
                <w:bCs w:val="false"/>
                <w:strike w:val="false"/>
                <w:sz w:val="20"/>
                <w:szCs w:val="20"/>
              </w:rPr>
              <w:t xml:space="preserve">뉴스 군사·전쟁 AI</w:t>
            </w:r>
          </w:p>
        </w:tc>
        <w:tc>
          <w:p>
            <w:r>
              <w:rPr>
                <w:rFonts w:ascii="Times New Roman" w:cs="신명조" w:eastAsia="신명조" w:hAnsi="Times New Roman"/>
                <w:b w:val="false"/>
                <w:bCs w:val="false"/>
                <w:strike w:val="false"/>
                <w:sz w:val="20"/>
                <w:szCs w:val="20"/>
              </w:rPr>
              <w:t xml:space="preserve">60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현실</w:t>
            </w:r>
          </w:p>
        </w:tc>
      </w:tr>
      <w:tr>
        <w:tc>
          <w:p>
            <w:r>
              <w:rPr>
                <w:rFonts w:ascii="Times New Roman" w:cs="신명조" w:eastAsia="신명조" w:hAnsi="Times New Roman"/>
                <w:b w:val="false"/>
                <w:bCs w:val="false"/>
                <w:strike w:val="false"/>
                <w:sz w:val="20"/>
                <w:szCs w:val="20"/>
              </w:rPr>
              <w:t xml:space="preserve">뉴스 국제회의·거버넌스</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혼합(자유)</w:t>
            </w:r>
          </w:p>
        </w:tc>
      </w:tr>
      <w:tr>
        <w:tc>
          <w:p>
            <w:r>
              <w:rPr>
                <w:rFonts w:ascii="Times New Roman" w:cs="신명조" w:eastAsia="신명조" w:hAnsi="Times New Roman"/>
                <w:b w:val="false"/>
                <w:bCs w:val="false"/>
                <w:strike w:val="false"/>
                <w:sz w:val="20"/>
                <w:szCs w:val="20"/>
              </w:rPr>
              <w:t xml:space="preserve">뉴스 국가 AI 경쟁력·인재</w:t>
            </w:r>
          </w:p>
        </w:tc>
        <w:tc>
          <w:p>
            <w:r>
              <w:rPr>
                <w:rFonts w:ascii="Times New Roman" w:cs="신명조" w:eastAsia="신명조" w:hAnsi="Times New Roman"/>
                <w:b w:val="false"/>
                <w:bCs w:val="false"/>
                <w:strike w:val="false"/>
                <w:sz w:val="20"/>
                <w:szCs w:val="20"/>
              </w:rPr>
              <w:t xml:space="preserve">70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현실</w:t>
            </w:r>
          </w:p>
        </w:tc>
      </w:tr>
      <w:tr>
        <w:tc>
          <w:p>
            <w:r>
              <w:rPr>
                <w:rFonts w:ascii="Times New Roman" w:cs="신명조" w:eastAsia="신명조" w:hAnsi="Times New Roman"/>
                <w:b w:val="false"/>
                <w:bCs w:val="false"/>
                <w:strike w:val="false"/>
                <w:sz w:val="20"/>
                <w:szCs w:val="20"/>
              </w:rPr>
              <w:t xml:space="preserve">뉴스 반도체 수출통제</w:t>
            </w:r>
          </w:p>
        </w:tc>
        <w:tc>
          <w:p>
            <w:r>
              <w:rPr>
                <w:rFonts w:ascii="Times New Roman" w:cs="신명조" w:eastAsia="신명조" w:hAnsi="Times New Roman"/>
                <w:b w:val="false"/>
                <w:bCs w:val="false"/>
                <w:strike w:val="false"/>
                <w:sz w:val="20"/>
                <w:szCs w:val="20"/>
              </w:rPr>
              <w:t xml:space="preserve">80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현실</w:t>
            </w:r>
          </w:p>
        </w:tc>
      </w:tr>
      <w:tr>
        <w:tc>
          <w:p>
            <w:r>
              <w:rPr>
                <w:rFonts w:ascii="Times New Roman" w:cs="신명조" w:eastAsia="신명조" w:hAnsi="Times New Roman"/>
                <w:b w:val="false"/>
                <w:bCs w:val="false"/>
                <w:strike w:val="false"/>
                <w:sz w:val="20"/>
                <w:szCs w:val="20"/>
              </w:rPr>
              <w:t xml:space="preserve">뉴스 딥시크·오픈소스</w:t>
            </w:r>
          </w:p>
        </w:tc>
        <w:tc>
          <w:p>
            <w:r>
              <w:rPr>
                <w:rFonts w:ascii="Times New Roman" w:cs="신명조" w:eastAsia="신명조" w:hAnsi="Times New Roman"/>
                <w:b w:val="false"/>
                <w:bCs w:val="false"/>
                <w:strike w:val="false"/>
                <w:sz w:val="20"/>
                <w:szCs w:val="20"/>
              </w:rPr>
              <w:t xml:space="preserve">100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현실</w:t>
            </w:r>
          </w:p>
        </w:tc>
      </w:tr>
      <w:tr>
        <w:tc>
          <w:p>
            <w:r>
              <w:rPr>
                <w:rFonts w:ascii="Times New Roman" w:cs="신명조" w:eastAsia="신명조" w:hAnsi="Times New Roman"/>
                <w:b w:val="false"/>
                <w:bCs w:val="false"/>
                <w:strike w:val="false"/>
                <w:sz w:val="20"/>
                <w:szCs w:val="20"/>
              </w:rPr>
              <w:t xml:space="preserve">뉴스 EU 입법</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50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혼합(자유)</w:t>
            </w:r>
          </w:p>
        </w:tc>
      </w:tr>
      <w:tr>
        <w:tc>
          <w:p>
            <w:r>
              <w:rPr>
                <w:rFonts w:ascii="Times New Roman" w:cs="신명조" w:eastAsia="신명조" w:hAnsi="Times New Roman"/>
                <w:b w:val="false"/>
                <w:bCs w:val="false"/>
                <w:strike w:val="false"/>
                <w:sz w:val="20"/>
                <w:szCs w:val="20"/>
              </w:rPr>
              <w:t xml:space="preserve">뉴스 윤리·국제규범</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50</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혼합(자유)</w:t>
            </w:r>
          </w:p>
        </w:tc>
      </w:tr>
      <w:tr>
        <w:tc>
          <w:p>
            <w:r>
              <w:rPr>
                <w:rFonts w:ascii="Times New Roman" w:cs="신명조" w:eastAsia="신명조" w:hAnsi="Times New Roman"/>
                <w:b w:val="false"/>
                <w:bCs w:val="false"/>
                <w:strike w:val="false"/>
                <w:sz w:val="20"/>
                <w:szCs w:val="20"/>
              </w:rPr>
              <w:t xml:space="preserve">뉴스 저작권</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60</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구성</w:t>
            </w:r>
          </w:p>
        </w:tc>
      </w:tr>
      <w:tr>
        <w:tc>
          <w:p>
            <w:r>
              <w:rPr>
                <w:rFonts w:ascii="Times New Roman" w:cs="신명조" w:eastAsia="신명조" w:hAnsi="Times New Roman"/>
                <w:b w:val="false"/>
                <w:bCs w:val="false"/>
                <w:strike w:val="false"/>
                <w:sz w:val="20"/>
                <w:szCs w:val="20"/>
              </w:rPr>
              <w:t xml:space="preserve">뉴스 책임·제조물책임</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0</w:t>
            </w:r>
          </w:p>
        </w:tc>
        <w:tc>
          <w:p>
            <w:r>
              <w:rPr>
                <w:rFonts w:ascii="Times New Roman" w:cs="신명조" w:eastAsia="신명조" w:hAnsi="Times New Roman"/>
                <w:b w:val="false"/>
                <w:bCs w:val="false"/>
                <w:strike w:val="false"/>
                <w:sz w:val="20"/>
                <w:szCs w:val="20"/>
              </w:rPr>
              <w:t xml:space="preserve">혼합(구성)</w:t>
            </w:r>
          </w:p>
        </w:tc>
      </w:tr>
      <w:tr>
        <w:tc>
          <w:p>
            <w:r>
              <w:rPr>
                <w:rFonts w:ascii="Times New Roman" w:cs="신명조" w:eastAsia="신명조" w:hAnsi="Times New Roman"/>
                <w:b w:val="false"/>
                <w:bCs w:val="false"/>
                <w:strike w:val="false"/>
                <w:sz w:val="20"/>
                <w:szCs w:val="20"/>
              </w:rPr>
              <w:t xml:space="preserve">뉴스 데이터·개인정보</w:t>
            </w:r>
          </w:p>
        </w:tc>
        <w:tc>
          <w:p>
            <w:r>
              <w:rPr>
                <w:rFonts w:ascii="Times New Roman" w:cs="신명조" w:eastAsia="신명조" w:hAnsi="Times New Roman"/>
                <w:b w:val="false"/>
                <w:bCs w:val="false"/>
                <w:strike w:val="false"/>
                <w:sz w:val="20"/>
                <w:szCs w:val="20"/>
              </w:rPr>
              <w:t xml:space="preserve">10</w:t>
            </w:r>
          </w:p>
        </w:tc>
        <w:tc>
          <w:p>
            <w:r>
              <w:rPr>
                <w:rFonts w:ascii="Times New Roman" w:cs="신명조" w:eastAsia="신명조" w:hAnsi="Times New Roman"/>
                <w:b w:val="false"/>
                <w:bCs w:val="false"/>
                <w:strike w:val="false"/>
                <w:sz w:val="20"/>
                <w:szCs w:val="20"/>
              </w:rPr>
              <w:t xml:space="preserve">40</w:t>
            </w:r>
          </w:p>
        </w:tc>
        <w:tc>
          <w:p>
            <w:r>
              <w:rPr>
                <w:rFonts w:ascii="Times New Roman" w:cs="신명조" w:eastAsia="신명조" w:hAnsi="Times New Roman"/>
                <w:b w:val="false"/>
                <w:bCs w:val="false"/>
                <w:strike w:val="false"/>
                <w:sz w:val="20"/>
                <w:szCs w:val="20"/>
              </w:rPr>
              <w:t xml:space="preserve">30</w:t>
            </w:r>
          </w:p>
        </w:tc>
        <w:tc>
          <w:p>
            <w:r>
              <w:rPr>
                <w:rFonts w:ascii="Times New Roman" w:cs="신명조" w:eastAsia="신명조" w:hAnsi="Times New Roman"/>
                <w:b w:val="false"/>
                <w:bCs w:val="false"/>
                <w:strike w:val="false"/>
                <w:sz w:val="20"/>
                <w:szCs w:val="20"/>
              </w:rPr>
              <w:t xml:space="preserve">20</w:t>
            </w:r>
          </w:p>
        </w:tc>
        <w:tc>
          <w:p>
            <w:r>
              <w:rPr>
                <w:rFonts w:ascii="Times New Roman" w:cs="신명조" w:eastAsia="신명조" w:hAnsi="Times New Roman"/>
                <w:b w:val="false"/>
                <w:bCs w:val="false"/>
                <w:strike w:val="false"/>
                <w:sz w:val="20"/>
                <w:szCs w:val="20"/>
              </w:rPr>
              <w:t xml:space="preserve">혼합(자유)</w:t>
            </w:r>
          </w:p>
        </w:tc>
      </w:tr>
    </w:tbl>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주: 60%에 정확히 걸린 대응(학계 특허, 뉴스 군사·전쟁 AI, 뉴스 저작권)은 한 건의 변화로 혼합이 될 수 있다. 뉴스 책임·제조물책임 층은 코퍼스에서 18건뿐이다.</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3.3 뉴스와 학계의 프레임 비율</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층 크기로 가중한 프레임 비율은 뉴스에서 현실주의 54%(95% CI 46~63), 자유주의 23%(15~32), 구성주의 15%(9~22), 해당없음 8%였고, 학계에서 현실주의 21%(11~32), 자유주의 33%(22~45), 구성주의 36%(26~47), 해당없음 10%였다(표 4). 현실주의 비중의 차이는 약 33%p이고 두 신뢰구간은 겹치지 않는다. 학계에서 자유주의와 구성주의를 합하면 69%이며 뉴스에서는 38%이다. AI 보조 코더의 코딩만으로 계산해도 현실주의는 뉴스 53%, 학계 24%로 같은 방향이다. 다만 학계에서 구성주의 비중은 연구자 코딩 36%, AI 보조 코더 32%로, 뉴스에서는 15% 대 23%로 코더에 따라 달랐다.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표 4. 가중 프레임 비율 (%, 괄호는 95% 부트스트랩 CI)</w:t>
      </w:r>
    </w:p>
    <w:p>
      <w:pPr>
        <w:spacing w:line="384"/>
      </w:pPr>
      <w:r>
        <w:rPr>
          <w:rFonts w:ascii="신명조" w:cs="신명조" w:eastAsia="신명조" w:hAnsi="신명조"/>
          <w:b w:val="false"/>
          <w:bCs w:val="false"/>
          <w:sz w:val="22"/>
          <w:szCs w:val="22"/>
        </w:rPr>
        <w:t xml:space="preserve"/>
      </w:r>
    </w:p>
    <w:tbl>
      <w:tblPr>
        <w:tblW w:type="pct" w:w="100%"/>
        <w:tblBorders>
          <w:top w:val="single" w:color="000000" w:sz="4"/>
          <w:left w:val="none" w:color="FFFFFF" w:sz="0"/>
          <w:bottom w:val="single" w:color="000000" w:sz="4"/>
          <w:right w:val="none" w:color="FFFFFF" w:sz="0"/>
          <w:insideH w:val="single" w:color="000000" w:sz="2"/>
          <w:insideV w:val="none" w:color="FFFFFF" w:sz="0"/>
        </w:tblBorders>
      </w:tblPr>
      <w:tblGrid>
        <w:gridCol w:w="100"/>
        <w:gridCol w:w="100"/>
        <w:gridCol w:w="100"/>
        <w:gridCol w:w="100"/>
        <w:gridCol w:w="100"/>
      </w:tblGrid>
      <w:tr>
        <w:tc>
          <w:p>
            <w:r>
              <w:rPr>
                <w:rFonts w:ascii="Times New Roman" w:cs="신명조" w:eastAsia="신명조" w:hAnsi="Times New Roman"/>
                <w:b/>
                <w:bCs/>
                <w:strike w:val="false"/>
                <w:sz w:val="20"/>
                <w:szCs w:val="20"/>
              </w:rPr>
              <w:t xml:space="preserve">구분</w:t>
            </w:r>
          </w:p>
        </w:tc>
        <w:tc>
          <w:p>
            <w:r>
              <w:rPr>
                <w:rFonts w:ascii="Times New Roman" w:cs="신명조" w:eastAsia="신명조" w:hAnsi="Times New Roman"/>
                <w:b/>
                <w:bCs/>
                <w:strike w:val="false"/>
                <w:sz w:val="20"/>
                <w:szCs w:val="20"/>
              </w:rPr>
              <w:t xml:space="preserve">현실</w:t>
            </w:r>
          </w:p>
        </w:tc>
        <w:tc>
          <w:p>
            <w:r>
              <w:rPr>
                <w:rFonts w:ascii="Times New Roman" w:cs="신명조" w:eastAsia="신명조" w:hAnsi="Times New Roman"/>
                <w:b/>
                <w:bCs/>
                <w:strike w:val="false"/>
                <w:sz w:val="20"/>
                <w:szCs w:val="20"/>
              </w:rPr>
              <w:t xml:space="preserve">자유</w:t>
            </w:r>
          </w:p>
        </w:tc>
        <w:tc>
          <w:p>
            <w:r>
              <w:rPr>
                <w:rFonts w:ascii="Times New Roman" w:cs="신명조" w:eastAsia="신명조" w:hAnsi="Times New Roman"/>
                <w:b/>
                <w:bCs/>
                <w:strike w:val="false"/>
                <w:sz w:val="20"/>
                <w:szCs w:val="20"/>
              </w:rPr>
              <w:t xml:space="preserve">구성</w:t>
            </w:r>
          </w:p>
        </w:tc>
        <w:tc>
          <w:p>
            <w:r>
              <w:rPr>
                <w:rFonts w:ascii="Times New Roman" w:cs="신명조" w:eastAsia="신명조" w:hAnsi="Times New Roman"/>
                <w:b/>
                <w:bCs/>
                <w:strike w:val="false"/>
                <w:sz w:val="20"/>
                <w:szCs w:val="20"/>
              </w:rPr>
              <w:t xml:space="preserve">해당없음</w:t>
            </w:r>
          </w:p>
        </w:tc>
      </w:tr>
      <w:tr>
        <w:tc>
          <w:p>
            <w:r>
              <w:rPr>
                <w:rFonts w:ascii="Times New Roman" w:cs="신명조" w:eastAsia="신명조" w:hAnsi="Times New Roman"/>
                <w:b w:val="false"/>
                <w:bCs w:val="false"/>
                <w:strike w:val="false"/>
                <w:sz w:val="20"/>
                <w:szCs w:val="20"/>
              </w:rPr>
              <w:t xml:space="preserve">뉴스 (연구자 최종)</w:t>
            </w:r>
          </w:p>
        </w:tc>
        <w:tc>
          <w:p>
            <w:r>
              <w:rPr>
                <w:rFonts w:ascii="Times New Roman" w:cs="신명조" w:eastAsia="신명조" w:hAnsi="Times New Roman"/>
                <w:b w:val="false"/>
                <w:bCs w:val="false"/>
                <w:strike w:val="false"/>
                <w:sz w:val="20"/>
                <w:szCs w:val="20"/>
              </w:rPr>
              <w:t xml:space="preserve">54 (46–63)</w:t>
            </w:r>
          </w:p>
        </w:tc>
        <w:tc>
          <w:p>
            <w:r>
              <w:rPr>
                <w:rFonts w:ascii="Times New Roman" w:cs="신명조" w:eastAsia="신명조" w:hAnsi="Times New Roman"/>
                <w:b w:val="false"/>
                <w:bCs w:val="false"/>
                <w:strike w:val="false"/>
                <w:sz w:val="20"/>
                <w:szCs w:val="20"/>
              </w:rPr>
              <w:t xml:space="preserve">23 (15–32)</w:t>
            </w:r>
          </w:p>
        </w:tc>
        <w:tc>
          <w:p>
            <w:r>
              <w:rPr>
                <w:rFonts w:ascii="Times New Roman" w:cs="신명조" w:eastAsia="신명조" w:hAnsi="Times New Roman"/>
                <w:b w:val="false"/>
                <w:bCs w:val="false"/>
                <w:strike w:val="false"/>
                <w:sz w:val="20"/>
                <w:szCs w:val="20"/>
              </w:rPr>
              <w:t xml:space="preserve">15 (9–22)</w:t>
            </w:r>
          </w:p>
        </w:tc>
        <w:tc>
          <w:p>
            <w:r>
              <w:rPr>
                <w:rFonts w:ascii="Times New Roman" w:cs="신명조" w:eastAsia="신명조" w:hAnsi="Times New Roman"/>
                <w:b w:val="false"/>
                <w:bCs w:val="false"/>
                <w:strike w:val="false"/>
                <w:sz w:val="20"/>
                <w:szCs w:val="20"/>
              </w:rPr>
              <w:t xml:space="preserve">8 (3–13)</w:t>
            </w:r>
          </w:p>
        </w:tc>
      </w:tr>
      <w:tr>
        <w:tc>
          <w:p>
            <w:r>
              <w:rPr>
                <w:rFonts w:ascii="Times New Roman" w:cs="신명조" w:eastAsia="신명조" w:hAnsi="Times New Roman"/>
                <w:b w:val="false"/>
                <w:bCs w:val="false"/>
                <w:strike w:val="false"/>
                <w:sz w:val="20"/>
                <w:szCs w:val="20"/>
              </w:rPr>
              <w:t xml:space="preserve">학계 (연구자 최종)</w:t>
            </w:r>
          </w:p>
        </w:tc>
        <w:tc>
          <w:p>
            <w:r>
              <w:rPr>
                <w:rFonts w:ascii="Times New Roman" w:cs="신명조" w:eastAsia="신명조" w:hAnsi="Times New Roman"/>
                <w:b w:val="false"/>
                <w:bCs w:val="false"/>
                <w:strike w:val="false"/>
                <w:sz w:val="20"/>
                <w:szCs w:val="20"/>
              </w:rPr>
              <w:t xml:space="preserve">21 (11–32)</w:t>
            </w:r>
          </w:p>
        </w:tc>
        <w:tc>
          <w:p>
            <w:r>
              <w:rPr>
                <w:rFonts w:ascii="Times New Roman" w:cs="신명조" w:eastAsia="신명조" w:hAnsi="Times New Roman"/>
                <w:b w:val="false"/>
                <w:bCs w:val="false"/>
                <w:strike w:val="false"/>
                <w:sz w:val="20"/>
                <w:szCs w:val="20"/>
              </w:rPr>
              <w:t xml:space="preserve">33 (22–45)</w:t>
            </w:r>
          </w:p>
        </w:tc>
        <w:tc>
          <w:p>
            <w:r>
              <w:rPr>
                <w:rFonts w:ascii="Times New Roman" w:cs="신명조" w:eastAsia="신명조" w:hAnsi="Times New Roman"/>
                <w:b w:val="false"/>
                <w:bCs w:val="false"/>
                <w:strike w:val="false"/>
                <w:sz w:val="20"/>
                <w:szCs w:val="20"/>
              </w:rPr>
              <w:t xml:space="preserve">36 (26–47)</w:t>
            </w:r>
          </w:p>
        </w:tc>
        <w:tc>
          <w:p>
            <w:r>
              <w:rPr>
                <w:rFonts w:ascii="Times New Roman" w:cs="신명조" w:eastAsia="신명조" w:hAnsi="Times New Roman"/>
                <w:b w:val="false"/>
                <w:bCs w:val="false"/>
                <w:strike w:val="false"/>
                <w:sz w:val="20"/>
                <w:szCs w:val="20"/>
              </w:rPr>
              <w:t xml:space="preserve">10 (3–18)</w:t>
            </w:r>
          </w:p>
        </w:tc>
      </w:tr>
      <w:tr>
        <w:tc>
          <w:p>
            <w:r>
              <w:rPr>
                <w:rFonts w:ascii="Times New Roman" w:cs="신명조" w:eastAsia="신명조" w:hAnsi="Times New Roman"/>
                <w:b w:val="false"/>
                <w:bCs w:val="false"/>
                <w:strike w:val="false"/>
                <w:sz w:val="20"/>
                <w:szCs w:val="20"/>
              </w:rPr>
              <w:t xml:space="preserve">뉴스 (AI 보조 코더만)</w:t>
            </w:r>
          </w:p>
        </w:tc>
        <w:tc>
          <w:p>
            <w:r>
              <w:rPr>
                <w:rFonts w:ascii="Times New Roman" w:cs="신명조" w:eastAsia="신명조" w:hAnsi="Times New Roman"/>
                <w:b w:val="false"/>
                <w:bCs w:val="false"/>
                <w:strike w:val="false"/>
                <w:sz w:val="20"/>
                <w:szCs w:val="20"/>
              </w:rPr>
              <w:t xml:space="preserve">53 (46–61)</w:t>
            </w:r>
          </w:p>
        </w:tc>
        <w:tc>
          <w:p>
            <w:r>
              <w:rPr>
                <w:rFonts w:ascii="Times New Roman" w:cs="신명조" w:eastAsia="신명조" w:hAnsi="Times New Roman"/>
                <w:b w:val="false"/>
                <w:bCs w:val="false"/>
                <w:strike w:val="false"/>
                <w:sz w:val="20"/>
                <w:szCs w:val="20"/>
              </w:rPr>
              <w:t xml:space="preserve">18 (12–24)</w:t>
            </w:r>
          </w:p>
        </w:tc>
        <w:tc>
          <w:p>
            <w:r>
              <w:rPr>
                <w:rFonts w:ascii="Times New Roman" w:cs="신명조" w:eastAsia="신명조" w:hAnsi="Times New Roman"/>
                <w:b w:val="false"/>
                <w:bCs w:val="false"/>
                <w:strike w:val="false"/>
                <w:sz w:val="20"/>
                <w:szCs w:val="20"/>
              </w:rPr>
              <w:t xml:space="preserve">23 (16–30)</w:t>
            </w:r>
          </w:p>
        </w:tc>
        <w:tc>
          <w:p>
            <w:r>
              <w:rPr>
                <w:rFonts w:ascii="Times New Roman" w:cs="신명조" w:eastAsia="신명조" w:hAnsi="Times New Roman"/>
                <w:b w:val="false"/>
                <w:bCs w:val="false"/>
                <w:strike w:val="false"/>
                <w:sz w:val="20"/>
                <w:szCs w:val="20"/>
              </w:rPr>
              <w:t xml:space="preserve">6 (1–10)</w:t>
            </w:r>
          </w:p>
        </w:tc>
      </w:tr>
      <w:tr>
        <w:tc>
          <w:p>
            <w:r>
              <w:rPr>
                <w:rFonts w:ascii="Times New Roman" w:cs="신명조" w:eastAsia="신명조" w:hAnsi="Times New Roman"/>
                <w:b w:val="false"/>
                <w:bCs w:val="false"/>
                <w:strike w:val="false"/>
                <w:sz w:val="20"/>
                <w:szCs w:val="20"/>
              </w:rPr>
              <w:t xml:space="preserve">학계 (AI 보조 코더만)</w:t>
            </w:r>
          </w:p>
        </w:tc>
        <w:tc>
          <w:p>
            <w:r>
              <w:rPr>
                <w:rFonts w:ascii="Times New Roman" w:cs="신명조" w:eastAsia="신명조" w:hAnsi="Times New Roman"/>
                <w:b w:val="false"/>
                <w:bCs w:val="false"/>
                <w:strike w:val="false"/>
                <w:sz w:val="20"/>
                <w:szCs w:val="20"/>
              </w:rPr>
              <w:t xml:space="preserve">24 (14–34)</w:t>
            </w:r>
          </w:p>
        </w:tc>
        <w:tc>
          <w:p>
            <w:r>
              <w:rPr>
                <w:rFonts w:ascii="Times New Roman" w:cs="신명조" w:eastAsia="신명조" w:hAnsi="Times New Roman"/>
                <w:b w:val="false"/>
                <w:bCs w:val="false"/>
                <w:strike w:val="false"/>
                <w:sz w:val="20"/>
                <w:szCs w:val="20"/>
              </w:rPr>
              <w:t xml:space="preserve">39 (29–51)</w:t>
            </w:r>
          </w:p>
        </w:tc>
        <w:tc>
          <w:p>
            <w:r>
              <w:rPr>
                <w:rFonts w:ascii="Times New Roman" w:cs="신명조" w:eastAsia="신명조" w:hAnsi="Times New Roman"/>
                <w:b w:val="false"/>
                <w:bCs w:val="false"/>
                <w:strike w:val="false"/>
                <w:sz w:val="20"/>
                <w:szCs w:val="20"/>
              </w:rPr>
              <w:t xml:space="preserve">32 (23–41)</w:t>
            </w:r>
          </w:p>
        </w:tc>
        <w:tc>
          <w:p>
            <w:r>
              <w:rPr>
                <w:rFonts w:ascii="Times New Roman" w:cs="신명조" w:eastAsia="신명조" w:hAnsi="Times New Roman"/>
                <w:b w:val="false"/>
                <w:bCs w:val="false"/>
                <w:strike w:val="false"/>
                <w:sz w:val="20"/>
                <w:szCs w:val="20"/>
              </w:rPr>
              <w:t xml:space="preserve">4 (0–11)</w:t>
            </w:r>
          </w:p>
        </w:tc>
      </w:tr>
    </w:tbl>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3.4 연도별 프레임 추정</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각 층의 표본 프레임 비율이 연도에 따라 변하지 않는다는 가정 아래 층의 연도별 문서 수로 합산해 연도별 비율을 추정하였다(표 5, 그림 1). 뉴스의 현실주의 비중은 2019~2022년 51%, 2023년 42%, 2024년 49%에서 2025년 65%로 가장 높아졌고 2026년에 54%였다. 학계의 현실주의 비중은 17~23%로 연도에 따라 거의 변하지 않았고 자유주의 31~37%, 구성주의 34~42%도 큰 변화가 없었다. 매년 뉴스와 학계의 현실주의 비중 차이는 25~42%p였고 모든 연도에서 두 신뢰구간이 겹치지 않았다. 뉴스의 연도별 변화는 어떤 토픽이 커졌는지에서 비롯된 것이며 같은 토픽 안의 프레임이 변했는지는 이 표본으로 확인할 수 없다.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bCs/>
          <w:strike w:val="false"/>
          <w:sz w:val="22"/>
          <w:szCs w:val="22"/>
        </w:rPr>
        <w:t xml:space="preserve">표 5. 연도별 프레임 추정 (%, 괄호는 95% CI)</w:t>
      </w:r>
    </w:p>
    <w:p>
      <w:pPr>
        <w:spacing w:line="384"/>
      </w:pPr>
      <w:r>
        <w:rPr>
          <w:rFonts w:ascii="신명조" w:cs="신명조" w:eastAsia="신명조" w:hAnsi="신명조"/>
          <w:b w:val="false"/>
          <w:bCs w:val="false"/>
          <w:sz w:val="22"/>
          <w:szCs w:val="22"/>
        </w:rPr>
        <w:t xml:space="preserve"/>
      </w:r>
    </w:p>
    <w:tbl>
      <w:tblPr>
        <w:tblW w:type="pct" w:w="100%"/>
        <w:tblBorders>
          <w:top w:val="single" w:color="000000" w:sz="4"/>
          <w:left w:val="none" w:color="FFFFFF" w:sz="0"/>
          <w:bottom w:val="single" w:color="000000" w:sz="4"/>
          <w:right w:val="none" w:color="FFFFFF" w:sz="0"/>
          <w:insideH w:val="single" w:color="000000" w:sz="2"/>
          <w:insideV w:val="none" w:color="FFFFFF" w:sz="0"/>
        </w:tblBorders>
      </w:tblPr>
      <w:tblGrid>
        <w:gridCol w:w="100"/>
        <w:gridCol w:w="100"/>
        <w:gridCol w:w="100"/>
        <w:gridCol w:w="100"/>
        <w:gridCol w:w="100"/>
        <w:gridCol w:w="100"/>
        <w:gridCol w:w="100"/>
      </w:tblGrid>
      <w:tr>
        <w:tc>
          <w:p>
            <w:r>
              <w:rPr>
                <w:rFonts w:ascii="Times New Roman" w:cs="신명조" w:eastAsia="신명조" w:hAnsi="Times New Roman"/>
                <w:b/>
                <w:bCs/>
                <w:strike w:val="false"/>
                <w:sz w:val="20"/>
                <w:szCs w:val="20"/>
              </w:rPr>
              <w:t xml:space="preserve">구분</w:t>
            </w:r>
          </w:p>
        </w:tc>
        <w:tc>
          <w:p>
            <w:r>
              <w:rPr>
                <w:rFonts w:ascii="Times New Roman" w:cs="신명조" w:eastAsia="신명조" w:hAnsi="Times New Roman"/>
                <w:b/>
                <w:bCs/>
                <w:strike w:val="false"/>
                <w:sz w:val="20"/>
                <w:szCs w:val="20"/>
              </w:rPr>
              <w:t xml:space="preserve">연도</w:t>
            </w:r>
          </w:p>
        </w:tc>
        <w:tc>
          <w:p>
            <w:r>
              <w:rPr>
                <w:rFonts w:ascii="Times New Roman" w:cs="신명조" w:eastAsia="신명조" w:hAnsi="Times New Roman"/>
                <w:b/>
                <w:bCs/>
                <w:strike w:val="false"/>
                <w:sz w:val="20"/>
                <w:szCs w:val="20"/>
              </w:rPr>
              <w:t xml:space="preserve">N</w:t>
            </w:r>
          </w:p>
        </w:tc>
        <w:tc>
          <w:p>
            <w:r>
              <w:rPr>
                <w:rFonts w:ascii="Times New Roman" w:cs="신명조" w:eastAsia="신명조" w:hAnsi="Times New Roman"/>
                <w:b/>
                <w:bCs/>
                <w:strike w:val="false"/>
                <w:sz w:val="20"/>
                <w:szCs w:val="20"/>
              </w:rPr>
              <w:t xml:space="preserve">현실</w:t>
            </w:r>
          </w:p>
        </w:tc>
        <w:tc>
          <w:p>
            <w:r>
              <w:rPr>
                <w:rFonts w:ascii="Times New Roman" w:cs="신명조" w:eastAsia="신명조" w:hAnsi="Times New Roman"/>
                <w:b/>
                <w:bCs/>
                <w:strike w:val="false"/>
                <w:sz w:val="20"/>
                <w:szCs w:val="20"/>
              </w:rPr>
              <w:t xml:space="preserve">자유</w:t>
            </w:r>
          </w:p>
        </w:tc>
        <w:tc>
          <w:p>
            <w:r>
              <w:rPr>
                <w:rFonts w:ascii="Times New Roman" w:cs="신명조" w:eastAsia="신명조" w:hAnsi="Times New Roman"/>
                <w:b/>
                <w:bCs/>
                <w:strike w:val="false"/>
                <w:sz w:val="20"/>
                <w:szCs w:val="20"/>
              </w:rPr>
              <w:t xml:space="preserve">구성</w:t>
            </w:r>
          </w:p>
        </w:tc>
        <w:tc>
          <w:p>
            <w:r>
              <w:rPr>
                <w:rFonts w:ascii="Times New Roman" w:cs="신명조" w:eastAsia="신명조" w:hAnsi="Times New Roman"/>
                <w:b/>
                <w:bCs/>
                <w:strike w:val="false"/>
                <w:sz w:val="20"/>
                <w:szCs w:val="20"/>
              </w:rPr>
              <w:t xml:space="preserve">해당없음</w:t>
            </w:r>
          </w:p>
        </w:tc>
      </w:tr>
      <w:tr>
        <w:tc>
          <w:p>
            <w:r>
              <w:rPr>
                <w:rFonts w:ascii="Times New Roman" w:cs="신명조" w:eastAsia="신명조" w:hAnsi="Times New Roman"/>
                <w:b w:val="false"/>
                <w:bCs w:val="false"/>
                <w:strike w:val="false"/>
                <w:sz w:val="20"/>
                <w:szCs w:val="20"/>
              </w:rPr>
              <w:t xml:space="preserve">뉴스</w:t>
            </w:r>
          </w:p>
        </w:tc>
        <w:tc>
          <w:p>
            <w:r>
              <w:rPr>
                <w:rFonts w:ascii="Times New Roman" w:cs="신명조" w:eastAsia="신명조" w:hAnsi="Times New Roman"/>
                <w:b w:val="false"/>
                <w:bCs w:val="false"/>
                <w:strike w:val="false"/>
                <w:sz w:val="20"/>
                <w:szCs w:val="20"/>
              </w:rPr>
              <w:t xml:space="preserve">2019–22</w:t>
            </w:r>
          </w:p>
        </w:tc>
        <w:tc>
          <w:p>
            <w:r>
              <w:rPr>
                <w:rFonts w:ascii="Times New Roman" w:cs="신명조" w:eastAsia="신명조" w:hAnsi="Times New Roman"/>
                <w:b w:val="false"/>
                <w:bCs w:val="false"/>
                <w:strike w:val="false"/>
                <w:sz w:val="20"/>
                <w:szCs w:val="20"/>
              </w:rPr>
              <w:t xml:space="preserve">211</w:t>
            </w:r>
          </w:p>
        </w:tc>
        <w:tc>
          <w:p>
            <w:r>
              <w:rPr>
                <w:rFonts w:ascii="Times New Roman" w:cs="신명조" w:eastAsia="신명조" w:hAnsi="Times New Roman"/>
                <w:b w:val="false"/>
                <w:bCs w:val="false"/>
                <w:strike w:val="false"/>
                <w:sz w:val="20"/>
                <w:szCs w:val="20"/>
              </w:rPr>
              <w:t xml:space="preserve">51 (39–63)</w:t>
            </w:r>
          </w:p>
        </w:tc>
        <w:tc>
          <w:p>
            <w:r>
              <w:rPr>
                <w:rFonts w:ascii="Times New Roman" w:cs="신명조" w:eastAsia="신명조" w:hAnsi="Times New Roman"/>
                <w:b w:val="false"/>
                <w:bCs w:val="false"/>
                <w:strike w:val="false"/>
                <w:sz w:val="20"/>
                <w:szCs w:val="20"/>
              </w:rPr>
              <w:t xml:space="preserve">21 (15–29)</w:t>
            </w:r>
          </w:p>
        </w:tc>
        <w:tc>
          <w:p>
            <w:r>
              <w:rPr>
                <w:rFonts w:ascii="Times New Roman" w:cs="신명조" w:eastAsia="신명조" w:hAnsi="Times New Roman"/>
                <w:b w:val="false"/>
                <w:bCs w:val="false"/>
                <w:strike w:val="false"/>
                <w:sz w:val="20"/>
                <w:szCs w:val="20"/>
              </w:rPr>
              <w:t xml:space="preserve">15 (8–21)</w:t>
            </w:r>
          </w:p>
        </w:tc>
        <w:tc>
          <w:p>
            <w:r>
              <w:rPr>
                <w:rFonts w:ascii="Times New Roman" w:cs="신명조" w:eastAsia="신명조" w:hAnsi="Times New Roman"/>
                <w:b w:val="false"/>
                <w:bCs w:val="false"/>
                <w:strike w:val="false"/>
                <w:sz w:val="20"/>
                <w:szCs w:val="20"/>
              </w:rPr>
              <w:t xml:space="preserve">13 (4–22)</w:t>
            </w:r>
          </w:p>
        </w:tc>
      </w:tr>
      <w:tr>
        <w:tc>
          <w:p>
            <w:r>
              <w:rPr>
                <w:rFonts w:ascii="Times New Roman" w:cs="신명조" w:eastAsia="신명조" w:hAnsi="Times New Roman"/>
                <w:b w:val="false"/>
                <w:bCs w:val="false"/>
                <w:strike w:val="false"/>
                <w:sz w:val="20"/>
                <w:szCs w:val="20"/>
              </w:rPr>
              <w:t xml:space="preserve">뉴스</w:t>
            </w:r>
          </w:p>
        </w:tc>
        <w:tc>
          <w:p>
            <w:r>
              <w:rPr>
                <w:rFonts w:ascii="Times New Roman" w:cs="신명조" w:eastAsia="신명조" w:hAnsi="Times New Roman"/>
                <w:b w:val="false"/>
                <w:bCs w:val="false"/>
                <w:strike w:val="false"/>
                <w:sz w:val="20"/>
                <w:szCs w:val="20"/>
              </w:rPr>
              <w:t xml:space="preserve">2023</w:t>
            </w:r>
          </w:p>
        </w:tc>
        <w:tc>
          <w:p>
            <w:r>
              <w:rPr>
                <w:rFonts w:ascii="Times New Roman" w:cs="신명조" w:eastAsia="신명조" w:hAnsi="Times New Roman"/>
                <w:b w:val="false"/>
                <w:bCs w:val="false"/>
                <w:strike w:val="false"/>
                <w:sz w:val="20"/>
                <w:szCs w:val="20"/>
              </w:rPr>
              <w:t xml:space="preserve">709</w:t>
            </w:r>
          </w:p>
        </w:tc>
        <w:tc>
          <w:p>
            <w:r>
              <w:rPr>
                <w:rFonts w:ascii="Times New Roman" w:cs="신명조" w:eastAsia="신명조" w:hAnsi="Times New Roman"/>
                <w:b w:val="false"/>
                <w:bCs w:val="false"/>
                <w:strike w:val="false"/>
                <w:sz w:val="20"/>
                <w:szCs w:val="20"/>
              </w:rPr>
              <w:t xml:space="preserve">42 (33–51)</w:t>
            </w:r>
          </w:p>
        </w:tc>
        <w:tc>
          <w:p>
            <w:r>
              <w:rPr>
                <w:rFonts w:ascii="Times New Roman" w:cs="신명조" w:eastAsia="신명조" w:hAnsi="Times New Roman"/>
                <w:b w:val="false"/>
                <w:bCs w:val="false"/>
                <w:strike w:val="false"/>
                <w:sz w:val="20"/>
                <w:szCs w:val="20"/>
              </w:rPr>
              <w:t xml:space="preserve">32 (21–43)</w:t>
            </w:r>
          </w:p>
        </w:tc>
        <w:tc>
          <w:p>
            <w:r>
              <w:rPr>
                <w:rFonts w:ascii="Times New Roman" w:cs="신명조" w:eastAsia="신명조" w:hAnsi="Times New Roman"/>
                <w:b w:val="false"/>
                <w:bCs w:val="false"/>
                <w:strike w:val="false"/>
                <w:sz w:val="20"/>
                <w:szCs w:val="20"/>
              </w:rPr>
              <w:t xml:space="preserve">19 (11–27)</w:t>
            </w:r>
          </w:p>
        </w:tc>
        <w:tc>
          <w:p>
            <w:r>
              <w:rPr>
                <w:rFonts w:ascii="Times New Roman" w:cs="신명조" w:eastAsia="신명조" w:hAnsi="Times New Roman"/>
                <w:b w:val="false"/>
                <w:bCs w:val="false"/>
                <w:strike w:val="false"/>
                <w:sz w:val="20"/>
                <w:szCs w:val="20"/>
              </w:rPr>
              <w:t xml:space="preserve">8 (3–13)</w:t>
            </w:r>
          </w:p>
        </w:tc>
      </w:tr>
      <w:tr>
        <w:tc>
          <w:p>
            <w:r>
              <w:rPr>
                <w:rFonts w:ascii="Times New Roman" w:cs="신명조" w:eastAsia="신명조" w:hAnsi="Times New Roman"/>
                <w:b w:val="false"/>
                <w:bCs w:val="false"/>
                <w:strike w:val="false"/>
                <w:sz w:val="20"/>
                <w:szCs w:val="20"/>
              </w:rPr>
              <w:t xml:space="preserve">뉴스</w:t>
            </w:r>
          </w:p>
        </w:tc>
        <w:tc>
          <w:p>
            <w:r>
              <w:rPr>
                <w:rFonts w:ascii="Times New Roman" w:cs="신명조" w:eastAsia="신명조" w:hAnsi="Times New Roman"/>
                <w:b w:val="false"/>
                <w:bCs w:val="false"/>
                <w:strike w:val="false"/>
                <w:sz w:val="20"/>
                <w:szCs w:val="20"/>
              </w:rPr>
              <w:t xml:space="preserve">2024</w:t>
            </w:r>
          </w:p>
        </w:tc>
        <w:tc>
          <w:p>
            <w:r>
              <w:rPr>
                <w:rFonts w:ascii="Times New Roman" w:cs="신명조" w:eastAsia="신명조" w:hAnsi="Times New Roman"/>
                <w:b w:val="false"/>
                <w:bCs w:val="false"/>
                <w:strike w:val="false"/>
                <w:sz w:val="20"/>
                <w:szCs w:val="20"/>
              </w:rPr>
              <w:t xml:space="preserve">796</w:t>
            </w:r>
          </w:p>
        </w:tc>
        <w:tc>
          <w:p>
            <w:r>
              <w:rPr>
                <w:rFonts w:ascii="Times New Roman" w:cs="신명조" w:eastAsia="신명조" w:hAnsi="Times New Roman"/>
                <w:b w:val="false"/>
                <w:bCs w:val="false"/>
                <w:strike w:val="false"/>
                <w:sz w:val="20"/>
                <w:szCs w:val="20"/>
              </w:rPr>
              <w:t xml:space="preserve">49 (40–59)</w:t>
            </w:r>
          </w:p>
        </w:tc>
        <w:tc>
          <w:p>
            <w:r>
              <w:rPr>
                <w:rFonts w:ascii="Times New Roman" w:cs="신명조" w:eastAsia="신명조" w:hAnsi="Times New Roman"/>
                <w:b w:val="false"/>
                <w:bCs w:val="false"/>
                <w:strike w:val="false"/>
                <w:sz w:val="20"/>
                <w:szCs w:val="20"/>
              </w:rPr>
              <w:t xml:space="preserve">27 (18–37)</w:t>
            </w:r>
          </w:p>
        </w:tc>
        <w:tc>
          <w:p>
            <w:r>
              <w:rPr>
                <w:rFonts w:ascii="Times New Roman" w:cs="신명조" w:eastAsia="신명조" w:hAnsi="Times New Roman"/>
                <w:b w:val="false"/>
                <w:bCs w:val="false"/>
                <w:strike w:val="false"/>
                <w:sz w:val="20"/>
                <w:szCs w:val="20"/>
              </w:rPr>
              <w:t xml:space="preserve">16 (9–23)</w:t>
            </w:r>
          </w:p>
        </w:tc>
        <w:tc>
          <w:p>
            <w:r>
              <w:rPr>
                <w:rFonts w:ascii="Times New Roman" w:cs="신명조" w:eastAsia="신명조" w:hAnsi="Times New Roman"/>
                <w:b w:val="false"/>
                <w:bCs w:val="false"/>
                <w:strike w:val="false"/>
                <w:sz w:val="20"/>
                <w:szCs w:val="20"/>
              </w:rPr>
              <w:t xml:space="preserve">8 (3–14)</w:t>
            </w:r>
          </w:p>
        </w:tc>
      </w:tr>
      <w:tr>
        <w:tc>
          <w:p>
            <w:r>
              <w:rPr>
                <w:rFonts w:ascii="Times New Roman" w:cs="신명조" w:eastAsia="신명조" w:hAnsi="Times New Roman"/>
                <w:b w:val="false"/>
                <w:bCs w:val="false"/>
                <w:strike w:val="false"/>
                <w:sz w:val="20"/>
                <w:szCs w:val="20"/>
              </w:rPr>
              <w:t xml:space="preserve">뉴스</w:t>
            </w:r>
          </w:p>
        </w:tc>
        <w:tc>
          <w:p>
            <w:r>
              <w:rPr>
                <w:rFonts w:ascii="Times New Roman" w:cs="신명조" w:eastAsia="신명조" w:hAnsi="Times New Roman"/>
                <w:b w:val="false"/>
                <w:bCs w:val="false"/>
                <w:strike w:val="false"/>
                <w:sz w:val="20"/>
                <w:szCs w:val="20"/>
              </w:rPr>
              <w:t xml:space="preserve">2025</w:t>
            </w:r>
          </w:p>
        </w:tc>
        <w:tc>
          <w:p>
            <w:r>
              <w:rPr>
                <w:rFonts w:ascii="Times New Roman" w:cs="신명조" w:eastAsia="신명조" w:hAnsi="Times New Roman"/>
                <w:b w:val="false"/>
                <w:bCs w:val="false"/>
                <w:strike w:val="false"/>
                <w:sz w:val="20"/>
                <w:szCs w:val="20"/>
              </w:rPr>
              <w:t xml:space="preserve">1,223</w:t>
            </w:r>
          </w:p>
        </w:tc>
        <w:tc>
          <w:p>
            <w:r>
              <w:rPr>
                <w:rFonts w:ascii="Times New Roman" w:cs="신명조" w:eastAsia="신명조" w:hAnsi="Times New Roman"/>
                <w:b w:val="false"/>
                <w:bCs w:val="false"/>
                <w:strike w:val="false"/>
                <w:sz w:val="20"/>
                <w:szCs w:val="20"/>
              </w:rPr>
              <w:t xml:space="preserve">65 (55–74)</w:t>
            </w:r>
          </w:p>
        </w:tc>
        <w:tc>
          <w:p>
            <w:r>
              <w:rPr>
                <w:rFonts w:ascii="Times New Roman" w:cs="신명조" w:eastAsia="신명조" w:hAnsi="Times New Roman"/>
                <w:b w:val="false"/>
                <w:bCs w:val="false"/>
                <w:strike w:val="false"/>
                <w:sz w:val="20"/>
                <w:szCs w:val="20"/>
              </w:rPr>
              <w:t xml:space="preserve">17 (10–26)</w:t>
            </w:r>
          </w:p>
        </w:tc>
        <w:tc>
          <w:p>
            <w:r>
              <w:rPr>
                <w:rFonts w:ascii="Times New Roman" w:cs="신명조" w:eastAsia="신명조" w:hAnsi="Times New Roman"/>
                <w:b w:val="false"/>
                <w:bCs w:val="false"/>
                <w:strike w:val="false"/>
                <w:sz w:val="20"/>
                <w:szCs w:val="20"/>
              </w:rPr>
              <w:t xml:space="preserve">8 (5–12)</w:t>
            </w:r>
          </w:p>
        </w:tc>
        <w:tc>
          <w:p>
            <w:r>
              <w:rPr>
                <w:rFonts w:ascii="Times New Roman" w:cs="신명조" w:eastAsia="신명조" w:hAnsi="Times New Roman"/>
                <w:b w:val="false"/>
                <w:bCs w:val="false"/>
                <w:strike w:val="false"/>
                <w:sz w:val="20"/>
                <w:szCs w:val="20"/>
              </w:rPr>
              <w:t xml:space="preserve">9 (3–16)</w:t>
            </w:r>
          </w:p>
        </w:tc>
      </w:tr>
      <w:tr>
        <w:tc>
          <w:p>
            <w:r>
              <w:rPr>
                <w:rFonts w:ascii="Times New Roman" w:cs="신명조" w:eastAsia="신명조" w:hAnsi="Times New Roman"/>
                <w:b w:val="false"/>
                <w:bCs w:val="false"/>
                <w:strike w:val="false"/>
                <w:sz w:val="20"/>
                <w:szCs w:val="20"/>
              </w:rPr>
              <w:t xml:space="preserve">뉴스</w:t>
            </w:r>
          </w:p>
        </w:tc>
        <w:tc>
          <w:p>
            <w:r>
              <w:rPr>
                <w:rFonts w:ascii="Times New Roman" w:cs="신명조" w:eastAsia="신명조" w:hAnsi="Times New Roman"/>
                <w:b w:val="false"/>
                <w:bCs w:val="false"/>
                <w:strike w:val="false"/>
                <w:sz w:val="20"/>
                <w:szCs w:val="20"/>
              </w:rPr>
              <w:t xml:space="preserve">2026</w:t>
            </w:r>
          </w:p>
        </w:tc>
        <w:tc>
          <w:p>
            <w:r>
              <w:rPr>
                <w:rFonts w:ascii="Times New Roman" w:cs="신명조" w:eastAsia="신명조" w:hAnsi="Times New Roman"/>
                <w:b w:val="false"/>
                <w:bCs w:val="false"/>
                <w:strike w:val="false"/>
                <w:sz w:val="20"/>
                <w:szCs w:val="20"/>
              </w:rPr>
              <w:t xml:space="preserve">1,675</w:t>
            </w:r>
          </w:p>
        </w:tc>
        <w:tc>
          <w:p>
            <w:r>
              <w:rPr>
                <w:rFonts w:ascii="Times New Roman" w:cs="신명조" w:eastAsia="신명조" w:hAnsi="Times New Roman"/>
                <w:b w:val="false"/>
                <w:bCs w:val="false"/>
                <w:strike w:val="false"/>
                <w:sz w:val="20"/>
                <w:szCs w:val="20"/>
              </w:rPr>
              <w:t xml:space="preserve">54 (43–65)</w:t>
            </w:r>
          </w:p>
        </w:tc>
        <w:tc>
          <w:p>
            <w:r>
              <w:rPr>
                <w:rFonts w:ascii="Times New Roman" w:cs="신명조" w:eastAsia="신명조" w:hAnsi="Times New Roman"/>
                <w:b w:val="false"/>
                <w:bCs w:val="false"/>
                <w:strike w:val="false"/>
                <w:sz w:val="20"/>
                <w:szCs w:val="20"/>
              </w:rPr>
              <w:t xml:space="preserve">22 (13–32)</w:t>
            </w:r>
          </w:p>
        </w:tc>
        <w:tc>
          <w:p>
            <w:r>
              <w:rPr>
                <w:rFonts w:ascii="Times New Roman" w:cs="신명조" w:eastAsia="신명조" w:hAnsi="Times New Roman"/>
                <w:b w:val="false"/>
                <w:bCs w:val="false"/>
                <w:strike w:val="false"/>
                <w:sz w:val="20"/>
                <w:szCs w:val="20"/>
              </w:rPr>
              <w:t xml:space="preserve">18 (9–27)</w:t>
            </w:r>
          </w:p>
        </w:tc>
        <w:tc>
          <w:p>
            <w:r>
              <w:rPr>
                <w:rFonts w:ascii="Times New Roman" w:cs="신명조" w:eastAsia="신명조" w:hAnsi="Times New Roman"/>
                <w:b w:val="false"/>
                <w:bCs w:val="false"/>
                <w:strike w:val="false"/>
                <w:sz w:val="20"/>
                <w:szCs w:val="20"/>
              </w:rPr>
              <w:t xml:space="preserve">6 (2–10)</w:t>
            </w:r>
          </w:p>
        </w:tc>
      </w:tr>
      <w:tr>
        <w:tc>
          <w:p>
            <w:r>
              <w:rPr>
                <w:rFonts w:ascii="Times New Roman" w:cs="신명조" w:eastAsia="신명조" w:hAnsi="Times New Roman"/>
                <w:b w:val="false"/>
                <w:bCs w:val="false"/>
                <w:strike w:val="false"/>
                <w:sz w:val="20"/>
                <w:szCs w:val="20"/>
              </w:rPr>
              <w:t xml:space="preserve">학계</w:t>
            </w:r>
          </w:p>
        </w:tc>
        <w:tc>
          <w:p>
            <w:r>
              <w:rPr>
                <w:rFonts w:ascii="Times New Roman" w:cs="신명조" w:eastAsia="신명조" w:hAnsi="Times New Roman"/>
                <w:b w:val="false"/>
                <w:bCs w:val="false"/>
                <w:strike w:val="false"/>
                <w:sz w:val="20"/>
                <w:szCs w:val="20"/>
              </w:rPr>
              <w:t xml:space="preserve">2019–22</w:t>
            </w:r>
          </w:p>
        </w:tc>
        <w:tc>
          <w:p>
            <w:r>
              <w:rPr>
                <w:rFonts w:ascii="Times New Roman" w:cs="신명조" w:eastAsia="신명조" w:hAnsi="Times New Roman"/>
                <w:b w:val="false"/>
                <w:bCs w:val="false"/>
                <w:strike w:val="false"/>
                <w:sz w:val="20"/>
                <w:szCs w:val="20"/>
              </w:rPr>
              <w:t xml:space="preserve">118</w:t>
            </w:r>
          </w:p>
        </w:tc>
        <w:tc>
          <w:p>
            <w:r>
              <w:rPr>
                <w:rFonts w:ascii="Times New Roman" w:cs="신명조" w:eastAsia="신명조" w:hAnsi="Times New Roman"/>
                <w:b w:val="false"/>
                <w:bCs w:val="false"/>
                <w:strike w:val="false"/>
                <w:sz w:val="20"/>
                <w:szCs w:val="20"/>
              </w:rPr>
              <w:t xml:space="preserve">21 (10–32)</w:t>
            </w:r>
          </w:p>
        </w:tc>
        <w:tc>
          <w:p>
            <w:r>
              <w:rPr>
                <w:rFonts w:ascii="Times New Roman" w:cs="신명조" w:eastAsia="신명조" w:hAnsi="Times New Roman"/>
                <w:b w:val="false"/>
                <w:bCs w:val="false"/>
                <w:strike w:val="false"/>
                <w:sz w:val="20"/>
                <w:szCs w:val="20"/>
              </w:rPr>
              <w:t xml:space="preserve">31 (20–43)</w:t>
            </w:r>
          </w:p>
        </w:tc>
        <w:tc>
          <w:p>
            <w:r>
              <w:rPr>
                <w:rFonts w:ascii="Times New Roman" w:cs="신명조" w:eastAsia="신명조" w:hAnsi="Times New Roman"/>
                <w:b w:val="false"/>
                <w:bCs w:val="false"/>
                <w:strike w:val="false"/>
                <w:sz w:val="20"/>
                <w:szCs w:val="20"/>
              </w:rPr>
              <w:t xml:space="preserve">37 (28–48)</w:t>
            </w:r>
          </w:p>
        </w:tc>
        <w:tc>
          <w:p>
            <w:r>
              <w:rPr>
                <w:rFonts w:ascii="Times New Roman" w:cs="신명조" w:eastAsia="신명조" w:hAnsi="Times New Roman"/>
                <w:b w:val="false"/>
                <w:bCs w:val="false"/>
                <w:strike w:val="false"/>
                <w:sz w:val="20"/>
                <w:szCs w:val="20"/>
              </w:rPr>
              <w:t xml:space="preserve">10 (3–20)</w:t>
            </w:r>
          </w:p>
        </w:tc>
      </w:tr>
      <w:tr>
        <w:tc>
          <w:p>
            <w:r>
              <w:rPr>
                <w:rFonts w:ascii="Times New Roman" w:cs="신명조" w:eastAsia="신명조" w:hAnsi="Times New Roman"/>
                <w:b w:val="false"/>
                <w:bCs w:val="false"/>
                <w:strike w:val="false"/>
                <w:sz w:val="20"/>
                <w:szCs w:val="20"/>
              </w:rPr>
              <w:t xml:space="preserve">학계</w:t>
            </w:r>
          </w:p>
        </w:tc>
        <w:tc>
          <w:p>
            <w:r>
              <w:rPr>
                <w:rFonts w:ascii="Times New Roman" w:cs="신명조" w:eastAsia="신명조" w:hAnsi="Times New Roman"/>
                <w:b w:val="false"/>
                <w:bCs w:val="false"/>
                <w:strike w:val="false"/>
                <w:sz w:val="20"/>
                <w:szCs w:val="20"/>
              </w:rPr>
              <w:t xml:space="preserve">2023</w:t>
            </w:r>
          </w:p>
        </w:tc>
        <w:tc>
          <w:p>
            <w:r>
              <w:rPr>
                <w:rFonts w:ascii="Times New Roman" w:cs="신명조" w:eastAsia="신명조" w:hAnsi="Times New Roman"/>
                <w:b w:val="false"/>
                <w:bCs w:val="false"/>
                <w:strike w:val="false"/>
                <w:sz w:val="20"/>
                <w:szCs w:val="20"/>
              </w:rPr>
              <w:t xml:space="preserve">51</w:t>
            </w:r>
          </w:p>
        </w:tc>
        <w:tc>
          <w:p>
            <w:r>
              <w:rPr>
                <w:rFonts w:ascii="Times New Roman" w:cs="신명조" w:eastAsia="신명조" w:hAnsi="Times New Roman"/>
                <w:b w:val="false"/>
                <w:bCs w:val="false"/>
                <w:strike w:val="false"/>
                <w:sz w:val="20"/>
                <w:szCs w:val="20"/>
              </w:rPr>
              <w:t xml:space="preserve">17 (9–25)</w:t>
            </w:r>
          </w:p>
        </w:tc>
        <w:tc>
          <w:p>
            <w:r>
              <w:rPr>
                <w:rFonts w:ascii="Times New Roman" w:cs="신명조" w:eastAsia="신명조" w:hAnsi="Times New Roman"/>
                <w:b w:val="false"/>
                <w:bCs w:val="false"/>
                <w:strike w:val="false"/>
                <w:sz w:val="20"/>
                <w:szCs w:val="20"/>
              </w:rPr>
              <w:t xml:space="preserve">35 (25–45)</w:t>
            </w:r>
          </w:p>
        </w:tc>
        <w:tc>
          <w:p>
            <w:r>
              <w:rPr>
                <w:rFonts w:ascii="Times New Roman" w:cs="신명조" w:eastAsia="신명조" w:hAnsi="Times New Roman"/>
                <w:b w:val="false"/>
                <w:bCs w:val="false"/>
                <w:strike w:val="false"/>
                <w:sz w:val="20"/>
                <w:szCs w:val="20"/>
              </w:rPr>
              <w:t xml:space="preserve">42 (32–52)</w:t>
            </w:r>
          </w:p>
        </w:tc>
        <w:tc>
          <w:p>
            <w:r>
              <w:rPr>
                <w:rFonts w:ascii="Times New Roman" w:cs="신명조" w:eastAsia="신명조" w:hAnsi="Times New Roman"/>
                <w:b w:val="false"/>
                <w:bCs w:val="false"/>
                <w:strike w:val="false"/>
                <w:sz w:val="20"/>
                <w:szCs w:val="20"/>
              </w:rPr>
              <w:t xml:space="preserve">7 (2–13)</w:t>
            </w:r>
          </w:p>
        </w:tc>
      </w:tr>
      <w:tr>
        <w:tc>
          <w:p>
            <w:r>
              <w:rPr>
                <w:rFonts w:ascii="Times New Roman" w:cs="신명조" w:eastAsia="신명조" w:hAnsi="Times New Roman"/>
                <w:b w:val="false"/>
                <w:bCs w:val="false"/>
                <w:strike w:val="false"/>
                <w:sz w:val="20"/>
                <w:szCs w:val="20"/>
              </w:rPr>
              <w:t xml:space="preserve">학계</w:t>
            </w:r>
          </w:p>
        </w:tc>
        <w:tc>
          <w:p>
            <w:r>
              <w:rPr>
                <w:rFonts w:ascii="Times New Roman" w:cs="신명조" w:eastAsia="신명조" w:hAnsi="Times New Roman"/>
                <w:b w:val="false"/>
                <w:bCs w:val="false"/>
                <w:strike w:val="false"/>
                <w:sz w:val="20"/>
                <w:szCs w:val="20"/>
              </w:rPr>
              <w:t xml:space="preserve">2024</w:t>
            </w:r>
          </w:p>
        </w:tc>
        <w:tc>
          <w:p>
            <w:r>
              <w:rPr>
                <w:rFonts w:ascii="Times New Roman" w:cs="신명조" w:eastAsia="신명조" w:hAnsi="Times New Roman"/>
                <w:b w:val="false"/>
                <w:bCs w:val="false"/>
                <w:strike w:val="false"/>
                <w:sz w:val="20"/>
                <w:szCs w:val="20"/>
              </w:rPr>
              <w:t xml:space="preserve">105</w:t>
            </w:r>
          </w:p>
        </w:tc>
        <w:tc>
          <w:p>
            <w:r>
              <w:rPr>
                <w:rFonts w:ascii="Times New Roman" w:cs="신명조" w:eastAsia="신명조" w:hAnsi="Times New Roman"/>
                <w:b w:val="false"/>
                <w:bCs w:val="false"/>
                <w:strike w:val="false"/>
                <w:sz w:val="20"/>
                <w:szCs w:val="20"/>
              </w:rPr>
              <w:t xml:space="preserve">18 (9–28)</w:t>
            </w:r>
          </w:p>
        </w:tc>
        <w:tc>
          <w:p>
            <w:r>
              <w:rPr>
                <w:rFonts w:ascii="Times New Roman" w:cs="신명조" w:eastAsia="신명조" w:hAnsi="Times New Roman"/>
                <w:b w:val="false"/>
                <w:bCs w:val="false"/>
                <w:strike w:val="false"/>
                <w:sz w:val="20"/>
                <w:szCs w:val="20"/>
              </w:rPr>
              <w:t xml:space="preserve">37 (25–49)</w:t>
            </w:r>
          </w:p>
        </w:tc>
        <w:tc>
          <w:p>
            <w:r>
              <w:rPr>
                <w:rFonts w:ascii="Times New Roman" w:cs="신명조" w:eastAsia="신명조" w:hAnsi="Times New Roman"/>
                <w:b w:val="false"/>
                <w:bCs w:val="false"/>
                <w:strike w:val="false"/>
                <w:sz w:val="20"/>
                <w:szCs w:val="20"/>
              </w:rPr>
              <w:t xml:space="preserve">37 (26–49)</w:t>
            </w:r>
          </w:p>
        </w:tc>
        <w:tc>
          <w:p>
            <w:r>
              <w:rPr>
                <w:rFonts w:ascii="Times New Roman" w:cs="신명조" w:eastAsia="신명조" w:hAnsi="Times New Roman"/>
                <w:b w:val="false"/>
                <w:bCs w:val="false"/>
                <w:strike w:val="false"/>
                <w:sz w:val="20"/>
                <w:szCs w:val="20"/>
              </w:rPr>
              <w:t xml:space="preserve">8 (2–16)</w:t>
            </w:r>
          </w:p>
        </w:tc>
      </w:tr>
      <w:tr>
        <w:tc>
          <w:p>
            <w:r>
              <w:rPr>
                <w:rFonts w:ascii="Times New Roman" w:cs="신명조" w:eastAsia="신명조" w:hAnsi="Times New Roman"/>
                <w:b w:val="false"/>
                <w:bCs w:val="false"/>
                <w:strike w:val="false"/>
                <w:sz w:val="20"/>
                <w:szCs w:val="20"/>
              </w:rPr>
              <w:t xml:space="preserve">학계</w:t>
            </w:r>
          </w:p>
        </w:tc>
        <w:tc>
          <w:p>
            <w:r>
              <w:rPr>
                <w:rFonts w:ascii="Times New Roman" w:cs="신명조" w:eastAsia="신명조" w:hAnsi="Times New Roman"/>
                <w:b w:val="false"/>
                <w:bCs w:val="false"/>
                <w:strike w:val="false"/>
                <w:sz w:val="20"/>
                <w:szCs w:val="20"/>
              </w:rPr>
              <w:t xml:space="preserve">2025</w:t>
            </w:r>
          </w:p>
        </w:tc>
        <w:tc>
          <w:p>
            <w:r>
              <w:rPr>
                <w:rFonts w:ascii="Times New Roman" w:cs="신명조" w:eastAsia="신명조" w:hAnsi="Times New Roman"/>
                <w:b w:val="false"/>
                <w:bCs w:val="false"/>
                <w:strike w:val="false"/>
                <w:sz w:val="20"/>
                <w:szCs w:val="20"/>
              </w:rPr>
              <w:t xml:space="preserve">199</w:t>
            </w:r>
          </w:p>
        </w:tc>
        <w:tc>
          <w:p>
            <w:r>
              <w:rPr>
                <w:rFonts w:ascii="Times New Roman" w:cs="신명조" w:eastAsia="신명조" w:hAnsi="Times New Roman"/>
                <w:b w:val="false"/>
                <w:bCs w:val="false"/>
                <w:strike w:val="false"/>
                <w:sz w:val="20"/>
                <w:szCs w:val="20"/>
              </w:rPr>
              <w:t xml:space="preserve">23 (11–35)</w:t>
            </w:r>
          </w:p>
        </w:tc>
        <w:tc>
          <w:p>
            <w:r>
              <w:rPr>
                <w:rFonts w:ascii="Times New Roman" w:cs="신명조" w:eastAsia="신명조" w:hAnsi="Times New Roman"/>
                <w:b w:val="false"/>
                <w:bCs w:val="false"/>
                <w:strike w:val="false"/>
                <w:sz w:val="20"/>
                <w:szCs w:val="20"/>
              </w:rPr>
              <w:t xml:space="preserve">31 (19–43)</w:t>
            </w:r>
          </w:p>
        </w:tc>
        <w:tc>
          <w:p>
            <w:r>
              <w:rPr>
                <w:rFonts w:ascii="Times New Roman" w:cs="신명조" w:eastAsia="신명조" w:hAnsi="Times New Roman"/>
                <w:b w:val="false"/>
                <w:bCs w:val="false"/>
                <w:strike w:val="false"/>
                <w:sz w:val="20"/>
                <w:szCs w:val="20"/>
              </w:rPr>
              <w:t xml:space="preserve">35 (25–48)</w:t>
            </w:r>
          </w:p>
        </w:tc>
        <w:tc>
          <w:p>
            <w:r>
              <w:rPr>
                <w:rFonts w:ascii="Times New Roman" w:cs="신명조" w:eastAsia="신명조" w:hAnsi="Times New Roman"/>
                <w:b w:val="false"/>
                <w:bCs w:val="false"/>
                <w:strike w:val="false"/>
                <w:sz w:val="20"/>
                <w:szCs w:val="20"/>
              </w:rPr>
              <w:t xml:space="preserve">11 (3–20)</w:t>
            </w:r>
          </w:p>
        </w:tc>
      </w:tr>
      <w:tr>
        <w:tc>
          <w:p>
            <w:r>
              <w:rPr>
                <w:rFonts w:ascii="Times New Roman" w:cs="신명조" w:eastAsia="신명조" w:hAnsi="Times New Roman"/>
                <w:b w:val="false"/>
                <w:bCs w:val="false"/>
                <w:strike w:val="false"/>
                <w:sz w:val="20"/>
                <w:szCs w:val="20"/>
              </w:rPr>
              <w:t xml:space="preserve">학계</w:t>
            </w:r>
          </w:p>
        </w:tc>
        <w:tc>
          <w:p>
            <w:r>
              <w:rPr>
                <w:rFonts w:ascii="Times New Roman" w:cs="신명조" w:eastAsia="신명조" w:hAnsi="Times New Roman"/>
                <w:b w:val="false"/>
                <w:bCs w:val="false"/>
                <w:strike w:val="false"/>
                <w:sz w:val="20"/>
                <w:szCs w:val="20"/>
              </w:rPr>
              <w:t xml:space="preserve">2026</w:t>
            </w:r>
          </w:p>
        </w:tc>
        <w:tc>
          <w:p>
            <w:r>
              <w:rPr>
                <w:rFonts w:ascii="Times New Roman" w:cs="신명조" w:eastAsia="신명조" w:hAnsi="Times New Roman"/>
                <w:b w:val="false"/>
                <w:bCs w:val="false"/>
                <w:strike w:val="false"/>
                <w:sz w:val="20"/>
                <w:szCs w:val="20"/>
              </w:rPr>
              <w:t xml:space="preserve">196</w:t>
            </w:r>
          </w:p>
        </w:tc>
        <w:tc>
          <w:p>
            <w:r>
              <w:rPr>
                <w:rFonts w:ascii="Times New Roman" w:cs="신명조" w:eastAsia="신명조" w:hAnsi="Times New Roman"/>
                <w:b w:val="false"/>
                <w:bCs w:val="false"/>
                <w:strike w:val="false"/>
                <w:sz w:val="20"/>
                <w:szCs w:val="20"/>
              </w:rPr>
              <w:t xml:space="preserve">22 (11–34)</w:t>
            </w:r>
          </w:p>
        </w:tc>
        <w:tc>
          <w:p>
            <w:r>
              <w:rPr>
                <w:rFonts w:ascii="Times New Roman" w:cs="신명조" w:eastAsia="신명조" w:hAnsi="Times New Roman"/>
                <w:b w:val="false"/>
                <w:bCs w:val="false"/>
                <w:strike w:val="false"/>
                <w:sz w:val="20"/>
                <w:szCs w:val="20"/>
              </w:rPr>
              <w:t xml:space="preserve">33 (22–46)</w:t>
            </w:r>
          </w:p>
        </w:tc>
        <w:tc>
          <w:p>
            <w:r>
              <w:rPr>
                <w:rFonts w:ascii="Times New Roman" w:cs="신명조" w:eastAsia="신명조" w:hAnsi="Times New Roman"/>
                <w:b w:val="false"/>
                <w:bCs w:val="false"/>
                <w:strike w:val="false"/>
                <w:sz w:val="20"/>
                <w:szCs w:val="20"/>
              </w:rPr>
              <w:t xml:space="preserve">34 (24–46)</w:t>
            </w:r>
          </w:p>
        </w:tc>
        <w:tc>
          <w:p>
            <w:r>
              <w:rPr>
                <w:rFonts w:ascii="Times New Roman" w:cs="신명조" w:eastAsia="신명조" w:hAnsi="Times New Roman"/>
                <w:b w:val="false"/>
                <w:bCs w:val="false"/>
                <w:strike w:val="false"/>
                <w:sz w:val="20"/>
                <w:szCs w:val="20"/>
              </w:rPr>
              <w:t xml:space="preserve">10 (3–18)</w:t>
            </w:r>
          </w:p>
        </w:tc>
      </w:tr>
    </w:tbl>
    <w:p/>
    <w:p>
      <w:pPr>
        <w:spacing w:line="384"/>
      </w:pPr>
      <w:r>
        <w:rPr>
          <w:rFonts w:ascii="신명조" w:cs="신명조" w:eastAsia="신명조" w:hAnsi="신명조"/>
          <w:b w:val="false"/>
          <w:bCs w:val="false"/>
          <w:sz w:val="22"/>
          <w:szCs w:val="22"/>
        </w:rPr>
        <w:t xml:space="preserve"/>
      </w:r>
    </w:p>
    <w:p>
      <w:pPr>
        <w:spacing w:line="384"/>
      </w:pPr>
      <w:r>
        <w:rPr>
          <w:rFonts w:ascii="신명조" w:cs="신명조" w:eastAsia="신명조" w:hAnsi="신명조"/>
          <w:b w:val="false"/>
          <w:bCs w:val="false"/>
          <w:sz w:val="22"/>
          <w:szCs w:val="22"/>
        </w:rPr>
        <w:t xml:space="preserve"/>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그림 1. 연도별 프레임 비율 추정</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4. 민감도 분석</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토픽 수 K=5~9에서 학계 토픽 구조는 K=7과 대체로 일치했고(문서 분할 일치도 NMI 0.57~0.81), K=8에서는 데이터·개인정보 토픽이 둘로 나뉘고 K=6에서는 특허 토픽이 데이터·개인정보 토픽에 합쳐졌다</w:t>
      </w:r>
      <w:r>
        <w:rPr>
          <w:rFonts w:ascii="Times New Roman" w:cs="신명조" w:eastAsia="신명조" w:hAnsi="Times New Roman"/>
          <w:b w:val="false"/>
          <w:bCs w:val="false"/>
          <w:strike w:val="false"/>
          <w:color w:val="C00000"/>
          <w:sz w:val="22"/>
          <w:szCs w:val="22"/>
        </w:rPr>
        <w:t xml:space="preserve"> (김대웅, 박윤현, 2023). 연도별 현실주의 비중의 패턴</w:t>
      </w:r>
      <w:r>
        <w:rPr>
          <w:rFonts w:ascii="Times New Roman" w:cs="신명조" w:eastAsia="신명조" w:hAnsi="Times New Roman"/>
          <w:b w:val="false"/>
          <w:bCs w:val="false"/>
          <w:strike w:val="false"/>
          <w:sz w:val="22"/>
          <w:szCs w:val="22"/>
        </w:rPr>
        <w:t xml:space="preserve">은 모든 K에서 유지되었다. 확장 코퍼스(논문 898편, 기사 5,919건)에서도 전체 비율은 기본 코퍼스와 같았다(뉴스 현실주의 54%, 학계 21~22%). 이는 확장분에 기본 코퍼스의 층별 비율을 적용한 결과로 확장분의 프레임을 직접 코딩한 것은 아니다. AI 보조 코더의 코딩만 쓴 결과(표 4)에서도 현실주의 격차는 유지되었으나 구성주의·자유주의의 세부 비중은 달랐다.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5. 소결</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연구 설계 단계에서 세운 가설을 검토하면 다음과 같다. 첫째, 언론이 현실주의 프레임에 치우친다는 가설은 지지된다. 뉴스의 현실주의 비중은 54%로 학계(21%)의 약 2.6배이고, 이 격차는 모든 연도와 두 코더, 토픽 수와 코퍼스 범위를 바꾼 분석에서 유지되었다. 둘째, 학계가 제도·규범 논의에 머문다는 가설은 부분적으로 지지된다. 학계의 자유주의와 구성주의를 합한 비중은 69%이다. 그러나 구성주의만 두드러지는 것은 아니며 자유주의(33%)와 구성주의(36%)로 나뉜다. 또한 학계에서 국가 전략·미중 경쟁이라는 가장 큰 토픽은 지정학 프레임이 우세하지 않았다.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이러한 결과는 법리·정책 문서에 논거 기준으로 붙인 프레임이라는 조작적 정의 위에서 해석해야 한다. 학계 코퍼스의 큰 부분이 규제·법제 논문이므로 자유주의·구성주의 비중이 구조적으로 높게 나올 수 있다. 층별 표본이 10건이어서 개별 토픽의 프레임 대응은 불확실하며, 연도별 추정은 토픽 안 프레임이 변하지 않는다는 가정에 의존한다.</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Ⅴ. 논의 및 결론</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1. 주요 결과의 요약</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본 연구는 2019년 OECD AI 원칙 채택 이후 2026년 9월까지 한국 언론(전국일간지 11개 기사 4,631건)과 학계(KCI 등재지·등재후보지 논문 669편)의 AI 글로벌 거버넌스 담론을 같은 토픽 모형 위에서 비교하고, 토픽을 현실주의·자유주의·구성주의 프레임으로 해석하였다. 결과는 세 가지로 요약된다. 첫째, 주제 구성이 다르다. 뉴스의 78.7%가 국가 전략·미중 경쟁 토픽에 속하고 그 안에서 반도체 수출통제, 군사·전쟁 AI, 정상 외교, 딥시크·중국 오픈소스, 국가 경쟁력, 국제회의가 비슷한 비중을 차지한 반면, 학계는 데이터·개인정보, EU 입법, 윤리·국제규범, 저작권, 책임 등 법·제도 토픽에 넓게 분포하였다. 둘째, 프레임 구성이 다르다. 현실주의 프레임의 비중은 뉴스 54%, 학계 21%였고, 이 격차는 연도, 코더, 토픽 수, 코퍼스 범위를 바꿔도 유지되었다. 셋째, 학계는 자유주의(33%)와 구성주의(36%)로 나뉘어 있으며, 가장 큰 토픽인 국가 전략·미중 경쟁도 지정학 프레임이 우세하지 않았다.</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2. 해석</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2.1 언론의 현실주의 편중</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뉴스에서 현실주의 비중이 높은 것은 토픽 구성의 결과이다. 현실주의로 대응된 토픽(반도체 수출통제 80%, 딥시크·오픈소스 100%, 국가 AI 경쟁력·인재 70%, 군사·전쟁 AI 60%)이 뉴스의 상당 부분을 차지하고, 윤리·국제규범이나 저작권처럼 구성주의·자유주의로 기울어진 토픽은 뉴스에서 작았다. 연도별 변화도 토픽 구성의 변화와 겹친다. 2025년에 현실주의 비중이 65%로 가장 높았던 해는 딥시크와 반도체 수출통제 토픽이 각각 20%를 넘은 해이고, 2026년에는 미중 정상회담과 이란전과 관련한 토픽이 커졌다. 이는 뉴스 담론이 사건과 소재에 의해 움직이는 성격을 보여 준다</w:t>
      </w:r>
      <w:r>
        <w:rPr>
          <w:rFonts w:ascii="Times New Roman" w:cs="신명조" w:eastAsia="신명조" w:hAnsi="Times New Roman"/>
          <w:b w:val="false"/>
          <w:bCs w:val="false"/>
          <w:strike w:val="false"/>
          <w:color w:val="C00000"/>
          <w:sz w:val="22"/>
          <w:szCs w:val="22"/>
        </w:rPr>
        <w:t xml:space="preserve"> (이나윤, 한무명초, 2025; 김찬우, 2021)</w:t>
      </w:r>
      <w:r>
        <w:rPr>
          <w:rFonts w:ascii="Times New Roman" w:cs="신명조" w:eastAsia="신명조" w:hAnsi="Times New Roman"/>
          <w:b w:val="false"/>
          <w:bCs w:val="false"/>
          <w:strike w:val="false"/>
          <w:sz w:val="22"/>
          <w:szCs w:val="22"/>
        </w:rPr>
        <w:t xml:space="preserve">. 다만 이 연구는 그 이유(언론의 보도 관행, 뉴스가치, 국제 정세 등)를 검증하지 않았다. 사건 중심의 보도가 국가 간 경쟁을 부각하기 쉽다는 설명은 가설로 남긴다 [확인: 보도 관행 문헌으로 보강]</w:t>
      </w:r>
      <w:r>
        <w:rPr>
          <w:rFonts w:ascii="Times New Roman" w:cs="신명조" w:eastAsia="신명조" w:hAnsi="Times New Roman"/>
          <w:b w:val="false"/>
          <w:bCs w:val="false"/>
          <w:strike w:val="false"/>
          <w:color w:val="C00000"/>
          <w:sz w:val="22"/>
          <w:szCs w:val="22"/>
        </w:rPr>
        <w:t xml:space="preserve"> (Harrison, 2020)</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2.2 학계의 분산된 제도·규범 담론</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학계는 현실주의가 21%이고 자유주의와 구성주의를 합하면 69%였다. 그러나 가설에서 예상한 것처럼 규범(구성주의)에 집중된 것은 아니었다. 자유주의(규칙·제도의 설계와 조화)와 구성주의(권리·책임·가치)가 거의 같은 비중이었고, 연도에 따른 큰 변화도 없었다. 이는 학계가 AI를 제도 설계와 권리 보호의 문제로 다루는 비중이 일정하게 높다는 뜻이다</w:t>
      </w:r>
      <w:r>
        <w:rPr>
          <w:rFonts w:ascii="Times New Roman" w:cs="신명조" w:eastAsia="신명조" w:hAnsi="Times New Roman"/>
          <w:b w:val="false"/>
          <w:bCs w:val="false"/>
          <w:strike w:val="false"/>
          <w:color w:val="C00000"/>
          <w:sz w:val="22"/>
          <w:szCs w:val="22"/>
        </w:rPr>
        <w:t xml:space="preserve"> (윤혜선, 2024; 박선형, 2024)</w:t>
      </w:r>
      <w:r>
        <w:rPr>
          <w:rFonts w:ascii="Times New Roman" w:cs="신명조" w:eastAsia="신명조" w:hAnsi="Times New Roman"/>
          <w:b w:val="false"/>
          <w:bCs w:val="false"/>
          <w:strike w:val="false"/>
          <w:sz w:val="22"/>
          <w:szCs w:val="22"/>
        </w:rPr>
        <w:t xml:space="preserve">. 한편 학계에서 국가 전략·미중 경쟁이라는 이름의 토픽(27.8%)은 현실주의가 40%에 그치고 해당없음이 30%였다. 뉴스 하위 토픽으로 투영하면 학계의 이 토픽은 국가 AI 경쟁력·인재(65.1%)에 가깝고 반도체 수출통제(1.1%)와 정상 외교(1.6%)는 거의 없었다. 같은 ’국가 전략’이라는 이름 아래에서도 언론은 수출통제와 정상 외교를, 학계는 국가 경쟁력과 산업 정책을 다룬다는 점이 드러난다</w:t>
      </w:r>
      <w:r>
        <w:rPr>
          <w:rFonts w:ascii="Times New Roman" w:cs="신명조" w:eastAsia="신명조" w:hAnsi="Times New Roman"/>
          <w:b w:val="false"/>
          <w:bCs w:val="false"/>
          <w:strike w:val="false"/>
          <w:color w:val="C00000"/>
          <w:sz w:val="22"/>
          <w:szCs w:val="22"/>
        </w:rPr>
        <w:t xml:space="preserve"> (김지상, 2026)</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2.3 이론적 함의</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Raustiala와 Victor가 말한 레짐 복합체와 Morse와 Keohane의 경합적 다자주의는 AI 거버넌스가 여러 제도와 행위자의 경합으로 구성된다고 본다</w:t>
      </w:r>
      <w:r>
        <w:rPr>
          <w:rFonts w:ascii="Times New Roman" w:cs="신명조" w:eastAsia="신명조" w:hAnsi="Times New Roman"/>
          <w:b w:val="false"/>
          <w:bCs w:val="false"/>
          <w:strike w:val="false"/>
          <w:color w:val="C00000"/>
          <w:sz w:val="22"/>
          <w:szCs w:val="22"/>
        </w:rPr>
        <w:t xml:space="preserve"> (Maas, 2025)</w:t>
      </w:r>
      <w:r>
        <w:rPr>
          <w:rFonts w:ascii="Times New Roman" w:cs="신명조" w:eastAsia="신명조" w:hAnsi="Times New Roman"/>
          <w:b w:val="false"/>
          <w:bCs w:val="false"/>
          <w:strike w:val="false"/>
          <w:sz w:val="22"/>
          <w:szCs w:val="22"/>
        </w:rPr>
        <w:t xml:space="preserve">. 본 연구의 결과는 한국에서 이 경합이 언론과 학계에서 서로 다른 면으로 포착된다는 점을 보여 준다. 언론은 경합의 지정학적 측면(수출통제, 정상 외교, 패권)을, 학계는 제도 설계와 권리·책임의 측면을 더 많이 다룬다. 이는 AI 거버넌스를 하나의 ‘국제 규범’ 담론으로 보기보다 이론 전통별 프레임으로 나누어 볼 필요가 있음을 뒷받침한다</w:t>
      </w:r>
      <w:r>
        <w:rPr>
          <w:rFonts w:ascii="Times New Roman" w:cs="신명조" w:eastAsia="신명조" w:hAnsi="Times New Roman"/>
          <w:b w:val="false"/>
          <w:bCs w:val="false"/>
          <w:strike w:val="false"/>
          <w:color w:val="C00000"/>
          <w:sz w:val="22"/>
          <w:szCs w:val="22"/>
        </w:rPr>
        <w:t xml:space="preserve"> (Tallberg, 2026; Hasan, 2026)</w:t>
      </w:r>
      <w:r>
        <w:rPr>
          <w:rFonts w:ascii="Times New Roman" w:cs="신명조" w:eastAsia="신명조" w:hAnsi="Times New Roman"/>
          <w:b w:val="false"/>
          <w:bCs w:val="false"/>
          <w:strike w:val="false"/>
          <w:sz w:val="22"/>
          <w:szCs w:val="22"/>
        </w:rPr>
        <w:t xml:space="preserve">. 또한 뉴스 프레이밍 연구가 주로 낙관·비관의 가치 프레임에 집중해 온 것과 달리, 토픽 모형과 국제정치 이론 프레임을 결합하는 방식이 담론의 이론적 구성을 비교하는 데 쓰일 수 있음을 보였다</w:t>
      </w:r>
      <w:r>
        <w:rPr>
          <w:rFonts w:ascii="Times New Roman" w:cs="신명조" w:eastAsia="신명조" w:hAnsi="Times New Roman"/>
          <w:b w:val="false"/>
          <w:bCs w:val="false"/>
          <w:strike w:val="false"/>
          <w:color w:val="C00000"/>
          <w:sz w:val="22"/>
          <w:szCs w:val="22"/>
        </w:rPr>
        <w:t xml:space="preserve"> (Borah, 2018; Ozyurt et al., 2024).</w:t>
      </w:r>
    </w:p>
    <w:p>
      <w:pPr>
        <w:spacing w:line="384"/>
      </w:pPr>
      <w:r>
        <w:rPr>
          <w:rFonts w:ascii="신명조" w:cs="신명조" w:eastAsia="신명조" w:hAnsi="신명조"/>
          <w:b w:val="false"/>
          <w:bCs w:val="false"/>
          <w:sz w:val="22"/>
          <w:szCs w:val="22"/>
        </w:rPr>
        <w:t xml:space="preserve"/>
      </w:r>
    </w:p>
    <w:p>
      <w:pPr>
        <w:pStyle w:val="Heading3"/>
      </w:pPr>
      <w:r>
        <w:rPr>
          <w:rFonts w:ascii="Times New Roman" w:cs="신명조" w:eastAsia="신명조" w:hAnsi="Times New Roman"/>
          <w:b/>
          <w:bCs/>
          <w:strike w:val="false"/>
          <w:sz w:val="24"/>
          <w:szCs w:val="24"/>
        </w:rPr>
        <w:t xml:space="preserve">2.4 정책적 시사점</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이 결과를 정책 담론의 단절로 단정할 수는 없다. 다만 언론에서 크게 다루어진 수출통제와 정상 외교 소재가 학계의 국가 전략 논의에서는 거의 나타나지 않았고, 학계의 법·제도 논의(EU 입법 비교, 개인정보, 책임)는 뉴스에서 훨씬 작게 다뤄졌다는 점은 확인된다. 이를 근거로 AI 거버넌스 정책 논의에 세 가지를 제안할 수 있다. 이는 연구 결과에서 도출한 시사점이며, 효과를 검증한 것은 아니다. 첫째, 정책 의제를 설정할 때 언론과 학계가 각각 부각하는 쟁점(언론의 수출통제·정상 외교·산업 경쟁, 학계의 제도 설계·권리·책임)을 함께 보는 쟁점 지도를 활용하면 한쪽 담론에 치우친 의제 설정을 피할 수 있다</w:t>
      </w:r>
      <w:r>
        <w:rPr>
          <w:rFonts w:ascii="Times New Roman" w:cs="신명조" w:eastAsia="신명조" w:hAnsi="Times New Roman"/>
          <w:b w:val="false"/>
          <w:bCs w:val="false"/>
          <w:strike w:val="false"/>
          <w:color w:val="C00000"/>
          <w:sz w:val="22"/>
          <w:szCs w:val="22"/>
        </w:rPr>
        <w:t xml:space="preserve"> (이겨레, 임철민, 2026)</w:t>
      </w:r>
      <w:r>
        <w:rPr>
          <w:rFonts w:ascii="Times New Roman" w:cs="신명조" w:eastAsia="신명조" w:hAnsi="Times New Roman"/>
          <w:b w:val="false"/>
          <w:bCs w:val="false"/>
          <w:strike w:val="false"/>
          <w:sz w:val="22"/>
          <w:szCs w:val="22"/>
        </w:rPr>
        <w:t xml:space="preserve">. 둘째, EU 입법과 윤리·국제규범, 데이터·개인정보처럼 학계에서 비중이 크지만 뉴스에서 작은 쟁점은 정책 커뮤니케이션을 통해 공론장에 연결할 필요가 있다</w:t>
      </w:r>
      <w:r>
        <w:rPr>
          <w:rFonts w:ascii="Times New Roman" w:cs="신명조" w:eastAsia="신명조" w:hAnsi="Times New Roman"/>
          <w:b w:val="false"/>
          <w:bCs w:val="false"/>
          <w:strike w:val="false"/>
          <w:color w:val="C00000"/>
          <w:sz w:val="22"/>
          <w:szCs w:val="22"/>
        </w:rPr>
        <w:t xml:space="preserve"> (김지연, 박진희, 2024)</w:t>
      </w:r>
      <w:r>
        <w:rPr>
          <w:rFonts w:ascii="Times New Roman" w:cs="신명조" w:eastAsia="신명조" w:hAnsi="Times New Roman"/>
          <w:b w:val="false"/>
          <w:bCs w:val="false"/>
          <w:strike w:val="false"/>
          <w:sz w:val="22"/>
          <w:szCs w:val="22"/>
        </w:rPr>
        <w:t xml:space="preserve">. 셋째, 본 연구의 토픽·프레임 추정 절차는 AI 정책 담론의 변화를 정기적으로 모니터링하는 도구로 쓸 수 있다</w:t>
      </w:r>
      <w:r>
        <w:rPr>
          <w:rFonts w:ascii="Times New Roman" w:cs="신명조" w:eastAsia="신명조" w:hAnsi="Times New Roman"/>
          <w:b w:val="false"/>
          <w:bCs w:val="false"/>
          <w:strike w:val="false"/>
          <w:color w:val="C00000"/>
          <w:sz w:val="22"/>
          <w:szCs w:val="22"/>
        </w:rPr>
        <w:t xml:space="preserve"> (한송이, 김태종, 2021b)</w:t>
      </w:r>
      <w:r>
        <w:rPr>
          <w:rFonts w:ascii="Times New Roman" w:cs="신명조" w:eastAsia="신명조" w:hAnsi="Times New Roman"/>
          <w:b w:val="false"/>
          <w:bCs w:val="false"/>
          <w:strike w:val="false"/>
          <w:sz w:val="22"/>
          <w:szCs w:val="22"/>
        </w:rPr>
        <w:t xml:space="preserve">. 다만 두 담론이 서로 어떻게 영향을 주고받는지(예: 학계 연구가 언론 보도에 인용되는지)는 본 연구의 범위 밖이다 [확인: 정책적 시사점의 범위를 저자가 조정].</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3. 한계</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첫째, 학술논문 수집은 제목에 AI 핵심어가 있는 논문으로 한정되어 있어 제목에 AI 용어가 없는 거버넌스 논문을 놓칠 수 있다. 관련성 판정의 독립 κ는 0.282이며 연구자 수정 판정 기준 재현율은 79.5%(95% CI 0.66~0.91)이다. 뉴스 분류기의 재현율은 측정하지 못했다.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둘째, 프레임은 법리·정책 문서에도 논거 기준으로 붙인 조작적 정의이다. 학계 코퍼스의 약 65%가 규제·법제 논문이어서 자유주의·구성주의 비중이 구조적으로 높게 나올 수 있다. 법리 문서의 프레임이 국제정치 이론의 현실주의·자유주의·구성주의와 개념적으로 같다고 주장하지 않는다.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셋째, 프레임 코딩의 독립 κ는 0.51로 보통 수준이며, 코더에 따라 구성주의와 자유주의 비중이 달랐다(학계 구성주의 36% 대 32%, 뉴스 15% 대 23%). 본 코딩 120건은 검토 앵커링이 있다.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넷째, 층별 표본이 10건이라 토픽별 프레임 대응과 비율의 신뢰구간이 넓고, 60% 경계에 걸린 대응이 있다. 연도별 추정은 토픽 안 프레임이 변하지 않는다는 가정에 의존하므로, 같은 토픽 안에서 프레임이 변했는지는 알 수 없다.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다섯째, 뉴스는 본문 앞 200자와 키워드만 사용했고, 학계 모형에 투영한 뉴스 토픽은 어휘 불일치로 일부 오할당될 수 있다. 토픽 수는 일관성 고원 구간에서 고른 것이며 작은 토픽(특허)은 K에 따라 합쳐지거나 나뉜다.</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여섯째, 분석은 전국일간지 11개에 한정되어 방송, 인터넷 매체, 소셜미디어는 포함하지 않았다</w:t>
      </w:r>
      <w:r>
        <w:rPr>
          <w:rFonts w:ascii="Times New Roman" w:cs="신명조" w:eastAsia="신명조" w:hAnsi="Times New Roman"/>
          <w:b w:val="false"/>
          <w:bCs w:val="false"/>
          <w:strike w:val="false"/>
          <w:color w:val="C00000"/>
          <w:sz w:val="22"/>
          <w:szCs w:val="22"/>
        </w:rPr>
        <w:t xml:space="preserve"> (Fielding, 2024)</w:t>
      </w:r>
      <w:r>
        <w:rPr>
          <w:rFonts w:ascii="Times New Roman" w:cs="신명조" w:eastAsia="신명조" w:hAnsi="Times New Roman"/>
          <w:b w:val="false"/>
          <w:bCs w:val="false"/>
          <w:strike w:val="false"/>
          <w:sz w:val="22"/>
          <w:szCs w:val="22"/>
        </w:rPr>
        <w:t xml:space="preserve">.</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4. 후속 연구</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첫째, 층별 표본을 늘리거나 서로 독립인 두 코더가 전체 표본을 코딩하여 토픽별 프레임 대응의 불확실성을 줄일 수 있다. 둘째, 뉴스 본문 전체를 사용하고 사설·칼럼과 보도를 구분해 프레임이 장르에 따라 다른지 볼 수 있다. 셋째, 확장 코퍼스에서 추가분의 프레임을 직접 코딩해 본 연구의 확장 코퍼스 분석이 가정한 층 내 균질성을 검증할 수 있다. 넷째, 사건 기준으로 시기를 구분(예: 생성형 AI 확산, EU AI Act 합의·시행, 미중 정상회담)해 사건 전후의 프레임 변화를 볼 수 있다</w:t>
      </w:r>
      <w:r>
        <w:rPr>
          <w:rFonts w:ascii="Times New Roman" w:cs="신명조" w:eastAsia="신명조" w:hAnsi="Times New Roman"/>
          <w:b w:val="false"/>
          <w:bCs w:val="false"/>
          <w:strike w:val="false"/>
          <w:color w:val="C00000"/>
          <w:sz w:val="22"/>
          <w:szCs w:val="22"/>
        </w:rPr>
        <w:t xml:space="preserve"> (유재구 외, 2025)</w:t>
      </w:r>
      <w:r>
        <w:rPr>
          <w:rFonts w:ascii="Times New Roman" w:cs="신명조" w:eastAsia="신명조" w:hAnsi="Times New Roman"/>
          <w:b w:val="false"/>
          <w:bCs w:val="false"/>
          <w:strike w:val="false"/>
          <w:sz w:val="22"/>
          <w:szCs w:val="22"/>
        </w:rPr>
        <w:t xml:space="preserve">. 다섯째, 방송과 인터넷 매체, 정부 문서와 국회 회의록을 포함해 학계와 언론 사이의 정책 담론 경로를 추적할 수 있다. 또한 본 연구의 토픽 모형과 이론 프레임 결합 절차는 AI 외의 다른 신흥기술(예: 데이터, 반도체, 바이오)의 거버넌스 담론 비교에도 적용할 수 있다</w:t>
      </w:r>
      <w:r>
        <w:rPr>
          <w:rFonts w:ascii="Times New Roman" w:cs="신명조" w:eastAsia="신명조" w:hAnsi="Times New Roman"/>
          <w:b w:val="false"/>
          <w:bCs w:val="false"/>
          <w:strike w:val="false"/>
          <w:color w:val="C00000"/>
          <w:sz w:val="22"/>
          <w:szCs w:val="22"/>
        </w:rPr>
        <w:t xml:space="preserve"> (Zhao et al., 2023).</w:t>
      </w:r>
    </w:p>
    <w:p>
      <w:pPr>
        <w:spacing w:line="384"/>
      </w:pPr>
      <w:r>
        <w:rPr>
          <w:rFonts w:ascii="신명조" w:cs="신명조" w:eastAsia="신명조" w:hAnsi="신명조"/>
          <w:b w:val="false"/>
          <w:bCs w:val="false"/>
          <w:sz w:val="22"/>
          <w:szCs w:val="22"/>
        </w:rPr>
        <w:t xml:space="preserve"/>
      </w:r>
    </w:p>
    <w:p>
      <w:pPr>
        <w:pStyle w:val="Heading2"/>
        <w:pageBreakBefore/>
      </w:pPr>
      <w:r>
        <w:rPr>
          <w:rFonts w:ascii="Times New Roman" w:cs="신명조" w:eastAsia="신명조" w:hAnsi="Times New Roman"/>
          <w:b/>
          <w:bCs/>
          <w:strike w:val="false"/>
          <w:sz w:val="26"/>
          <w:szCs w:val="26"/>
        </w:rPr>
        <w:t xml:space="preserve">5. 결론</w:t>
      </w:r>
    </w:p>
    <w:p>
      <w:pPr>
        <w:spacing w:line="384"/>
      </w:pPr>
      <w:r>
        <w:rPr>
          <w:rFonts w:ascii="신명조" w:cs="신명조" w:eastAsia="신명조" w:hAnsi="신명조"/>
          <w:b w:val="false"/>
          <w:bCs w:val="false"/>
          <w:sz w:val="22"/>
          <w:szCs w:val="22"/>
        </w:rPr>
        <w:t xml:space="preserve"/>
      </w:r>
    </w:p>
    <w:p>
      <w:pPr>
        <w:spacing w:line="384"/>
      </w:pPr>
      <w:r>
        <w:rPr>
          <w:rFonts w:ascii="Times New Roman" w:cs="신명조" w:eastAsia="신명조" w:hAnsi="Times New Roman"/>
          <w:b w:val="false"/>
          <w:bCs w:val="false"/>
          <w:strike w:val="false"/>
          <w:sz w:val="22"/>
          <w:szCs w:val="22"/>
        </w:rPr>
        <w:t xml:space="preserve">한국 언론과 학계는 같은 기간 AI 글로벌 거버넌스를 서로 다른 이론적 틀로 다루었다. 언론은 현실주의 프레임이 절반을 넘고 수출통제, 군사, 정상 외교, 기술 경쟁이 주를 이루었으며 그 구성은 사건에 따라 변하였다. 학계는 자유주의와 구성주의로 나뉜 법·제도·권리 논의가 약 70%를 차지하고 연도에 따른 변화가 작았다. 이 격차는 2019~2026년 전 기간에서 유지되었으나 층별 표본이 작고 코더 간 일치도가 보통 수준이어서 개별 토픽의 프레임 대응은 잠정적이다. 그럼에도 본 연구는 한국의 AI 글로벌 거버넌스 담론이 단일한 규범 담론이 아니라 언론의 지정학적 경합 프레임과 학계의 제도·규범 프레임으로 구성되어 있음을 같은 토픽 축 위에서 처음으로 보인다는 점에서 의의가 있다 [확인: "처음"이라는 표현은 학술DB 직접 검색 후에 사용].</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sz w:val="32"/>
          <w:szCs w:val="32"/>
        </w:rPr>
        <w:t xml:space="preserve">참고문헌</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김상배. 미중 인공지능 패권경쟁과 한국: 국제정치의 전환과 중견국의 국가전략. 『국가전략』, 31(2), 101–132.</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유인태. 인공지능과 미·중 전략 경쟁의 국제정치: 글로벌 AI 반도체 공급망과 미국의 경제적 강압을 중심으로. 『국제정치논총』, 65(1), 103–140.</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유성열. 인공지능 윤리 담론의 구조와 변화에 관한 연구: 토픽모델링 기반 언론기사 분석. 『디지털경제사회연구』, 4(1). https://doi.org/10.23388/JDES.2026.4.1.003 [확인: 쪽수]</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이재준. 미국과 중국의 군사 기술 경쟁과 세력 전이: 인공지능, 자율무기체계 군사 기술을 중심으로. 『한국과 국제정치』, 38(3), 1–35.</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차정미. 미중 패권경쟁과 인공지능 군사력 경쟁. 『국가전략』, 28(3), 5–31.</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최믿음·조은수. AI 관련 뉴스기사의 보도 프레임 분석. 『문화기술의 융합』. [확인: 권호·쪽수]</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Blei, D. M., Ng, A. Y., &amp; Jordan, M. I.. Latent Dirichlet allocation. Journal of Machine Learning Research, 3, 993–1022.</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Bradford, A.. The Brussels effect: How the European Union rules the world. Oxford University Press.</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Chuan, C.-H., Tsai, W.-H. S., &amp; Cho, S. Y.. Framing artificial intelligence in American newspapers. Proceedings of the 2019 AAAI/ACM Conference on AI, Ethics, and Society, 339–344.</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Cihon, P., Maas, M. M., &amp; Kemp, L.. Fragmentation and the future: Investigating architectures for international AI governance. Global Policy, 11(5). [확인: 쪽수·DOI]</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Cohen, J.. A coefficient of agreement for nominal scales. Educational and Psychological Measurement, 20(1), 37–46.</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Cools, H., Van Gorp, B., &amp; Opgenhaffen, M.. Where exactly between utopia and dystopia? A framing analysis of AI and automation in US newspapers. Journalism, 25(1), 3–21. https://doi.org/10.1177/14648849221122647</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Entman, R. M.. Framing: Toward clarification of a fractured paradigm. Journal of Communication, 43(4), 51–58.</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Finnemore, M., &amp; Sikkink, K.. International norm dynamics and political change. International Organization, 52(4), 887–917.</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Hagendorff, T.. The ethics of AI ethics: An evaluation of guidelines. Minds and Machines, 30(1), 99–120. https://doi.org/10.1007/s11023-020-09517-8</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Horowitz, M. C.. Artificial intelligence, international competition, and the balance of power. Texas National Security Review, 1(3).</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Jobin, A., Ienca, M., &amp; Vayena, E.. The global landscape of AI ethics guidelines. Nature Machine Intelligence, 1, 389–399. https://doi.org/10.1038/s42256-019-0088-2 [확인: 권]</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Landis, J. R., &amp; Koch, G. G.. The measurement of observer agreement for categorical data. Biometrics, 33(1), 159–174.</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Morse, J. C., &amp; Keohane, R. O.. Contested multilateralism. Review of International Organizations, 9(4), 385–412.</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Raustiala, K., &amp; Victor, D. G.. The regime complex for plant genetic resources. International Organization, 58(2), 277–309.</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Roberts, H., Cowls, J., Morley, J., Taddeo, M., Wang, V., &amp; Floridi, L.. The Chinese approach to artificial intelligence: An analysis of policy, ethics, and regulation. AI &amp; Society, 36(1), 59–77.</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Röder, M., Both, A., &amp; Hinneburg, A.. Exploring the space of topic coherence measures. Proceedings of WSDM 2015, 399–408.</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sz w:val="22"/>
          <w:szCs w:val="22"/>
        </w:rPr>
        <w:t xml:space="preserve">Schmitt, L.. Mapping global AI governance: A nascent regime in a fragmented landscape. AI and Ethics, 2(2), 303–314. https://doi.org/10.1007/s43681-021-00083-y</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color w:val="C00000"/>
          <w:sz w:val="22"/>
          <w:szCs w:val="22"/>
        </w:rPr>
        <w:t xml:space="preserve">---</w:t>
      </w:r>
    </w:p>
    <w:p>
      <w:pPr>
        <w:spacing w:line="384"/>
      </w:pPr>
      <w:r>
        <w:rPr>
          <w:rFonts w:ascii="신명조" w:cs="신명조" w:eastAsia="신명조" w:hAnsi="신명조"/>
          <w:b w:val="false"/>
          <w:bCs w:val="false"/>
          <w:sz w:val="22"/>
          <w:szCs w:val="22"/>
        </w:rPr>
        <w:t xml:space="preserve"/>
      </w:r>
    </w:p>
    <w:p>
      <w:pPr>
        <w:pStyle w:val="Heading1"/>
      </w:pPr>
      <w:r>
        <w:rPr>
          <w:rFonts w:ascii="Times New Roman" w:cs="신명조" w:eastAsia="신명조" w:hAnsi="Times New Roman"/>
          <w:b/>
          <w:bCs/>
          <w:strike w:val="false"/>
          <w:color w:val="C00000"/>
          <w:sz w:val="32"/>
          <w:szCs w:val="32"/>
        </w:rPr>
        <w:t xml:space="preserve">[참고문헌]</w:t>
      </w:r>
    </w:p>
    <w:p>
      <w:pPr>
        <w:spacing w:line="384"/>
      </w:pPr>
      <w:r>
        <w:rPr>
          <w:rFonts w:ascii="신명조" w:cs="신명조" w:eastAsia="신명조" w:hAnsi="신명조"/>
          <w:b w:val="false"/>
          <w:bCs w:val="false"/>
          <w:sz w:val="22"/>
          <w:szCs w:val="22"/>
        </w:rPr>
        <w:t xml:space="preserve"/>
      </w:r>
    </w:p>
    <w:p>
      <w:pPr>
        <w:spacing w:after="0" w:line="384"/>
        <w:ind w:left="720" w:hanging="720"/>
      </w:pPr>
      <w:r>
        <w:rPr>
          <w:rFonts w:ascii="Times New Roman" w:cs="신명조" w:eastAsia="신명조" w:hAnsi="Times New Roman"/>
          <w:b w:val="false"/>
          <w:bCs w:val="false"/>
          <w:strike w:val="false"/>
          <w:color w:val="C00000"/>
          <w:sz w:val="22"/>
          <w:szCs w:val="22"/>
        </w:rPr>
        <w:t xml:space="preserve">구오단양. (2024). Advancing AI Governance and Lawmaking in China -Insights and Strategies-. </w:t>
      </w:r>
      <w:r>
        <w:rPr>
          <w:rFonts w:ascii="Times New Roman" w:cs="신명조" w:eastAsia="신명조" w:hAnsi="Times New Roman"/>
          <w:b/>
          <w:bCs/>
          <w:strike w:val="false"/>
          <w:color w:val="C00000"/>
          <w:sz w:val="22"/>
          <w:szCs w:val="22"/>
        </w:rPr>
        <w:t xml:space="preserve">한중사회과학연구, 22</w:t>
      </w:r>
      <w:r>
        <w:rPr>
          <w:rFonts w:ascii="Times New Roman" w:cs="신명조" w:eastAsia="신명조" w:hAnsi="Times New Roman"/>
          <w:b w:val="false"/>
          <w:bCs w:val="false"/>
          <w:strike w:val="false"/>
          <w:color w:val="C00000"/>
          <w:sz w:val="22"/>
          <w:szCs w:val="22"/>
        </w:rPr>
        <w:t xml:space="preserve">(2), 279-298. http://dx.doi.org/10.36527/KCSSS.22.2.11</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김대웅, 박윤현. (2023). 토픽 모델링를 활용한 ‘유보통합’ 뉴스기사 동향 분석. </w:t>
      </w:r>
      <w:r>
        <w:rPr>
          <w:rFonts w:ascii="Times New Roman" w:cs="신명조" w:eastAsia="신명조" w:hAnsi="Times New Roman"/>
          <w:b/>
          <w:bCs/>
          <w:strike w:val="false"/>
          <w:color w:val="C00000"/>
          <w:sz w:val="22"/>
          <w:szCs w:val="22"/>
        </w:rPr>
        <w:t xml:space="preserve">열린유아교육연구, 28</w:t>
      </w:r>
      <w:r>
        <w:rPr>
          <w:rFonts w:ascii="Times New Roman" w:cs="신명조" w:eastAsia="신명조" w:hAnsi="Times New Roman"/>
          <w:b w:val="false"/>
          <w:bCs w:val="false"/>
          <w:strike w:val="false"/>
          <w:color w:val="C00000"/>
          <w:sz w:val="22"/>
          <w:szCs w:val="22"/>
        </w:rPr>
        <w:t xml:space="preserve">(3), 297-313.</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김동휴, 박희진. (2025). 영국 AI 거버넌스 전략: 신뢰를 인프라로. </w:t>
      </w:r>
      <w:r>
        <w:rPr>
          <w:rFonts w:ascii="Times New Roman" w:cs="신명조" w:eastAsia="신명조" w:hAnsi="Times New Roman"/>
          <w:b/>
          <w:bCs/>
          <w:strike w:val="false"/>
          <w:color w:val="C00000"/>
          <w:sz w:val="22"/>
          <w:szCs w:val="22"/>
        </w:rPr>
        <w:t xml:space="preserve">표준인증안전학회지, 15</w:t>
      </w:r>
      <w:r>
        <w:rPr>
          <w:rFonts w:ascii="Times New Roman" w:cs="신명조" w:eastAsia="신명조" w:hAnsi="Times New Roman"/>
          <w:b w:val="false"/>
          <w:bCs w:val="false"/>
          <w:strike w:val="false"/>
          <w:color w:val="C00000"/>
          <w:sz w:val="22"/>
          <w:szCs w:val="22"/>
        </w:rPr>
        <w:t xml:space="preserve">(3), 79-94. http://dx.doi.org/10.34139/JSCS.2025.15.3.79</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김선영. (2021). Is Saemaul Undong still a Means for Politics?: Using Topic Modeling Based on LDA. </w:t>
      </w:r>
      <w:r>
        <w:rPr>
          <w:rFonts w:ascii="Times New Roman" w:cs="신명조" w:eastAsia="신명조" w:hAnsi="Times New Roman"/>
          <w:b/>
          <w:bCs/>
          <w:strike w:val="false"/>
          <w:color w:val="C00000"/>
          <w:sz w:val="22"/>
          <w:szCs w:val="22"/>
        </w:rPr>
        <w:t xml:space="preserve">새마을학연구, 6</w:t>
      </w:r>
      <w:r>
        <w:rPr>
          <w:rFonts w:ascii="Times New Roman" w:cs="신명조" w:eastAsia="신명조" w:hAnsi="Times New Roman"/>
          <w:b w:val="false"/>
          <w:bCs w:val="false"/>
          <w:strike w:val="false"/>
          <w:color w:val="C00000"/>
          <w:sz w:val="22"/>
          <w:szCs w:val="22"/>
        </w:rPr>
        <w:t xml:space="preserve">(2), 59-94. http://dx.doi.org/10.22963/jos.6.2.202112.59</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김유정. (2026). 일본 AI법(人工知能関連技術の研究開発及び 活用の推進に関する法律) 제정 과정에 관한 연구. </w:t>
      </w:r>
      <w:r>
        <w:rPr>
          <w:rFonts w:ascii="Times New Roman" w:cs="신명조" w:eastAsia="신명조" w:hAnsi="Times New Roman"/>
          <w:b/>
          <w:bCs/>
          <w:strike w:val="false"/>
          <w:color w:val="C00000"/>
          <w:sz w:val="22"/>
          <w:szCs w:val="22"/>
        </w:rPr>
        <w:t xml:space="preserve">일본학보</w:t>
      </w:r>
      <w:r>
        <w:rPr>
          <w:rFonts w:ascii="Times New Roman" w:cs="신명조" w:eastAsia="신명조" w:hAnsi="Times New Roman"/>
          <w:b w:val="false"/>
          <w:bCs w:val="false"/>
          <w:strike w:val="false"/>
          <w:color w:val="C00000"/>
          <w:sz w:val="22"/>
          <w:szCs w:val="22"/>
        </w:rPr>
        <w:t xml:space="preserve">(146), 301-317. http://dx.doi.org/10.15532/kaja.2026.02.146.301</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김지상. (2026). AI 기본법 너머의 정책 설계 과제- 한국 국가 AI 정책의 방향성과 거버넌스 구조 분석 -. </w:t>
      </w:r>
      <w:r>
        <w:rPr>
          <w:rFonts w:ascii="Times New Roman" w:cs="신명조" w:eastAsia="신명조" w:hAnsi="Times New Roman"/>
          <w:b/>
          <w:bCs/>
          <w:strike w:val="false"/>
          <w:color w:val="C00000"/>
          <w:sz w:val="22"/>
          <w:szCs w:val="22"/>
        </w:rPr>
        <w:t xml:space="preserve">한국정책학회보, 35</w:t>
      </w:r>
      <w:r>
        <w:rPr>
          <w:rFonts w:ascii="Times New Roman" w:cs="신명조" w:eastAsia="신명조" w:hAnsi="Times New Roman"/>
          <w:b w:val="false"/>
          <w:bCs w:val="false"/>
          <w:strike w:val="false"/>
          <w:color w:val="C00000"/>
          <w:sz w:val="22"/>
          <w:szCs w:val="22"/>
        </w:rPr>
        <w:t xml:space="preserve">(3), 577-614. http://dx.doi.org/10.33900/KAPS.2026.35.3.18</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김지연, 박진희. (2024). 시민과학 기반 AI 거버넌스에 대하여. </w:t>
      </w:r>
      <w:r>
        <w:rPr>
          <w:rFonts w:ascii="Times New Roman" w:cs="신명조" w:eastAsia="신명조" w:hAnsi="Times New Roman"/>
          <w:b/>
          <w:bCs/>
          <w:strike w:val="false"/>
          <w:color w:val="C00000"/>
          <w:sz w:val="22"/>
          <w:szCs w:val="22"/>
        </w:rPr>
        <w:t xml:space="preserve">과학기술학연구, 24</w:t>
      </w:r>
      <w:r>
        <w:rPr>
          <w:rFonts w:ascii="Times New Roman" w:cs="신명조" w:eastAsia="신명조" w:hAnsi="Times New Roman"/>
          <w:b w:val="false"/>
          <w:bCs w:val="false"/>
          <w:strike w:val="false"/>
          <w:color w:val="C00000"/>
          <w:sz w:val="22"/>
          <w:szCs w:val="22"/>
        </w:rPr>
        <w:t xml:space="preserve">(3), 97-132.</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김찬우. (2021). 토픽모델링을 이용한 포퓰리즘 뉴스 분석. </w:t>
      </w:r>
      <w:r>
        <w:rPr>
          <w:rFonts w:ascii="Times New Roman" w:cs="신명조" w:eastAsia="신명조" w:hAnsi="Times New Roman"/>
          <w:b/>
          <w:bCs/>
          <w:strike w:val="false"/>
          <w:color w:val="C00000"/>
          <w:sz w:val="22"/>
          <w:szCs w:val="22"/>
        </w:rPr>
        <w:t xml:space="preserve">국제정치연구, 24</w:t>
      </w:r>
      <w:r>
        <w:rPr>
          <w:rFonts w:ascii="Times New Roman" w:cs="신명조" w:eastAsia="신명조" w:hAnsi="Times New Roman"/>
          <w:b w:val="false"/>
          <w:bCs w:val="false"/>
          <w:strike w:val="false"/>
          <w:color w:val="C00000"/>
          <w:sz w:val="22"/>
          <w:szCs w:val="22"/>
        </w:rPr>
        <w:t xml:space="preserve">(2), 99-126. http://dx.doi.org/10.15235/jir.2021.06.24.2.99</w:t>
      </w:r>
    </w:p>
    <w:p>
      <w:pPr>
        <w:spacing w:after="0" w:line="384"/>
        <w:ind w:left="720" w:hanging="720"/>
      </w:pPr>
      <w:r>
        <w:rPr>
          <w:rFonts w:ascii="Times New Roman" w:cs="신명조" w:eastAsia="신명조" w:hAnsi="Times New Roman"/>
          <w:b w:val="false"/>
          <w:bCs w:val="false"/>
          <w:strike w:val="false"/>
          <w:color w:val="C00000"/>
          <w:sz w:val="22"/>
          <w:szCs w:val="22"/>
        </w:rPr>
        <w:t xml:space="preserve">김태훈, 이성엽. (2025). 소버린 AI(Sovereign AI) 구축의 글로벌법제 동향에 관한 연구. </w:t>
      </w:r>
      <w:r>
        <w:rPr>
          <w:rFonts w:ascii="Times New Roman" w:cs="신명조" w:eastAsia="신명조" w:hAnsi="Times New Roman"/>
          <w:b/>
          <w:bCs/>
          <w:strike w:val="false"/>
          <w:color w:val="C00000"/>
          <w:sz w:val="22"/>
          <w:szCs w:val="22"/>
        </w:rPr>
        <w:t xml:space="preserve">경영법률, 36</w:t>
      </w:r>
      <w:r>
        <w:rPr>
          <w:rFonts w:ascii="Times New Roman" w:cs="신명조" w:eastAsia="신명조" w:hAnsi="Times New Roman"/>
          <w:b w:val="false"/>
          <w:bCs w:val="false"/>
          <w:strike w:val="false"/>
          <w:color w:val="C00000"/>
          <w:sz w:val="22"/>
          <w:szCs w:val="22"/>
        </w:rPr>
        <w:t xml:space="preserve">(1), 195-223.</w:t>
      </w:r>
    </w:p>
    <w:p>
      <w:pPr>
        <w:spacing w:after="0" w:line="384"/>
        <w:ind w:left="720" w:hanging="720"/>
      </w:pPr>
      <w:r>
        <w:rPr>
          <w:rFonts w:ascii="Times New Roman" w:cs="신명조" w:eastAsia="신명조" w:hAnsi="Times New Roman"/>
          <w:b w:val="false"/>
          <w:bCs w:val="false"/>
          <w:strike w:val="false"/>
          <w:color w:val="C00000"/>
          <w:sz w:val="22"/>
          <w:szCs w:val="22"/>
        </w:rPr>
        <w:t xml:space="preserve">문성현, 정세환, 지석호. (2018). Latent Dirichlet Allocation 기법을 활용한 해외건설시장 뉴스기사의 토픽 모델링(Topic Modeling). </w:t>
      </w:r>
      <w:r>
        <w:rPr>
          <w:rFonts w:ascii="Times New Roman" w:cs="신명조" w:eastAsia="신명조" w:hAnsi="Times New Roman"/>
          <w:b/>
          <w:bCs/>
          <w:strike w:val="false"/>
          <w:color w:val="C00000"/>
          <w:sz w:val="22"/>
          <w:szCs w:val="22"/>
        </w:rPr>
        <w:t xml:space="preserve">대한토목학회논문집(국문), 38</w:t>
      </w:r>
      <w:r>
        <w:rPr>
          <w:rFonts w:ascii="Times New Roman" w:cs="신명조" w:eastAsia="신명조" w:hAnsi="Times New Roman"/>
          <w:b w:val="false"/>
          <w:bCs w:val="false"/>
          <w:strike w:val="false"/>
          <w:color w:val="C00000"/>
          <w:sz w:val="22"/>
          <w:szCs w:val="22"/>
        </w:rPr>
        <w:t xml:space="preserve">(4), 595-599. http://dx.doi.org/10.12652/Ksce.2018.38.4.0595</w:t>
      </w:r>
    </w:p>
    <w:p>
      <w:pPr>
        <w:spacing w:after="0" w:line="384"/>
        <w:ind w:left="720" w:hanging="720"/>
      </w:pPr>
      <w:r>
        <w:rPr>
          <w:rFonts w:ascii="Times New Roman" w:cs="신명조" w:eastAsia="신명조" w:hAnsi="Times New Roman"/>
          <w:b w:val="false"/>
          <w:bCs w:val="false"/>
          <w:strike w:val="false"/>
          <w:color w:val="C00000"/>
          <w:sz w:val="22"/>
          <w:szCs w:val="22"/>
        </w:rPr>
        <w:t xml:space="preserve">박선형. (2024). AI 거버넌스의 정의와 쟁점 및 발전 과제: 비판적 관점. </w:t>
      </w:r>
      <w:r>
        <w:rPr>
          <w:rFonts w:ascii="Times New Roman" w:cs="신명조" w:eastAsia="신명조" w:hAnsi="Times New Roman"/>
          <w:b/>
          <w:bCs/>
          <w:strike w:val="false"/>
          <w:color w:val="C00000"/>
          <w:sz w:val="22"/>
          <w:szCs w:val="22"/>
        </w:rPr>
        <w:t xml:space="preserve">교육정치학연구, 31</w:t>
      </w:r>
      <w:r>
        <w:rPr>
          <w:rFonts w:ascii="Times New Roman" w:cs="신명조" w:eastAsia="신명조" w:hAnsi="Times New Roman"/>
          <w:b w:val="false"/>
          <w:bCs w:val="false"/>
          <w:strike w:val="false"/>
          <w:color w:val="C00000"/>
          <w:sz w:val="22"/>
          <w:szCs w:val="22"/>
        </w:rPr>
        <w:t xml:space="preserve">(1), 89-117. http://dx.doi.org/10.52183/KSPE.2024.31.1.89</w:t>
      </w:r>
    </w:p>
    <w:p>
      <w:pPr>
        <w:spacing w:after="0" w:line="384"/>
        <w:ind w:left="720" w:hanging="720"/>
      </w:pPr>
      <w:r>
        <w:rPr>
          <w:rFonts w:ascii="Times New Roman" w:cs="신명조" w:eastAsia="신명조" w:hAnsi="Times New Roman"/>
          <w:b w:val="false"/>
          <w:bCs w:val="false"/>
          <w:strike w:val="false"/>
          <w:color w:val="C00000"/>
          <w:sz w:val="22"/>
          <w:szCs w:val="22"/>
        </w:rPr>
        <w:t xml:space="preserve">서요련. (2026). 무지의 베일을 쓴 AI - 롤스적 AI 거버넌스에 관한 비판적 고찰 -. </w:t>
      </w:r>
      <w:r>
        <w:rPr>
          <w:rFonts w:ascii="Times New Roman" w:cs="신명조" w:eastAsia="신명조" w:hAnsi="Times New Roman"/>
          <w:b/>
          <w:bCs/>
          <w:strike w:val="false"/>
          <w:color w:val="C00000"/>
          <w:sz w:val="22"/>
          <w:szCs w:val="22"/>
        </w:rPr>
        <w:t xml:space="preserve">도덕윤리과교육</w:t>
      </w:r>
      <w:r>
        <w:rPr>
          <w:rFonts w:ascii="Times New Roman" w:cs="신명조" w:eastAsia="신명조" w:hAnsi="Times New Roman"/>
          <w:b w:val="false"/>
          <w:bCs w:val="false"/>
          <w:strike w:val="false"/>
          <w:color w:val="C00000"/>
          <w:sz w:val="22"/>
          <w:szCs w:val="22"/>
        </w:rPr>
        <w:t xml:space="preserve">(92), 231-260. http://dx.doi.org/10.18338/kojmee.2026..92.231</w:t>
      </w:r>
    </w:p>
    <w:p>
      <w:pPr>
        <w:spacing w:after="0" w:line="384"/>
        <w:ind w:left="720" w:hanging="720"/>
      </w:pPr>
      <w:r>
        <w:rPr>
          <w:rFonts w:ascii="Times New Roman" w:cs="신명조" w:eastAsia="신명조" w:hAnsi="Times New Roman"/>
          <w:b w:val="false"/>
          <w:bCs w:val="false"/>
          <w:strike w:val="false"/>
          <w:color w:val="C00000"/>
          <w:sz w:val="22"/>
          <w:szCs w:val="22"/>
        </w:rPr>
        <w:t xml:space="preserve">설진아. (2026). 생성형 인공지능(AI) 기반 허위 정보 규제와 문제점에 관한 고찰. </w:t>
      </w:r>
      <w:r>
        <w:rPr>
          <w:rFonts w:ascii="Times New Roman" w:cs="신명조" w:eastAsia="신명조" w:hAnsi="Times New Roman"/>
          <w:b/>
          <w:bCs/>
          <w:strike w:val="false"/>
          <w:color w:val="C00000"/>
          <w:sz w:val="22"/>
          <w:szCs w:val="22"/>
        </w:rPr>
        <w:t xml:space="preserve">언론과 법, 25</w:t>
      </w:r>
      <w:r>
        <w:rPr>
          <w:rFonts w:ascii="Times New Roman" w:cs="신명조" w:eastAsia="신명조" w:hAnsi="Times New Roman"/>
          <w:b w:val="false"/>
          <w:bCs w:val="false"/>
          <w:strike w:val="false"/>
          <w:color w:val="C00000"/>
          <w:sz w:val="22"/>
          <w:szCs w:val="22"/>
        </w:rPr>
        <w:t xml:space="preserve">(1), 241-280.</w:t>
      </w:r>
    </w:p>
    <w:p>
      <w:pPr>
        <w:spacing w:after="0" w:line="384"/>
        <w:ind w:left="720" w:hanging="720"/>
      </w:pPr>
      <w:r>
        <w:rPr>
          <w:rFonts w:ascii="Times New Roman" w:cs="신명조" w:eastAsia="신명조" w:hAnsi="Times New Roman"/>
          <w:b w:val="false"/>
          <w:bCs w:val="false"/>
          <w:strike w:val="false"/>
          <w:color w:val="C00000"/>
          <w:sz w:val="22"/>
          <w:szCs w:val="22"/>
        </w:rPr>
        <w:t xml:space="preserve">안소영. (2025). 기업의 AI 윤리 실천: LG AI연구원의 사례 분석. </w:t>
      </w:r>
      <w:r>
        <w:rPr>
          <w:rFonts w:ascii="Times New Roman" w:cs="신명조" w:eastAsia="신명조" w:hAnsi="Times New Roman"/>
          <w:b/>
          <w:bCs/>
          <w:strike w:val="false"/>
          <w:color w:val="C00000"/>
          <w:sz w:val="22"/>
          <w:szCs w:val="22"/>
        </w:rPr>
        <w:t xml:space="preserve">과학기술과 사회, 8</w:t>
      </w:r>
      <w:r>
        <w:rPr>
          <w:rFonts w:ascii="Times New Roman" w:cs="신명조" w:eastAsia="신명조" w:hAnsi="Times New Roman"/>
          <w:b w:val="false"/>
          <w:bCs w:val="false"/>
          <w:strike w:val="false"/>
          <w:color w:val="C00000"/>
          <w:sz w:val="22"/>
          <w:szCs w:val="22"/>
        </w:rPr>
        <w:t xml:space="preserve">, 63-99.</w:t>
      </w:r>
    </w:p>
    <w:p>
      <w:pPr>
        <w:spacing w:after="0" w:line="384"/>
        <w:ind w:left="720" w:hanging="720"/>
      </w:pPr>
      <w:r>
        <w:rPr>
          <w:rFonts w:ascii="Times New Roman" w:cs="신명조" w:eastAsia="신명조" w:hAnsi="Times New Roman"/>
          <w:b w:val="false"/>
          <w:bCs w:val="false"/>
          <w:strike w:val="false"/>
          <w:color w:val="C00000"/>
          <w:sz w:val="22"/>
          <w:szCs w:val="22"/>
        </w:rPr>
        <w:t xml:space="preserve">안준철. (2024). 유럽의 AI 거버넌스와 미디어 책임. </w:t>
      </w:r>
      <w:r>
        <w:rPr>
          <w:rFonts w:ascii="Times New Roman" w:cs="신명조" w:eastAsia="신명조" w:hAnsi="Times New Roman"/>
          <w:b/>
          <w:bCs/>
          <w:strike w:val="false"/>
          <w:color w:val="C00000"/>
          <w:sz w:val="22"/>
          <w:szCs w:val="22"/>
        </w:rPr>
        <w:t xml:space="preserve">통합유럽연구, 15</w:t>
      </w:r>
      <w:r>
        <w:rPr>
          <w:rFonts w:ascii="Times New Roman" w:cs="신명조" w:eastAsia="신명조" w:hAnsi="Times New Roman"/>
          <w:b w:val="false"/>
          <w:bCs w:val="false"/>
          <w:strike w:val="false"/>
          <w:color w:val="C00000"/>
          <w:sz w:val="22"/>
          <w:szCs w:val="22"/>
        </w:rPr>
        <w:t xml:space="preserve">(3), 209-242. http://dx.doi.org/10.32625/KJEI.2024.34.209</w:t>
      </w:r>
    </w:p>
    <w:p>
      <w:pPr>
        <w:spacing w:after="0" w:line="384"/>
        <w:ind w:left="720" w:hanging="720"/>
      </w:pPr>
      <w:r>
        <w:rPr>
          <w:rFonts w:ascii="Times New Roman" w:cs="신명조" w:eastAsia="신명조" w:hAnsi="Times New Roman"/>
          <w:b w:val="false"/>
          <w:bCs w:val="false"/>
          <w:strike w:val="false"/>
          <w:color w:val="C00000"/>
          <w:sz w:val="22"/>
          <w:szCs w:val="22"/>
        </w:rPr>
        <w:t xml:space="preserve">안형준. (2022). 토픽 모델링을 이용한 NFT에 대한 뉴스 기사 트렌드 분석. </w:t>
      </w:r>
      <w:r>
        <w:rPr>
          <w:rFonts w:ascii="Times New Roman" w:cs="신명조" w:eastAsia="신명조" w:hAnsi="Times New Roman"/>
          <w:b/>
          <w:bCs/>
          <w:strike w:val="false"/>
          <w:color w:val="C00000"/>
          <w:sz w:val="22"/>
          <w:szCs w:val="22"/>
        </w:rPr>
        <w:t xml:space="preserve">문화예술경영학연구, 15</w:t>
      </w:r>
      <w:r>
        <w:rPr>
          <w:rFonts w:ascii="Times New Roman" w:cs="신명조" w:eastAsia="신명조" w:hAnsi="Times New Roman"/>
          <w:b w:val="false"/>
          <w:bCs w:val="false"/>
          <w:strike w:val="false"/>
          <w:color w:val="C00000"/>
          <w:sz w:val="22"/>
          <w:szCs w:val="22"/>
        </w:rPr>
        <w:t xml:space="preserve">(2), 31-52. http://dx.doi.org/10.15333/ACM.2022.08.30.31</w:t>
      </w:r>
    </w:p>
    <w:p>
      <w:pPr>
        <w:spacing w:after="0" w:line="384"/>
        <w:ind w:left="720" w:hanging="720"/>
      </w:pPr>
      <w:r>
        <w:rPr>
          <w:rFonts w:ascii="Times New Roman" w:cs="신명조" w:eastAsia="신명조" w:hAnsi="Times New Roman"/>
          <w:b w:val="false"/>
          <w:bCs w:val="false"/>
          <w:strike w:val="false"/>
          <w:color w:val="C00000"/>
          <w:sz w:val="22"/>
          <w:szCs w:val="22"/>
        </w:rPr>
        <w:t xml:space="preserve">유재구, 강인기, 신봉희. (2025). 스포츠-과학 기술 미래산업 인사이트: 뉴스 토픽 모델링 분석. </w:t>
      </w:r>
      <w:r>
        <w:rPr>
          <w:rFonts w:ascii="Times New Roman" w:cs="신명조" w:eastAsia="신명조" w:hAnsi="Times New Roman"/>
          <w:b/>
          <w:bCs/>
          <w:strike w:val="false"/>
          <w:color w:val="C00000"/>
          <w:sz w:val="22"/>
          <w:szCs w:val="22"/>
        </w:rPr>
        <w:t xml:space="preserve">한국스포츠학회, 23</w:t>
      </w:r>
      <w:r>
        <w:rPr>
          <w:rFonts w:ascii="Times New Roman" w:cs="신명조" w:eastAsia="신명조" w:hAnsi="Times New Roman"/>
          <w:b w:val="false"/>
          <w:bCs w:val="false"/>
          <w:strike w:val="false"/>
          <w:color w:val="C00000"/>
          <w:sz w:val="22"/>
          <w:szCs w:val="22"/>
        </w:rPr>
        <w:t xml:space="preserve">(3), 291-310. http://dx.doi.org/10.46669/kss.2025.23.3.023</w:t>
      </w:r>
    </w:p>
    <w:p>
      <w:pPr>
        <w:spacing w:after="0" w:line="384"/>
        <w:ind w:left="720" w:hanging="720"/>
      </w:pPr>
      <w:r>
        <w:rPr>
          <w:rFonts w:ascii="Times New Roman" w:cs="신명조" w:eastAsia="신명조" w:hAnsi="Times New Roman"/>
          <w:b w:val="false"/>
          <w:bCs w:val="false"/>
          <w:strike w:val="false"/>
          <w:color w:val="C00000"/>
          <w:sz w:val="22"/>
          <w:szCs w:val="22"/>
        </w:rPr>
        <w:t xml:space="preserve">윤정현. (2026). 미국의 AI 안보화 담론과 AI 안보 거버넌스의 재구성. </w:t>
      </w:r>
      <w:r>
        <w:rPr>
          <w:rFonts w:ascii="Times New Roman" w:cs="신명조" w:eastAsia="신명조" w:hAnsi="Times New Roman"/>
          <w:b/>
          <w:bCs/>
          <w:strike w:val="false"/>
          <w:color w:val="C00000"/>
          <w:sz w:val="22"/>
          <w:szCs w:val="22"/>
        </w:rPr>
        <w:t xml:space="preserve">대한정치학회보, 34</w:t>
      </w:r>
      <w:r>
        <w:rPr>
          <w:rFonts w:ascii="Times New Roman" w:cs="신명조" w:eastAsia="신명조" w:hAnsi="Times New Roman"/>
          <w:b w:val="false"/>
          <w:bCs w:val="false"/>
          <w:strike w:val="false"/>
          <w:color w:val="C00000"/>
          <w:sz w:val="22"/>
          <w:szCs w:val="22"/>
        </w:rPr>
        <w:t xml:space="preserve">(1), 79-108.</w:t>
      </w:r>
    </w:p>
    <w:p>
      <w:pPr>
        <w:spacing w:after="0" w:line="384"/>
        <w:ind w:left="720" w:hanging="720"/>
      </w:pPr>
      <w:r>
        <w:rPr>
          <w:rFonts w:ascii="Times New Roman" w:cs="신명조" w:eastAsia="신명조" w:hAnsi="Times New Roman"/>
          <w:b w:val="false"/>
          <w:bCs w:val="false"/>
          <w:strike w:val="false"/>
          <w:color w:val="C00000"/>
          <w:sz w:val="22"/>
          <w:szCs w:val="22"/>
        </w:rPr>
        <w:t xml:space="preserve">윤혜선. (2024). AI 거버넌스의 새로운 축(軸) ― 영향평가제도에 관한 연구 ―. </w:t>
      </w:r>
      <w:r>
        <w:rPr>
          <w:rFonts w:ascii="Times New Roman" w:cs="신명조" w:eastAsia="신명조" w:hAnsi="Times New Roman"/>
          <w:b/>
          <w:bCs/>
          <w:strike w:val="false"/>
          <w:color w:val="C00000"/>
          <w:sz w:val="22"/>
          <w:szCs w:val="22"/>
        </w:rPr>
        <w:t xml:space="preserve">공법연구, 53</w:t>
      </w:r>
      <w:r>
        <w:rPr>
          <w:rFonts w:ascii="Times New Roman" w:cs="신명조" w:eastAsia="신명조" w:hAnsi="Times New Roman"/>
          <w:b w:val="false"/>
          <w:bCs w:val="false"/>
          <w:strike w:val="false"/>
          <w:color w:val="C00000"/>
          <w:sz w:val="22"/>
          <w:szCs w:val="22"/>
        </w:rPr>
        <w:t xml:space="preserve">(2), 377-424. http://dx.doi.org/10.38176/PublicLaw.2024.12.53.2.377</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이겨레, 임철민. (2026). 토픽모델링(BERTopic)을 활용한 국내 인공지능 정책 관련 언론보도 분석. </w:t>
      </w:r>
      <w:r>
        <w:rPr>
          <w:rFonts w:ascii="Times New Roman" w:cs="신명조" w:eastAsia="신명조" w:hAnsi="Times New Roman"/>
          <w:b/>
          <w:bCs/>
          <w:strike w:val="false"/>
          <w:color w:val="C00000"/>
          <w:sz w:val="22"/>
          <w:szCs w:val="22"/>
        </w:rPr>
        <w:t xml:space="preserve">한국콘텐츠학회 논문지, 26</w:t>
      </w:r>
      <w:r>
        <w:rPr>
          <w:rFonts w:ascii="Times New Roman" w:cs="신명조" w:eastAsia="신명조" w:hAnsi="Times New Roman"/>
          <w:b w:val="false"/>
          <w:bCs w:val="false"/>
          <w:strike w:val="false"/>
          <w:color w:val="C00000"/>
          <w:sz w:val="22"/>
          <w:szCs w:val="22"/>
        </w:rPr>
        <w:t xml:space="preserve">(2), 86-100. http://dx.doi.org/10.5392/JKCA.2026.26.02.086</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이나윤, 한무명초. (2025). 토픽 모델링을 활용한 인플루언서 마케팅 뉴스 담론 분석. </w:t>
      </w:r>
      <w:r>
        <w:rPr>
          <w:rFonts w:ascii="Times New Roman" w:cs="신명조" w:eastAsia="신명조" w:hAnsi="Times New Roman"/>
          <w:b/>
          <w:bCs/>
          <w:strike w:val="false"/>
          <w:color w:val="C00000"/>
          <w:sz w:val="22"/>
          <w:szCs w:val="22"/>
        </w:rPr>
        <w:t xml:space="preserve">실천공학교육논문지, 17</w:t>
      </w:r>
      <w:r>
        <w:rPr>
          <w:rFonts w:ascii="Times New Roman" w:cs="신명조" w:eastAsia="신명조" w:hAnsi="Times New Roman"/>
          <w:b w:val="false"/>
          <w:bCs w:val="false"/>
          <w:strike w:val="false"/>
          <w:color w:val="C00000"/>
          <w:sz w:val="22"/>
          <w:szCs w:val="22"/>
        </w:rPr>
        <w:t xml:space="preserve">(4), 757-765. http://dx.doi.org/10.14702/JPEE.2025.757</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이상훈, 권혁진. (2025). 다계층 AI 거버넌스를 통한 AI 윤리 확보 방안 연구: 무기기술 발전과 인간 존엄성을 중심으로. </w:t>
      </w:r>
      <w:r>
        <w:rPr>
          <w:rFonts w:ascii="Times New Roman" w:cs="신명조" w:eastAsia="신명조" w:hAnsi="Times New Roman"/>
          <w:b/>
          <w:bCs/>
          <w:strike w:val="false"/>
          <w:color w:val="C00000"/>
          <w:sz w:val="22"/>
          <w:szCs w:val="22"/>
        </w:rPr>
        <w:t xml:space="preserve">시스템엔지니어링학술지, 21</w:t>
      </w:r>
      <w:r>
        <w:rPr>
          <w:rFonts w:ascii="Times New Roman" w:cs="신명조" w:eastAsia="신명조" w:hAnsi="Times New Roman"/>
          <w:b w:val="false"/>
          <w:bCs w:val="false"/>
          <w:strike w:val="false"/>
          <w:color w:val="C00000"/>
          <w:sz w:val="22"/>
          <w:szCs w:val="22"/>
        </w:rPr>
        <w:t xml:space="preserve">(2), 34-51. http://dx.doi.org/10.14248/JKOSSE.2025.21.2.034</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이수연, 김태종. (2020). 토픽 모델링을 활용한 ‘수돗물 유충’ 뉴스 빅데이터 분석. </w:t>
      </w:r>
      <w:r>
        <w:rPr>
          <w:rFonts w:ascii="Times New Roman" w:cs="신명조" w:eastAsia="신명조" w:hAnsi="Times New Roman"/>
          <w:b/>
          <w:bCs/>
          <w:strike w:val="false"/>
          <w:color w:val="C00000"/>
          <w:sz w:val="22"/>
          <w:szCs w:val="22"/>
        </w:rPr>
        <w:t xml:space="preserve">한국콘텐츠학회 논문지, 20</w:t>
      </w:r>
      <w:r>
        <w:rPr>
          <w:rFonts w:ascii="Times New Roman" w:cs="신명조" w:eastAsia="신명조" w:hAnsi="Times New Roman"/>
          <w:b w:val="false"/>
          <w:bCs w:val="false"/>
          <w:strike w:val="false"/>
          <w:color w:val="C00000"/>
          <w:sz w:val="22"/>
          <w:szCs w:val="22"/>
        </w:rPr>
        <w:t xml:space="preserve">(11), 28-37. http://dx.doi.org/10.5392/JKCA.2020.20.11.028</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이원재, 박찬우, 강성근, 윤상후. (2024). 토픽 모델링을 이용한 열차 사고 관련 뉴스 동향 분석. </w:t>
      </w:r>
      <w:r>
        <w:rPr>
          <w:rFonts w:ascii="Times New Roman" w:cs="신명조" w:eastAsia="신명조" w:hAnsi="Times New Roman"/>
          <w:b w:val="false"/>
          <w:bCs w:val="false"/>
          <w:i/>
          <w:iCs/>
          <w:strike w:val="false"/>
          <w:color w:val="C00000"/>
          <w:sz w:val="22"/>
          <w:szCs w:val="22"/>
        </w:rPr>
        <w:t xml:space="preserve">Journal of The Korean Data Analysis Society, 26</w:t>
      </w:r>
      <w:r>
        <w:rPr>
          <w:rFonts w:ascii="Times New Roman" w:cs="신명조" w:eastAsia="신명조" w:hAnsi="Times New Roman"/>
          <w:b w:val="false"/>
          <w:bCs w:val="false"/>
          <w:strike w:val="false"/>
          <w:color w:val="C00000"/>
          <w:sz w:val="22"/>
          <w:szCs w:val="22"/>
        </w:rPr>
        <w:t xml:space="preserve">(6), 1739-1750. http://dx.doi.org/10.37727/jkdas.2024.26.6.1739</w:t>
      </w:r>
    </w:p>
    <w:p>
      <w:pPr>
        <w:spacing w:after="0" w:line="384"/>
        <w:ind w:left="720" w:hanging="720"/>
      </w:pPr>
      <w:r>
        <w:rPr>
          <w:rFonts w:ascii="Times New Roman" w:cs="신명조" w:eastAsia="신명조" w:hAnsi="Times New Roman"/>
          <w:b w:val="false"/>
          <w:bCs w:val="false"/>
          <w:strike w:val="false"/>
          <w:color w:val="C00000"/>
          <w:sz w:val="22"/>
          <w:szCs w:val="22"/>
        </w:rPr>
        <w:t xml:space="preserve">이재숭. (2022). 중국의 인공지능(AI) 윤리 정책에 관한 연구. </w:t>
      </w:r>
      <w:r>
        <w:rPr>
          <w:rFonts w:ascii="Times New Roman" w:cs="신명조" w:eastAsia="신명조" w:hAnsi="Times New Roman"/>
          <w:b/>
          <w:bCs/>
          <w:strike w:val="false"/>
          <w:color w:val="C00000"/>
          <w:sz w:val="22"/>
          <w:szCs w:val="22"/>
        </w:rPr>
        <w:t xml:space="preserve">중국학</w:t>
      </w:r>
      <w:r>
        <w:rPr>
          <w:rFonts w:ascii="Times New Roman" w:cs="신명조" w:eastAsia="신명조" w:hAnsi="Times New Roman"/>
          <w:b w:val="false"/>
          <w:bCs w:val="false"/>
          <w:strike w:val="false"/>
          <w:color w:val="C00000"/>
          <w:sz w:val="22"/>
          <w:szCs w:val="22"/>
        </w:rPr>
        <w:t xml:space="preserve">(80), 69-87. http://dx.doi.org/10.14378/KACS.2022.80.80.4</w:t>
      </w:r>
    </w:p>
    <w:p>
      <w:pPr>
        <w:spacing w:after="0" w:line="384"/>
        <w:ind w:left="720" w:hanging="720"/>
      </w:pPr>
      <w:r>
        <w:rPr>
          <w:rFonts w:ascii="Times New Roman" w:cs="신명조" w:eastAsia="신명조" w:hAnsi="Times New Roman"/>
          <w:b w:val="false"/>
          <w:bCs w:val="false"/>
          <w:strike w:val="false"/>
          <w:color w:val="C00000"/>
          <w:sz w:val="22"/>
          <w:szCs w:val="22"/>
        </w:rPr>
        <w:t xml:space="preserve">하윤빈. (2026). AI 거버넌스와 글로벌 사우스: 배제의 권력 기제와 전략적 대응. </w:t>
      </w:r>
      <w:r>
        <w:rPr>
          <w:rFonts w:ascii="Times New Roman" w:cs="신명조" w:eastAsia="신명조" w:hAnsi="Times New Roman"/>
          <w:b/>
          <w:bCs/>
          <w:strike w:val="false"/>
          <w:color w:val="C00000"/>
          <w:sz w:val="22"/>
          <w:szCs w:val="22"/>
        </w:rPr>
        <w:t xml:space="preserve">세계지역연구논총, 44</w:t>
      </w:r>
      <w:r>
        <w:rPr>
          <w:rFonts w:ascii="Times New Roman" w:cs="신명조" w:eastAsia="신명조" w:hAnsi="Times New Roman"/>
          <w:b w:val="false"/>
          <w:bCs w:val="false"/>
          <w:strike w:val="false"/>
          <w:color w:val="C00000"/>
          <w:sz w:val="22"/>
          <w:szCs w:val="22"/>
        </w:rPr>
        <w:t xml:space="preserve">(3), 55-105.</w:t>
      </w:r>
    </w:p>
    <w:p>
      <w:pPr>
        <w:spacing w:after="0" w:line="384"/>
        <w:ind w:left="720" w:hanging="720"/>
      </w:pPr>
      <w:r>
        <w:rPr>
          <w:rFonts w:ascii="Times New Roman" w:cs="신명조" w:eastAsia="신명조" w:hAnsi="Times New Roman"/>
          <w:b w:val="false"/>
          <w:bCs w:val="false"/>
          <w:strike w:val="false"/>
          <w:color w:val="C00000"/>
          <w:sz w:val="22"/>
          <w:szCs w:val="22"/>
        </w:rPr>
        <w:t xml:space="preserve">한송이, 김태종. (2021a). 메타버스 뉴스 빅데이터 분석: 토픽 모델링 분석을 중심으로. </w:t>
      </w:r>
      <w:r>
        <w:rPr>
          <w:rFonts w:ascii="Times New Roman" w:cs="신명조" w:eastAsia="신명조" w:hAnsi="Times New Roman"/>
          <w:b/>
          <w:bCs/>
          <w:strike w:val="false"/>
          <w:color w:val="C00000"/>
          <w:sz w:val="22"/>
          <w:szCs w:val="22"/>
        </w:rPr>
        <w:t xml:space="preserve">디지털콘텐츠학회논문지, 22</w:t>
      </w:r>
      <w:r>
        <w:rPr>
          <w:rFonts w:ascii="Times New Roman" w:cs="신명조" w:eastAsia="신명조" w:hAnsi="Times New Roman"/>
          <w:b w:val="false"/>
          <w:bCs w:val="false"/>
          <w:strike w:val="false"/>
          <w:color w:val="C00000"/>
          <w:sz w:val="22"/>
          <w:szCs w:val="22"/>
        </w:rPr>
        <w:t xml:space="preserve">(7), 1091-1099. http://dx.doi.org/10.9728/dcs.2021.22.7.1091</w:t>
      </w:r>
    </w:p>
    <w:p>
      <w:pPr>
        <w:spacing w:after="0" w:line="384"/>
        <w:ind w:left="720" w:hanging="720"/>
      </w:pPr>
      <w:r>
        <w:rPr>
          <w:rFonts w:ascii="Times New Roman" w:cs="신명조" w:eastAsia="신명조" w:hAnsi="Times New Roman"/>
          <w:b w:val="false"/>
          <w:bCs w:val="false"/>
          <w:strike w:val="false"/>
          <w:color w:val="C00000"/>
          <w:sz w:val="22"/>
          <w:szCs w:val="22"/>
        </w:rPr>
        <w:t xml:space="preserve">한송이, 김태종. (2021b). 미디어 리터러시 뉴스 빅데이터 분석: 토픽 모델링 분석을 중심으로. </w:t>
      </w:r>
      <w:r>
        <w:rPr>
          <w:rFonts w:ascii="Times New Roman" w:cs="신명조" w:eastAsia="신명조" w:hAnsi="Times New Roman"/>
          <w:b/>
          <w:bCs/>
          <w:strike w:val="false"/>
          <w:color w:val="C00000"/>
          <w:sz w:val="22"/>
          <w:szCs w:val="22"/>
        </w:rPr>
        <w:t xml:space="preserve">한국콘텐츠학회 논문지, 21</w:t>
      </w:r>
      <w:r>
        <w:rPr>
          <w:rFonts w:ascii="Times New Roman" w:cs="신명조" w:eastAsia="신명조" w:hAnsi="Times New Roman"/>
          <w:b w:val="false"/>
          <w:bCs w:val="false"/>
          <w:strike w:val="false"/>
          <w:color w:val="C00000"/>
          <w:sz w:val="22"/>
          <w:szCs w:val="22"/>
        </w:rPr>
        <w:t xml:space="preserve">(4), 26-37. http://dx.doi.org/10.5392/JKCA.2021.21.04.026</w:t>
      </w:r>
    </w:p>
    <w:p>
      <w:pPr>
        <w:spacing w:after="0" w:line="384"/>
        <w:ind w:left="720" w:hanging="720"/>
      </w:pPr>
      <w:r>
        <w:rPr>
          <w:rFonts w:ascii="Times New Roman" w:cs="신명조" w:eastAsia="신명조" w:hAnsi="Times New Roman"/>
          <w:b w:val="false"/>
          <w:bCs w:val="false"/>
          <w:strike w:val="false"/>
          <w:color w:val="C00000"/>
          <w:sz w:val="22"/>
          <w:szCs w:val="22"/>
        </w:rPr>
        <w:t xml:space="preserve">현지우, 임동완. (2023). 토픽 모델링을 활용한 건강보험료 뉴스 기사 분석. </w:t>
      </w:r>
      <w:r>
        <w:rPr>
          <w:rFonts w:ascii="Times New Roman" w:cs="신명조" w:eastAsia="신명조" w:hAnsi="Times New Roman"/>
          <w:b/>
          <w:bCs/>
          <w:strike w:val="false"/>
          <w:color w:val="C00000"/>
          <w:sz w:val="22"/>
          <w:szCs w:val="22"/>
        </w:rPr>
        <w:t xml:space="preserve">한국콘텐츠학회 논문지, 23</w:t>
      </w:r>
      <w:r>
        <w:rPr>
          <w:rFonts w:ascii="Times New Roman" w:cs="신명조" w:eastAsia="신명조" w:hAnsi="Times New Roman"/>
          <w:b w:val="false"/>
          <w:bCs w:val="false"/>
          <w:strike w:val="false"/>
          <w:color w:val="C00000"/>
          <w:sz w:val="22"/>
          <w:szCs w:val="22"/>
        </w:rPr>
        <w:t xml:space="preserve">(4), 26-38. http://dx.doi.org/10.5392/JKCA.2023.23.04.026</w:t>
      </w:r>
    </w:p>
    <w:p>
      <w:pPr>
        <w:spacing w:after="0" w:line="384"/>
        <w:ind w:left="720" w:hanging="720"/>
      </w:pPr>
      <w:r>
        <w:rPr>
          <w:rFonts w:ascii="Times New Roman" w:cs="신명조" w:eastAsia="신명조" w:hAnsi="Times New Roman"/>
          <w:b w:val="false"/>
          <w:bCs w:val="false"/>
          <w:strike w:val="false"/>
          <w:color w:val="C00000"/>
          <w:sz w:val="22"/>
          <w:szCs w:val="22"/>
        </w:rPr>
        <w:t xml:space="preserve">Zhao, B., Wang, H., &amp; Zhou, J. (2023). Data Security and Privacy Research Trends: LDA Topic Modeling. </w:t>
      </w:r>
      <w:r>
        <w:rPr>
          <w:rFonts w:ascii="Times New Roman" w:cs="신명조" w:eastAsia="신명조" w:hAnsi="Times New Roman"/>
          <w:b w:val="false"/>
          <w:bCs w:val="false"/>
          <w:i/>
          <w:iCs/>
          <w:strike w:val="false"/>
          <w:color w:val="C00000"/>
          <w:sz w:val="22"/>
          <w:szCs w:val="22"/>
        </w:rPr>
        <w:t xml:space="preserve">Springer Science and Business Media LLC</w:t>
      </w:r>
      <w:r>
        <w:rPr>
          <w:rFonts w:ascii="Times New Roman" w:cs="신명조" w:eastAsia="신명조" w:hAnsi="Times New Roman"/>
          <w:b w:val="false"/>
          <w:bCs w:val="false"/>
          <w:strike w:val="false"/>
          <w:color w:val="C00000"/>
          <w:sz w:val="22"/>
          <w:szCs w:val="22"/>
        </w:rPr>
        <w:t xml:space="preserve">. https://doi.org/10.21203/rs.3.rs-3448044/v1</w:t>
      </w:r>
    </w:p>
    <w:p>
      <w:pPr>
        <w:spacing w:after="0" w:line="384"/>
        <w:ind w:left="720" w:hanging="720"/>
      </w:pPr>
      <w:r>
        <w:rPr>
          <w:rFonts w:ascii="Times New Roman" w:cs="신명조" w:eastAsia="신명조" w:hAnsi="Times New Roman"/>
          <w:b w:val="false"/>
          <w:bCs w:val="false"/>
          <w:strike w:val="false"/>
          <w:color w:val="C00000"/>
          <w:sz w:val="22"/>
          <w:szCs w:val="22"/>
        </w:rPr>
        <w:t xml:space="preserve">McCourt, D. M. (2022a). The New Constructivism. </w:t>
      </w:r>
      <w:r>
        <w:rPr>
          <w:rFonts w:ascii="Times New Roman" w:cs="신명조" w:eastAsia="신명조" w:hAnsi="Times New Roman"/>
          <w:b w:val="false"/>
          <w:bCs w:val="false"/>
          <w:i/>
          <w:iCs/>
          <w:strike w:val="false"/>
          <w:color w:val="C00000"/>
          <w:sz w:val="22"/>
          <w:szCs w:val="22"/>
        </w:rPr>
        <w:t xml:space="preserve">The New Constructivism in International Relations Theory</w:t>
      </w:r>
      <w:r>
        <w:rPr>
          <w:rFonts w:ascii="Times New Roman" w:cs="신명조" w:eastAsia="신명조" w:hAnsi="Times New Roman"/>
          <w:b w:val="false"/>
          <w:bCs w:val="false"/>
          <w:strike w:val="false"/>
          <w:color w:val="C00000"/>
          <w:sz w:val="22"/>
          <w:szCs w:val="22"/>
        </w:rPr>
        <w:t xml:space="preserve">, 39-52. https://doi.org/10.1332/policypress/9781529217827.003.0003</w:t>
      </w:r>
    </w:p>
    <w:p>
      <w:pPr>
        <w:spacing w:after="0" w:line="384"/>
        <w:ind w:left="720" w:hanging="720"/>
      </w:pPr>
      <w:r>
        <w:rPr>
          <w:rFonts w:ascii="Times New Roman" w:cs="신명조" w:eastAsia="신명조" w:hAnsi="Times New Roman"/>
          <w:b w:val="false"/>
          <w:bCs w:val="false"/>
          <w:strike w:val="false"/>
          <w:color w:val="C00000"/>
          <w:sz w:val="22"/>
          <w:szCs w:val="22"/>
        </w:rPr>
        <w:t xml:space="preserve">McCourt, D. M. (2022b). The Old Constructivism. </w:t>
      </w:r>
      <w:r>
        <w:rPr>
          <w:rFonts w:ascii="Times New Roman" w:cs="신명조" w:eastAsia="신명조" w:hAnsi="Times New Roman"/>
          <w:b w:val="false"/>
          <w:bCs w:val="false"/>
          <w:i/>
          <w:iCs/>
          <w:strike w:val="false"/>
          <w:color w:val="C00000"/>
          <w:sz w:val="22"/>
          <w:szCs w:val="22"/>
        </w:rPr>
        <w:t xml:space="preserve">The New Constructivism in International Relations Theory</w:t>
      </w:r>
      <w:r>
        <w:rPr>
          <w:rFonts w:ascii="Times New Roman" w:cs="신명조" w:eastAsia="신명조" w:hAnsi="Times New Roman"/>
          <w:b w:val="false"/>
          <w:bCs w:val="false"/>
          <w:strike w:val="false"/>
          <w:color w:val="C00000"/>
          <w:sz w:val="22"/>
          <w:szCs w:val="22"/>
        </w:rPr>
        <w:t xml:space="preserve">, 25-38. https://doi.org/10.1332/policypress/9781529217827.003.0002</w:t>
      </w:r>
    </w:p>
    <w:p>
      <w:pPr>
        <w:spacing w:after="0" w:line="384"/>
        <w:ind w:left="720" w:hanging="720"/>
      </w:pPr>
      <w:r>
        <w:rPr>
          <w:rFonts w:ascii="Times New Roman" w:cs="신명조" w:eastAsia="신명조" w:hAnsi="Times New Roman"/>
          <w:b w:val="false"/>
          <w:bCs w:val="false"/>
          <w:strike w:val="false"/>
          <w:color w:val="C00000"/>
          <w:sz w:val="22"/>
          <w:szCs w:val="22"/>
        </w:rPr>
        <w:t xml:space="preserve">McCourt, D. M. (2022e). The New Constructivism as a Phronetic Social Science. </w:t>
      </w:r>
      <w:r>
        <w:rPr>
          <w:rFonts w:ascii="Times New Roman" w:cs="신명조" w:eastAsia="신명조" w:hAnsi="Times New Roman"/>
          <w:b w:val="false"/>
          <w:bCs w:val="false"/>
          <w:i/>
          <w:iCs/>
          <w:strike w:val="false"/>
          <w:color w:val="C00000"/>
          <w:sz w:val="22"/>
          <w:szCs w:val="22"/>
        </w:rPr>
        <w:t xml:space="preserve">The New Constructivism in International Relations Theory</w:t>
      </w:r>
      <w:r>
        <w:rPr>
          <w:rFonts w:ascii="Times New Roman" w:cs="신명조" w:eastAsia="신명조" w:hAnsi="Times New Roman"/>
          <w:b w:val="false"/>
          <w:bCs w:val="false"/>
          <w:strike w:val="false"/>
          <w:color w:val="C00000"/>
          <w:sz w:val="22"/>
          <w:szCs w:val="22"/>
        </w:rPr>
        <w:t xml:space="preserve">, 129-142. https://doi.org/10.1332/policypress/9781529217827.003.0008</w:t>
      </w:r>
    </w:p>
    <w:p>
      <w:pPr>
        <w:spacing w:after="0" w:line="384"/>
        <w:ind w:left="720" w:hanging="720"/>
      </w:pPr>
      <w:r>
        <w:rPr>
          <w:rFonts w:ascii="Times New Roman" w:cs="신명조" w:eastAsia="신명조" w:hAnsi="Times New Roman"/>
          <w:b w:val="false"/>
          <w:bCs w:val="false"/>
          <w:strike w:val="false"/>
          <w:color w:val="C00000"/>
          <w:sz w:val="22"/>
          <w:szCs w:val="22"/>
        </w:rPr>
        <w:t xml:space="preserve">McCourt, D. M. (2022f). Rules, Law, and Language in the New Constructivism. </w:t>
      </w:r>
      <w:r>
        <w:rPr>
          <w:rFonts w:ascii="Times New Roman" w:cs="신명조" w:eastAsia="신명조" w:hAnsi="Times New Roman"/>
          <w:b w:val="false"/>
          <w:bCs w:val="false"/>
          <w:i/>
          <w:iCs/>
          <w:strike w:val="false"/>
          <w:color w:val="C00000"/>
          <w:sz w:val="22"/>
          <w:szCs w:val="22"/>
        </w:rPr>
        <w:t xml:space="preserve">The New Constructivism in International Relations Theory</w:t>
      </w:r>
      <w:r>
        <w:rPr>
          <w:rFonts w:ascii="Times New Roman" w:cs="신명조" w:eastAsia="신명조" w:hAnsi="Times New Roman"/>
          <w:b w:val="false"/>
          <w:bCs w:val="false"/>
          <w:strike w:val="false"/>
          <w:color w:val="C00000"/>
          <w:sz w:val="22"/>
          <w:szCs w:val="22"/>
        </w:rPr>
        <w:t xml:space="preserve">, 53-74. https://doi.org/10.1332/policypress/9781529217827.003.0004</w:t>
      </w:r>
    </w:p>
    <w:p>
      <w:pPr>
        <w:spacing w:after="0" w:line="384"/>
        <w:ind w:left="720" w:hanging="720"/>
      </w:pPr>
      <w:r>
        <w:rPr>
          <w:rFonts w:ascii="Times New Roman" w:cs="신명조" w:eastAsia="신명조" w:hAnsi="Times New Roman"/>
          <w:b w:val="false"/>
          <w:bCs w:val="false"/>
          <w:strike w:val="false"/>
          <w:color w:val="C00000"/>
          <w:sz w:val="22"/>
          <w:szCs w:val="22"/>
        </w:rPr>
        <w:t xml:space="preserve">Jeon, E., &amp; Choi, Y. (2023). Topic analysis of news articles related to high school credit system using LDA topic modeling. </w:t>
      </w:r>
      <w:r>
        <w:rPr>
          <w:rFonts w:ascii="Times New Roman" w:cs="신명조" w:eastAsia="신명조" w:hAnsi="Times New Roman"/>
          <w:b w:val="false"/>
          <w:bCs w:val="false"/>
          <w:i/>
          <w:iCs/>
          <w:strike w:val="false"/>
          <w:color w:val="C00000"/>
          <w:sz w:val="22"/>
          <w:szCs w:val="22"/>
        </w:rPr>
        <w:t xml:space="preserve">The journal of Educational Studies, 54</w:t>
      </w:r>
      <w:r>
        <w:rPr>
          <w:rFonts w:ascii="Times New Roman" w:cs="신명조" w:eastAsia="신명조" w:hAnsi="Times New Roman"/>
          <w:b w:val="false"/>
          <w:bCs w:val="false"/>
          <w:strike w:val="false"/>
          <w:color w:val="C00000"/>
          <w:sz w:val="22"/>
          <w:szCs w:val="22"/>
        </w:rPr>
        <w:t xml:space="preserve">(3), 101-138. https://doi.org/10.15854/jes.2023.09.54.3.101</w:t>
      </w:r>
    </w:p>
    <w:p>
      <w:pPr>
        <w:spacing w:after="0" w:line="384"/>
        <w:ind w:left="720" w:hanging="720"/>
      </w:pPr>
      <w:r>
        <w:rPr>
          <w:rFonts w:ascii="Times New Roman" w:cs="신명조" w:eastAsia="신명조" w:hAnsi="Times New Roman"/>
          <w:b w:val="false"/>
          <w:bCs w:val="false"/>
          <w:strike w:val="false"/>
          <w:color w:val="C00000"/>
          <w:sz w:val="22"/>
          <w:szCs w:val="22"/>
        </w:rPr>
        <w:t xml:space="preserve">Parveen, H., &amp; Showkat, N. (2020). Visual Framing and News Media: An Analysis of Contemporary Research. </w:t>
      </w:r>
      <w:r>
        <w:rPr>
          <w:rFonts w:ascii="Times New Roman" w:cs="신명조" w:eastAsia="신명조" w:hAnsi="Times New Roman"/>
          <w:b w:val="false"/>
          <w:bCs w:val="false"/>
          <w:i/>
          <w:iCs/>
          <w:strike w:val="false"/>
          <w:color w:val="C00000"/>
          <w:sz w:val="22"/>
          <w:szCs w:val="22"/>
        </w:rPr>
        <w:t xml:space="preserve">SAGE Publications</w:t>
      </w:r>
      <w:r>
        <w:rPr>
          <w:rFonts w:ascii="Times New Roman" w:cs="신명조" w:eastAsia="신명조" w:hAnsi="Times New Roman"/>
          <w:b w:val="false"/>
          <w:bCs w:val="false"/>
          <w:strike w:val="false"/>
          <w:color w:val="C00000"/>
          <w:sz w:val="22"/>
          <w:szCs w:val="22"/>
        </w:rPr>
        <w:t xml:space="preserve">. https://doi.org/10.31124/advance.9199931</w:t>
      </w:r>
    </w:p>
    <w:p>
      <w:pPr>
        <w:spacing w:after="0" w:line="384"/>
        <w:ind w:left="720" w:hanging="720"/>
      </w:pPr>
      <w:r>
        <w:rPr>
          <w:rFonts w:ascii="Times New Roman" w:cs="신명조" w:eastAsia="신명조" w:hAnsi="Times New Roman"/>
          <w:b w:val="false"/>
          <w:bCs w:val="false"/>
          <w:strike w:val="false"/>
          <w:color w:val="C00000"/>
          <w:sz w:val="22"/>
          <w:szCs w:val="22"/>
        </w:rPr>
        <w:t xml:space="preserve">Roberts, H., Hine, E., Taddeo, M., &amp; Floridi, L. (2024). Global AI governance: barriers and pathways forward. </w:t>
      </w:r>
      <w:r>
        <w:rPr>
          <w:rFonts w:ascii="Times New Roman" w:cs="신명조" w:eastAsia="신명조" w:hAnsi="Times New Roman"/>
          <w:b w:val="false"/>
          <w:bCs w:val="false"/>
          <w:i/>
          <w:iCs/>
          <w:strike w:val="false"/>
          <w:color w:val="C00000"/>
          <w:sz w:val="22"/>
          <w:szCs w:val="22"/>
        </w:rPr>
        <w:t xml:space="preserve">International Affairs</w:t>
      </w:r>
      <w:r>
        <w:rPr>
          <w:rFonts w:ascii="Times New Roman" w:cs="신명조" w:eastAsia="신명조" w:hAnsi="Times New Roman"/>
          <w:b w:val="false"/>
          <w:bCs w:val="false"/>
          <w:strike w:val="false"/>
          <w:color w:val="C00000"/>
          <w:sz w:val="22"/>
          <w:szCs w:val="22"/>
        </w:rPr>
        <w:t xml:space="preserve">. https://doi.org/10.1093/ia/iiae073</w:t>
      </w:r>
    </w:p>
    <w:p>
      <w:pPr>
        <w:spacing w:after="0" w:line="384"/>
        <w:ind w:left="720" w:hanging="720"/>
      </w:pPr>
      <w:r>
        <w:rPr>
          <w:rFonts w:ascii="Times New Roman" w:cs="신명조" w:eastAsia="신명조" w:hAnsi="Times New Roman"/>
          <w:b w:val="false"/>
          <w:bCs w:val="false"/>
          <w:strike w:val="false"/>
          <w:color w:val="C00000"/>
          <w:sz w:val="22"/>
          <w:szCs w:val="22"/>
        </w:rPr>
        <w:t xml:space="preserve">Cheng, J., &amp; Zeng, J. (2022). Shaping AI’s Future? China in Global AI Governance. </w:t>
      </w:r>
      <w:r>
        <w:rPr>
          <w:rFonts w:ascii="Times New Roman" w:cs="신명조" w:eastAsia="신명조" w:hAnsi="Times New Roman"/>
          <w:b w:val="false"/>
          <w:bCs w:val="false"/>
          <w:i/>
          <w:iCs/>
          <w:strike w:val="false"/>
          <w:color w:val="C00000"/>
          <w:sz w:val="22"/>
          <w:szCs w:val="22"/>
        </w:rPr>
        <w:t xml:space="preserve">Journal of Contemporary China</w:t>
      </w:r>
      <w:r>
        <w:rPr>
          <w:rFonts w:ascii="Times New Roman" w:cs="신명조" w:eastAsia="신명조" w:hAnsi="Times New Roman"/>
          <w:b w:val="false"/>
          <w:bCs w:val="false"/>
          <w:strike w:val="false"/>
          <w:color w:val="C00000"/>
          <w:sz w:val="22"/>
          <w:szCs w:val="22"/>
        </w:rPr>
        <w:t xml:space="preserve">. https://doi.org/10.1080/10670564.2022.2107391</w:t>
      </w:r>
    </w:p>
    <w:p>
      <w:pPr>
        <w:spacing w:after="0" w:line="384"/>
        <w:ind w:left="720" w:hanging="720"/>
      </w:pPr>
      <w:r>
        <w:rPr>
          <w:rFonts w:ascii="Times New Roman" w:cs="신명조" w:eastAsia="신명조" w:hAnsi="Times New Roman"/>
          <w:b w:val="false"/>
          <w:bCs w:val="false"/>
          <w:strike w:val="false"/>
          <w:color w:val="C00000"/>
          <w:sz w:val="22"/>
          <w:szCs w:val="22"/>
        </w:rPr>
        <w:t xml:space="preserve">Tallberg, J. (2026). Theorizing global AI governance. </w:t>
      </w:r>
      <w:r>
        <w:rPr>
          <w:rFonts w:ascii="Times New Roman" w:cs="신명조" w:eastAsia="신명조" w:hAnsi="Times New Roman"/>
          <w:b w:val="false"/>
          <w:bCs w:val="false"/>
          <w:i/>
          <w:iCs/>
          <w:strike w:val="false"/>
          <w:color w:val="C00000"/>
          <w:sz w:val="22"/>
          <w:szCs w:val="22"/>
        </w:rPr>
        <w:t xml:space="preserve">Edward Elgar Publishing eBooks</w:t>
      </w:r>
      <w:r>
        <w:rPr>
          <w:rFonts w:ascii="Times New Roman" w:cs="신명조" w:eastAsia="신명조" w:hAnsi="Times New Roman"/>
          <w:b w:val="false"/>
          <w:bCs w:val="false"/>
          <w:strike w:val="false"/>
          <w:color w:val="C00000"/>
          <w:sz w:val="22"/>
          <w:szCs w:val="22"/>
        </w:rPr>
        <w:t xml:space="preserve">. https://doi.org/10.4337/9781035338580.00008</w:t>
      </w:r>
    </w:p>
    <w:p>
      <w:pPr>
        <w:spacing w:after="0" w:line="384"/>
        <w:ind w:left="720" w:hanging="720"/>
      </w:pPr>
      <w:r>
        <w:rPr>
          <w:rFonts w:ascii="Times New Roman" w:cs="신명조" w:eastAsia="신명조" w:hAnsi="Times New Roman"/>
          <w:b w:val="false"/>
          <w:bCs w:val="false"/>
          <w:strike w:val="false"/>
          <w:color w:val="C00000"/>
          <w:sz w:val="22"/>
          <w:szCs w:val="22"/>
        </w:rPr>
        <w:t xml:space="preserve">Yilma, K. (2025). The Quest for Global AI Governance. </w:t>
      </w:r>
      <w:r>
        <w:rPr>
          <w:rFonts w:ascii="Times New Roman" w:cs="신명조" w:eastAsia="신명조" w:hAnsi="Times New Roman"/>
          <w:b w:val="false"/>
          <w:bCs w:val="false"/>
          <w:i/>
          <w:iCs/>
          <w:strike w:val="false"/>
          <w:color w:val="C00000"/>
          <w:sz w:val="22"/>
          <w:szCs w:val="22"/>
        </w:rPr>
        <w:t xml:space="preserve">The Global Governance of AI</w:t>
      </w:r>
      <w:r>
        <w:rPr>
          <w:rFonts w:ascii="Times New Roman" w:cs="신명조" w:eastAsia="신명조" w:hAnsi="Times New Roman"/>
          <w:b w:val="false"/>
          <w:bCs w:val="false"/>
          <w:strike w:val="false"/>
          <w:color w:val="C00000"/>
          <w:sz w:val="22"/>
          <w:szCs w:val="22"/>
        </w:rPr>
        <w:t xml:space="preserve">, 16-32. https://doi.org/10.4324/9781003607366-2</w:t>
      </w:r>
    </w:p>
    <w:p>
      <w:pPr>
        <w:spacing w:after="0" w:line="384"/>
        <w:ind w:left="720" w:hanging="720"/>
      </w:pPr>
      <w:r>
        <w:rPr>
          <w:rFonts w:ascii="Times New Roman" w:cs="신명조" w:eastAsia="신명조" w:hAnsi="Times New Roman"/>
          <w:b w:val="false"/>
          <w:bCs w:val="false"/>
          <w:strike w:val="false"/>
          <w:color w:val="C00000"/>
          <w:sz w:val="22"/>
          <w:szCs w:val="22"/>
        </w:rPr>
        <w:t xml:space="preserve">Schmitt, L. (2021). Mapping global AI governance: a nascent regime in a fragmented landscape. </w:t>
      </w:r>
      <w:r>
        <w:rPr>
          <w:rFonts w:ascii="Times New Roman" w:cs="신명조" w:eastAsia="신명조" w:hAnsi="Times New Roman"/>
          <w:b w:val="false"/>
          <w:bCs w:val="false"/>
          <w:i/>
          <w:iCs/>
          <w:strike w:val="false"/>
          <w:color w:val="C00000"/>
          <w:sz w:val="22"/>
          <w:szCs w:val="22"/>
        </w:rPr>
        <w:t xml:space="preserve">AI and Ethics</w:t>
      </w:r>
      <w:r>
        <w:rPr>
          <w:rFonts w:ascii="Times New Roman" w:cs="신명조" w:eastAsia="신명조" w:hAnsi="Times New Roman"/>
          <w:b w:val="false"/>
          <w:bCs w:val="false"/>
          <w:strike w:val="false"/>
          <w:color w:val="C00000"/>
          <w:sz w:val="22"/>
          <w:szCs w:val="22"/>
        </w:rPr>
        <w:t xml:space="preserve">. https://doi.org/10.1007/s43681-021-00083-y</w:t>
      </w:r>
    </w:p>
    <w:p>
      <w:pPr>
        <w:spacing w:after="0" w:line="384"/>
        <w:ind w:left="720" w:hanging="720"/>
      </w:pPr>
      <w:r>
        <w:rPr>
          <w:rFonts w:ascii="Times New Roman" w:cs="신명조" w:eastAsia="신명조" w:hAnsi="Times New Roman"/>
          <w:b w:val="false"/>
          <w:bCs w:val="false"/>
          <w:strike w:val="false"/>
          <w:color w:val="C00000"/>
          <w:sz w:val="22"/>
          <w:szCs w:val="22"/>
        </w:rPr>
        <w:t xml:space="preserve">Dekavalla, M. (2018). The media framing of the referendum. </w:t>
      </w:r>
      <w:r>
        <w:rPr>
          <w:rFonts w:ascii="Times New Roman" w:cs="신명조" w:eastAsia="신명조" w:hAnsi="Times New Roman"/>
          <w:b w:val="false"/>
          <w:bCs w:val="false"/>
          <w:i/>
          <w:iCs/>
          <w:strike w:val="false"/>
          <w:color w:val="C00000"/>
          <w:sz w:val="22"/>
          <w:szCs w:val="22"/>
        </w:rPr>
        <w:t xml:space="preserve">Framing referendum campaigns in the news</w:t>
      </w:r>
      <w:r>
        <w:rPr>
          <w:rFonts w:ascii="Times New Roman" w:cs="신명조" w:eastAsia="신명조" w:hAnsi="Times New Roman"/>
          <w:b w:val="false"/>
          <w:bCs w:val="false"/>
          <w:strike w:val="false"/>
          <w:color w:val="C00000"/>
          <w:sz w:val="22"/>
          <w:szCs w:val="22"/>
        </w:rPr>
        <w:t xml:space="preserve">, 84-103. https://doi.org/10.7228/manchester/9781526119896.003.0005</w:t>
      </w:r>
    </w:p>
    <w:p>
      <w:pPr>
        <w:spacing w:after="0" w:line="384"/>
        <w:ind w:left="720" w:hanging="720"/>
      </w:pPr>
      <w:r>
        <w:rPr>
          <w:rFonts w:ascii="Times New Roman" w:cs="신명조" w:eastAsia="신명조" w:hAnsi="Times New Roman"/>
          <w:b w:val="false"/>
          <w:bCs w:val="false"/>
          <w:strike w:val="false"/>
          <w:color w:val="C00000"/>
          <w:sz w:val="22"/>
          <w:szCs w:val="22"/>
        </w:rPr>
        <w:t xml:space="preserve">Harrison, M. (2020). ‘Framing’ The News. </w:t>
      </w:r>
      <w:r>
        <w:rPr>
          <w:rFonts w:ascii="Times New Roman" w:cs="신명조" w:eastAsia="신명조" w:hAnsi="Times New Roman"/>
          <w:b w:val="false"/>
          <w:bCs w:val="false"/>
          <w:i/>
          <w:iCs/>
          <w:strike w:val="false"/>
          <w:color w:val="C00000"/>
          <w:sz w:val="22"/>
          <w:szCs w:val="22"/>
        </w:rPr>
        <w:t xml:space="preserve">TV News: Whose Bias?</w:t>
      </w:r>
      <w:r>
        <w:rPr>
          <w:rFonts w:ascii="Times New Roman" w:cs="신명조" w:eastAsia="신명조" w:hAnsi="Times New Roman"/>
          <w:b w:val="false"/>
          <w:bCs w:val="false"/>
          <w:strike w:val="false"/>
          <w:color w:val="C00000"/>
          <w:sz w:val="22"/>
          <w:szCs w:val="22"/>
        </w:rPr>
        <w:t xml:space="preserve">, 119-132. https://doi.org/10.4324/9780429335648-9</w:t>
      </w:r>
    </w:p>
    <w:p>
      <w:pPr>
        <w:spacing w:after="0" w:line="384"/>
        <w:ind w:left="720" w:hanging="720"/>
      </w:pPr>
      <w:r>
        <w:rPr>
          <w:rFonts w:ascii="Times New Roman" w:cs="신명조" w:eastAsia="신명조" w:hAnsi="Times New Roman"/>
          <w:b w:val="false"/>
          <w:bCs w:val="false"/>
          <w:strike w:val="false"/>
          <w:color w:val="C00000"/>
          <w:sz w:val="22"/>
          <w:szCs w:val="22"/>
        </w:rPr>
        <w:t xml:space="preserve">Maas, M. M. (2025). The Global AI Governance Architecture: Past and Futures. </w:t>
      </w:r>
      <w:r>
        <w:rPr>
          <w:rFonts w:ascii="Times New Roman" w:cs="신명조" w:eastAsia="신명조" w:hAnsi="Times New Roman"/>
          <w:b w:val="false"/>
          <w:bCs w:val="false"/>
          <w:i/>
          <w:iCs/>
          <w:strike w:val="false"/>
          <w:color w:val="C00000"/>
          <w:sz w:val="22"/>
          <w:szCs w:val="22"/>
        </w:rPr>
        <w:t xml:space="preserve">Architectures of Global AI Governance</w:t>
      </w:r>
      <w:r>
        <w:rPr>
          <w:rFonts w:ascii="Times New Roman" w:cs="신명조" w:eastAsia="신명조" w:hAnsi="Times New Roman"/>
          <w:b w:val="false"/>
          <w:bCs w:val="false"/>
          <w:strike w:val="false"/>
          <w:color w:val="C00000"/>
          <w:sz w:val="22"/>
          <w:szCs w:val="22"/>
        </w:rPr>
        <w:t xml:space="preserve">, 181-283. https://doi.org/10.1093/9780191988455.003.0005</w:t>
      </w:r>
    </w:p>
    <w:p>
      <w:pPr>
        <w:spacing w:after="0" w:line="384"/>
        <w:ind w:left="720" w:hanging="720"/>
      </w:pPr>
      <w:r>
        <w:rPr>
          <w:rFonts w:ascii="Times New Roman" w:cs="신명조" w:eastAsia="신명조" w:hAnsi="Times New Roman"/>
          <w:b w:val="false"/>
          <w:bCs w:val="false"/>
          <w:strike w:val="false"/>
          <w:color w:val="C00000"/>
          <w:sz w:val="22"/>
          <w:szCs w:val="22"/>
        </w:rPr>
        <w:t xml:space="preserve">Hasan, M. (2026). Governing Artificial Intelligence (AI) Through Creating Governance Norms: Identifying the Emerging Global AI Governance Norms.. </w:t>
      </w:r>
      <w:r>
        <w:rPr>
          <w:rFonts w:ascii="Times New Roman" w:cs="신명조" w:eastAsia="신명조" w:hAnsi="Times New Roman"/>
          <w:b w:val="false"/>
          <w:bCs w:val="false"/>
          <w:i/>
          <w:iCs/>
          <w:strike w:val="false"/>
          <w:color w:val="C00000"/>
          <w:sz w:val="22"/>
          <w:szCs w:val="22"/>
        </w:rPr>
        <w:t xml:space="preserve">Springer Science and Business Media LLC</w:t>
      </w:r>
      <w:r>
        <w:rPr>
          <w:rFonts w:ascii="Times New Roman" w:cs="신명조" w:eastAsia="신명조" w:hAnsi="Times New Roman"/>
          <w:b w:val="false"/>
          <w:bCs w:val="false"/>
          <w:strike w:val="false"/>
          <w:color w:val="C00000"/>
          <w:sz w:val="22"/>
          <w:szCs w:val="22"/>
        </w:rPr>
        <w:t xml:space="preserve">. https://doi.org/10.21203/rs.3.rs-9383807/v1</w:t>
      </w:r>
    </w:p>
    <w:p>
      <w:pPr>
        <w:spacing w:after="0" w:line="384"/>
        <w:ind w:left="720" w:hanging="720"/>
      </w:pPr>
      <w:r>
        <w:rPr>
          <w:rFonts w:ascii="Times New Roman" w:cs="신명조" w:eastAsia="신명조" w:hAnsi="Times New Roman"/>
          <w:b w:val="false"/>
          <w:bCs w:val="false"/>
          <w:strike w:val="false"/>
          <w:color w:val="C00000"/>
          <w:sz w:val="22"/>
          <w:szCs w:val="22"/>
        </w:rPr>
        <w:t xml:space="preserve">Pasupuleti, M. K. (2024). Ethical AI Governance: A Global Blueprint. </w:t>
      </w:r>
      <w:r>
        <w:rPr>
          <w:rFonts w:ascii="Times New Roman" w:cs="신명조" w:eastAsia="신명조" w:hAnsi="Times New Roman"/>
          <w:b w:val="false"/>
          <w:bCs w:val="false"/>
          <w:i/>
          <w:iCs/>
          <w:strike w:val="false"/>
          <w:color w:val="C00000"/>
          <w:sz w:val="22"/>
          <w:szCs w:val="22"/>
        </w:rPr>
        <w:t xml:space="preserve">AI Governance: Innovating with Integrity</w:t>
      </w:r>
      <w:r>
        <w:rPr>
          <w:rFonts w:ascii="Times New Roman" w:cs="신명조" w:eastAsia="신명조" w:hAnsi="Times New Roman"/>
          <w:b w:val="false"/>
          <w:bCs w:val="false"/>
          <w:strike w:val="false"/>
          <w:color w:val="C00000"/>
          <w:sz w:val="22"/>
          <w:szCs w:val="22"/>
        </w:rPr>
        <w:t xml:space="preserve">, 60-77. https://doi.org/10.62311/nesx/97832</w:t>
      </w:r>
    </w:p>
    <w:p>
      <w:pPr>
        <w:spacing w:after="0" w:line="384"/>
        <w:ind w:left="720" w:hanging="720"/>
      </w:pPr>
      <w:r>
        <w:rPr>
          <w:rFonts w:ascii="Times New Roman" w:cs="신명조" w:eastAsia="신명조" w:hAnsi="Times New Roman"/>
          <w:b w:val="false"/>
          <w:bCs w:val="false"/>
          <w:strike w:val="false"/>
          <w:color w:val="C00000"/>
          <w:sz w:val="22"/>
          <w:szCs w:val="22"/>
        </w:rPr>
        <w:t xml:space="preserve">Ozyurt, O., Kabakus, A. K., &amp; Ayaz, A. (2024). Exploring Scholarly Journal Content: Topic Modeling Analysis Using LDA Algorithm. </w:t>
      </w:r>
      <w:r>
        <w:rPr>
          <w:rFonts w:ascii="Times New Roman" w:cs="신명조" w:eastAsia="신명조" w:hAnsi="Times New Roman"/>
          <w:b w:val="false"/>
          <w:bCs w:val="false"/>
          <w:i/>
          <w:iCs/>
          <w:strike w:val="false"/>
          <w:color w:val="C00000"/>
          <w:sz w:val="22"/>
          <w:szCs w:val="22"/>
        </w:rPr>
        <w:t xml:space="preserve">Text Mining in Educational Research</w:t>
      </w:r>
      <w:r>
        <w:rPr>
          <w:rFonts w:ascii="Times New Roman" w:cs="신명조" w:eastAsia="신명조" w:hAnsi="Times New Roman"/>
          <w:b w:val="false"/>
          <w:bCs w:val="false"/>
          <w:strike w:val="false"/>
          <w:color w:val="C00000"/>
          <w:sz w:val="22"/>
          <w:szCs w:val="22"/>
        </w:rPr>
        <w:t xml:space="preserve">, 71-95. https://doi.org/10.1007/978-981-97-7858-4_5</w:t>
      </w:r>
    </w:p>
    <w:p>
      <w:pPr>
        <w:spacing w:after="0" w:line="384"/>
        <w:ind w:left="720" w:hanging="720"/>
      </w:pPr>
      <w:r>
        <w:rPr>
          <w:rFonts w:ascii="Times New Roman" w:cs="신명조" w:eastAsia="신명조" w:hAnsi="Times New Roman"/>
          <w:b w:val="false"/>
          <w:bCs w:val="false"/>
          <w:strike w:val="false"/>
          <w:color w:val="C00000"/>
          <w:sz w:val="22"/>
          <w:szCs w:val="22"/>
        </w:rPr>
        <w:t xml:space="preserve">Borah, P. (2018). Addressing Theoretical and Methodological Challenges of Doing News Framing Analysis in the Contemporary Media Landscape. </w:t>
      </w:r>
      <w:r>
        <w:rPr>
          <w:rFonts w:ascii="Times New Roman" w:cs="신명조" w:eastAsia="신명조" w:hAnsi="Times New Roman"/>
          <w:b w:val="false"/>
          <w:bCs w:val="false"/>
          <w:i/>
          <w:iCs/>
          <w:strike w:val="false"/>
          <w:color w:val="C00000"/>
          <w:sz w:val="22"/>
          <w:szCs w:val="22"/>
        </w:rPr>
        <w:t xml:space="preserve">Doing News Framing Analysis II</w:t>
      </w:r>
      <w:r>
        <w:rPr>
          <w:rFonts w:ascii="Times New Roman" w:cs="신명조" w:eastAsia="신명조" w:hAnsi="Times New Roman"/>
          <w:b w:val="false"/>
          <w:bCs w:val="false"/>
          <w:strike w:val="false"/>
          <w:color w:val="C00000"/>
          <w:sz w:val="22"/>
          <w:szCs w:val="22"/>
        </w:rPr>
        <w:t xml:space="preserve">, 163-188. https://doi.org/10.4324/9781315642239-8</w:t>
      </w:r>
    </w:p>
    <w:p>
      <w:pPr>
        <w:spacing w:after="0" w:line="384"/>
        <w:ind w:left="720" w:hanging="720"/>
      </w:pPr>
      <w:r>
        <w:rPr>
          <w:rFonts w:ascii="Times New Roman" w:cs="신명조" w:eastAsia="신명조" w:hAnsi="Times New Roman"/>
          <w:b w:val="false"/>
          <w:bCs w:val="false"/>
          <w:strike w:val="false"/>
          <w:color w:val="C00000"/>
          <w:sz w:val="22"/>
          <w:szCs w:val="22"/>
        </w:rPr>
        <w:t xml:space="preserve">Song, Q. (2024). Framing in media and communication studies: A bibliometric analysis. </w:t>
      </w:r>
      <w:r>
        <w:rPr>
          <w:rFonts w:ascii="Times New Roman" w:cs="신명조" w:eastAsia="신명조" w:hAnsi="Times New Roman"/>
          <w:b w:val="false"/>
          <w:bCs w:val="false"/>
          <w:i/>
          <w:iCs/>
          <w:strike w:val="false"/>
          <w:color w:val="C00000"/>
          <w:sz w:val="22"/>
          <w:szCs w:val="22"/>
        </w:rPr>
        <w:t xml:space="preserve">Insight - News Media, 7</w:t>
      </w:r>
      <w:r>
        <w:rPr>
          <w:rFonts w:ascii="Times New Roman" w:cs="신명조" w:eastAsia="신명조" w:hAnsi="Times New Roman"/>
          <w:b w:val="false"/>
          <w:bCs w:val="false"/>
          <w:strike w:val="false"/>
          <w:color w:val="C00000"/>
          <w:sz w:val="22"/>
          <w:szCs w:val="22"/>
        </w:rPr>
        <w:t xml:space="preserve">(1), 674. https://doi.org/10.18282/inm674</w:t>
      </w:r>
    </w:p>
    <w:p>
      <w:pPr>
        <w:spacing w:after="0" w:line="384"/>
        <w:ind w:left="720" w:hanging="720"/>
      </w:pPr>
      <w:r>
        <w:rPr>
          <w:rFonts w:ascii="Times New Roman" w:cs="신명조" w:eastAsia="신명조" w:hAnsi="Times New Roman"/>
          <w:b w:val="false"/>
          <w:bCs w:val="false"/>
          <w:strike w:val="false"/>
          <w:color w:val="C00000"/>
          <w:sz w:val="22"/>
          <w:szCs w:val="22"/>
        </w:rPr>
        <w:t xml:space="preserve">Sakti, R. B., &amp; Kukuh, K. S. (2023). Framing Analysis of Reporting on the Tragedy of Kanjuruhan in Online News Media (Framing Analysis Study William A. Gamson). </w:t>
      </w:r>
      <w:r>
        <w:rPr>
          <w:rFonts w:ascii="Times New Roman" w:cs="신명조" w:eastAsia="신명조" w:hAnsi="Times New Roman"/>
          <w:b w:val="false"/>
          <w:bCs w:val="false"/>
          <w:i/>
          <w:iCs/>
          <w:strike w:val="false"/>
          <w:color w:val="C00000"/>
          <w:sz w:val="22"/>
          <w:szCs w:val="22"/>
        </w:rPr>
        <w:t xml:space="preserve">Universitas Muhammadiyah Sidoarjo</w:t>
      </w:r>
      <w:r>
        <w:rPr>
          <w:rFonts w:ascii="Times New Roman" w:cs="신명조" w:eastAsia="신명조" w:hAnsi="Times New Roman"/>
          <w:b w:val="false"/>
          <w:bCs w:val="false"/>
          <w:strike w:val="false"/>
          <w:color w:val="C00000"/>
          <w:sz w:val="22"/>
          <w:szCs w:val="22"/>
        </w:rPr>
        <w:t xml:space="preserve">. https://doi.org/10.21070/ups.1638</w:t>
      </w:r>
    </w:p>
    <w:p>
      <w:pPr>
        <w:spacing w:after="0" w:line="384"/>
        <w:ind w:left="720" w:hanging="720"/>
      </w:pPr>
      <w:r>
        <w:rPr>
          <w:rFonts w:ascii="Times New Roman" w:cs="신명조" w:eastAsia="신명조" w:hAnsi="Times New Roman"/>
          <w:b w:val="false"/>
          <w:bCs w:val="false"/>
          <w:strike w:val="false"/>
          <w:color w:val="C00000"/>
          <w:sz w:val="22"/>
          <w:szCs w:val="22"/>
        </w:rPr>
        <w:t xml:space="preserve">Dami, S., &amp; Madadi, F. (2022). Recommender System Using LDA Topic Modeling Approach. </w:t>
      </w:r>
      <w:r>
        <w:rPr>
          <w:rFonts w:ascii="Times New Roman" w:cs="신명조" w:eastAsia="신명조" w:hAnsi="Times New Roman"/>
          <w:b w:val="false"/>
          <w:bCs w:val="false"/>
          <w:i/>
          <w:iCs/>
          <w:strike w:val="false"/>
          <w:color w:val="C00000"/>
          <w:sz w:val="22"/>
          <w:szCs w:val="22"/>
        </w:rPr>
        <w:t xml:space="preserve">Elsevier BV</w:t>
      </w:r>
      <w:r>
        <w:rPr>
          <w:rFonts w:ascii="Times New Roman" w:cs="신명조" w:eastAsia="신명조" w:hAnsi="Times New Roman"/>
          <w:b w:val="false"/>
          <w:bCs w:val="false"/>
          <w:strike w:val="false"/>
          <w:color w:val="C00000"/>
          <w:sz w:val="22"/>
          <w:szCs w:val="22"/>
        </w:rPr>
        <w:t xml:space="preserve">. https://doi.org/10.2139/ssrn.4173345</w:t>
      </w:r>
    </w:p>
    <w:p>
      <w:pPr>
        <w:spacing w:after="0" w:line="384"/>
        <w:ind w:left="720" w:hanging="720"/>
      </w:pPr>
      <w:r>
        <w:rPr>
          <w:rFonts w:ascii="Times New Roman" w:cs="신명조" w:eastAsia="신명조" w:hAnsi="Times New Roman"/>
          <w:b w:val="false"/>
          <w:bCs w:val="false"/>
          <w:strike w:val="false"/>
          <w:color w:val="C00000"/>
          <w:sz w:val="22"/>
          <w:szCs w:val="22"/>
        </w:rPr>
        <w:t xml:space="preserve">Albert, S. (2026). Navigating Global AI from Policy to Practice, Industry, and Governance Perspectives. </w:t>
      </w:r>
      <w:r>
        <w:rPr>
          <w:rFonts w:ascii="Times New Roman" w:cs="신명조" w:eastAsia="신명조" w:hAnsi="Times New Roman"/>
          <w:b w:val="false"/>
          <w:bCs w:val="false"/>
          <w:i/>
          <w:iCs/>
          <w:strike w:val="false"/>
          <w:color w:val="C00000"/>
          <w:sz w:val="22"/>
          <w:szCs w:val="22"/>
        </w:rPr>
        <w:t xml:space="preserve">Global AI Governance from Policy to Practice</w:t>
      </w:r>
      <w:r>
        <w:rPr>
          <w:rFonts w:ascii="Times New Roman" w:cs="신명조" w:eastAsia="신명조" w:hAnsi="Times New Roman"/>
          <w:b w:val="false"/>
          <w:bCs w:val="false"/>
          <w:strike w:val="false"/>
          <w:color w:val="C00000"/>
          <w:sz w:val="22"/>
          <w:szCs w:val="22"/>
        </w:rPr>
        <w:t xml:space="preserve">, 1-11. https://doi.org/10.1201/9781003662990-1</w:t>
      </w:r>
    </w:p>
    <w:p>
      <w:pPr>
        <w:spacing w:after="0" w:line="384"/>
        <w:ind w:left="720" w:hanging="720"/>
      </w:pPr>
      <w:r>
        <w:rPr>
          <w:rFonts w:ascii="Times New Roman" w:cs="신명조" w:eastAsia="신명조" w:hAnsi="Times New Roman"/>
          <w:b w:val="false"/>
          <w:bCs w:val="false"/>
          <w:strike w:val="false"/>
          <w:color w:val="C00000"/>
          <w:sz w:val="22"/>
          <w:szCs w:val="22"/>
        </w:rPr>
        <w:t xml:space="preserve">Fielding, V. (2024). Media Inequality. </w:t>
      </w:r>
      <w:r>
        <w:rPr>
          <w:rFonts w:ascii="Times New Roman" w:cs="신명조" w:eastAsia="신명조" w:hAnsi="Times New Roman"/>
          <w:b w:val="false"/>
          <w:bCs w:val="false"/>
          <w:i/>
          <w:iCs/>
          <w:strike w:val="false"/>
          <w:color w:val="C00000"/>
          <w:sz w:val="22"/>
          <w:szCs w:val="22"/>
        </w:rPr>
        <w:t xml:space="preserve">Routledge</w:t>
      </w:r>
      <w:r>
        <w:rPr>
          <w:rFonts w:ascii="Times New Roman" w:cs="신명조" w:eastAsia="신명조" w:hAnsi="Times New Roman"/>
          <w:b w:val="false"/>
          <w:bCs w:val="false"/>
          <w:strike w:val="false"/>
          <w:color w:val="C00000"/>
          <w:sz w:val="22"/>
          <w:szCs w:val="22"/>
        </w:rPr>
        <w:t xml:space="preserve">. https://doi.org/10.4324/9781003466710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신명조" w:cs="신명조" w:eastAsia="신명조" w:hAnsi="신명조"/>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2026-10-13T16:15:54.200Z</dcterms:created>
  <dcterms:modified xsi:type="dcterms:W3CDTF">2026-10-13T16:15:54.201Z</dcterms:modified>
</cp:coreProperties>
</file>

<file path=docProps/custom.xml><?xml version="1.0" encoding="utf-8"?>
<Properties xmlns="http://schemas.openxmlformats.org/officeDocument/2006/custom-properties" xmlns:vt="http://schemas.openxmlformats.org/officeDocument/2006/docPropsVTypes"/>
</file>